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ACD9D" w14:textId="1CFD0B2E" w:rsidR="00843C46" w:rsidRPr="00672621" w:rsidRDefault="008E6CBA">
      <w:pPr>
        <w:rPr>
          <w:rFonts w:ascii="Helvetica Neue" w:hAnsi="Helvetica Neue"/>
          <w:b/>
          <w:bCs/>
        </w:rPr>
      </w:pPr>
      <w:r w:rsidRPr="008E6CBA">
        <w:rPr>
          <w:rFonts w:ascii="Helvetica Neue" w:hAnsi="Helvetica Neue"/>
          <w:b/>
          <w:bCs/>
        </w:rPr>
        <w:t>Supplementary File 5</w:t>
      </w:r>
      <w:r w:rsidR="00672621">
        <w:rPr>
          <w:rFonts w:ascii="Helvetica Neue" w:hAnsi="Helvetica Neue"/>
          <w:b/>
          <w:bCs/>
        </w:rPr>
        <w:t xml:space="preserve"> –</w:t>
      </w:r>
      <w:r w:rsidRPr="008E6CBA">
        <w:rPr>
          <w:rFonts w:ascii="Helvetica Neue" w:hAnsi="Helvetica Neue"/>
          <w:b/>
          <w:bCs/>
        </w:rPr>
        <w:t xml:space="preserve"> </w:t>
      </w:r>
      <w:r w:rsidRPr="008E6CBA">
        <w:rPr>
          <w:rFonts w:ascii="Helvetica Neue" w:hAnsi="Helvetica Neue" w:cstheme="minorHAnsi"/>
          <w:b/>
          <w:bCs/>
        </w:rPr>
        <w:t>Trials</w:t>
      </w:r>
      <w:r w:rsidRPr="00770189">
        <w:rPr>
          <w:rFonts w:ascii="Helvetica Neue" w:hAnsi="Helvetica Neue" w:cstheme="minorHAnsi"/>
          <w:b/>
          <w:bCs/>
        </w:rPr>
        <w:t xml:space="preserve"> Not Cited in Clinical Review Documents</w:t>
      </w:r>
    </w:p>
    <w:p w14:paraId="2D180437" w14:textId="0D668095" w:rsidR="008E6CBA" w:rsidRDefault="008E6CBA">
      <w:pPr>
        <w:rPr>
          <w:rFonts w:ascii="Helvetica Neue" w:hAnsi="Helvetica Neue" w:cstheme="minorHAnsi"/>
          <w:b/>
          <w:bCs/>
        </w:rPr>
      </w:pPr>
    </w:p>
    <w:tbl>
      <w:tblPr>
        <w:tblStyle w:val="TableGrid"/>
        <w:tblW w:w="10485" w:type="dxa"/>
        <w:tblLayout w:type="fixed"/>
        <w:tblLook w:val="04A0" w:firstRow="1" w:lastRow="0" w:firstColumn="1" w:lastColumn="0" w:noHBand="0" w:noVBand="1"/>
      </w:tblPr>
      <w:tblGrid>
        <w:gridCol w:w="1555"/>
        <w:gridCol w:w="992"/>
        <w:gridCol w:w="3402"/>
        <w:gridCol w:w="850"/>
        <w:gridCol w:w="1277"/>
        <w:gridCol w:w="1134"/>
        <w:gridCol w:w="1275"/>
      </w:tblGrid>
      <w:tr w:rsidR="008E6CBA" w:rsidRPr="00EF15D4" w14:paraId="3E63F333" w14:textId="77777777" w:rsidTr="000C1519">
        <w:trPr>
          <w:trHeight w:val="466"/>
        </w:trPr>
        <w:tc>
          <w:tcPr>
            <w:tcW w:w="1555" w:type="dxa"/>
          </w:tcPr>
          <w:p w14:paraId="5EFE5328" w14:textId="77777777" w:rsidR="008E6CBA" w:rsidRPr="00EF15D4" w:rsidRDefault="008E6CBA" w:rsidP="000C1519">
            <w:pPr>
              <w:jc w:val="center"/>
              <w:rPr>
                <w:rFonts w:ascii="Helvetica Neue" w:hAnsi="Helvetica Neue"/>
                <w:b/>
                <w:bCs/>
                <w:sz w:val="20"/>
                <w:szCs w:val="20"/>
              </w:rPr>
            </w:pPr>
            <w:r w:rsidRPr="00EF15D4">
              <w:rPr>
                <w:rFonts w:ascii="Helvetica Neue" w:hAnsi="Helvetica Neue"/>
                <w:b/>
                <w:bCs/>
                <w:sz w:val="20"/>
                <w:szCs w:val="20"/>
              </w:rPr>
              <w:t>NCT</w:t>
            </w:r>
          </w:p>
        </w:tc>
        <w:tc>
          <w:tcPr>
            <w:tcW w:w="992" w:type="dxa"/>
          </w:tcPr>
          <w:p w14:paraId="5DC90849" w14:textId="77777777" w:rsidR="008E6CBA" w:rsidRPr="00EF15D4" w:rsidRDefault="008E6CBA" w:rsidP="000C1519">
            <w:pPr>
              <w:jc w:val="center"/>
              <w:rPr>
                <w:rFonts w:ascii="Helvetica Neue" w:hAnsi="Helvetica Neue"/>
                <w:b/>
                <w:bCs/>
                <w:sz w:val="20"/>
                <w:szCs w:val="20"/>
              </w:rPr>
            </w:pPr>
            <w:r w:rsidRPr="00EF15D4">
              <w:rPr>
                <w:rFonts w:ascii="Helvetica Neue" w:hAnsi="Helvetica Neue"/>
                <w:b/>
                <w:bCs/>
                <w:sz w:val="20"/>
                <w:szCs w:val="20"/>
              </w:rPr>
              <w:t>Disease</w:t>
            </w:r>
          </w:p>
        </w:tc>
        <w:tc>
          <w:tcPr>
            <w:tcW w:w="3402" w:type="dxa"/>
          </w:tcPr>
          <w:p w14:paraId="044FC1CC" w14:textId="77777777" w:rsidR="008E6CBA" w:rsidRPr="00EF15D4" w:rsidRDefault="008E6CBA" w:rsidP="000C1519">
            <w:pPr>
              <w:jc w:val="center"/>
              <w:rPr>
                <w:rFonts w:ascii="Helvetica Neue" w:hAnsi="Helvetica Neue"/>
                <w:b/>
                <w:bCs/>
                <w:sz w:val="20"/>
                <w:szCs w:val="20"/>
              </w:rPr>
            </w:pPr>
            <w:r w:rsidRPr="00EF15D4">
              <w:rPr>
                <w:rFonts w:ascii="Helvetica Neue" w:hAnsi="Helvetica Neue"/>
                <w:b/>
                <w:bCs/>
                <w:sz w:val="20"/>
                <w:szCs w:val="20"/>
              </w:rPr>
              <w:t>Title</w:t>
            </w:r>
          </w:p>
        </w:tc>
        <w:tc>
          <w:tcPr>
            <w:tcW w:w="850" w:type="dxa"/>
          </w:tcPr>
          <w:p w14:paraId="02CA6A75" w14:textId="77777777" w:rsidR="008E6CBA" w:rsidRPr="00EF15D4" w:rsidRDefault="008E6CBA" w:rsidP="000C1519">
            <w:pPr>
              <w:jc w:val="center"/>
              <w:rPr>
                <w:rFonts w:ascii="Helvetica Neue" w:hAnsi="Helvetica Neue"/>
                <w:b/>
                <w:bCs/>
                <w:sz w:val="20"/>
                <w:szCs w:val="20"/>
              </w:rPr>
            </w:pPr>
            <w:r w:rsidRPr="00EF15D4">
              <w:rPr>
                <w:rFonts w:ascii="Helvetica Neue" w:hAnsi="Helvetica Neue"/>
                <w:b/>
                <w:bCs/>
                <w:sz w:val="20"/>
                <w:szCs w:val="20"/>
              </w:rPr>
              <w:t>Phase</w:t>
            </w:r>
          </w:p>
        </w:tc>
        <w:tc>
          <w:tcPr>
            <w:tcW w:w="1277" w:type="dxa"/>
          </w:tcPr>
          <w:p w14:paraId="2A62B896" w14:textId="77777777" w:rsidR="008E6CBA" w:rsidRPr="00EF15D4" w:rsidRDefault="008E6CBA" w:rsidP="000C1519">
            <w:pPr>
              <w:jc w:val="center"/>
              <w:rPr>
                <w:rFonts w:ascii="Helvetica Neue" w:hAnsi="Helvetica Neue"/>
                <w:b/>
                <w:bCs/>
                <w:sz w:val="20"/>
                <w:szCs w:val="20"/>
              </w:rPr>
            </w:pPr>
            <w:r w:rsidRPr="00EF15D4">
              <w:rPr>
                <w:rFonts w:ascii="Helvetica Neue" w:hAnsi="Helvetica Neue"/>
                <w:b/>
                <w:bCs/>
                <w:sz w:val="20"/>
                <w:szCs w:val="20"/>
              </w:rPr>
              <w:t>Trial Status</w:t>
            </w:r>
          </w:p>
        </w:tc>
        <w:tc>
          <w:tcPr>
            <w:tcW w:w="1134" w:type="dxa"/>
          </w:tcPr>
          <w:p w14:paraId="2850212C" w14:textId="77777777" w:rsidR="008E6CBA" w:rsidRPr="00EF15D4" w:rsidRDefault="008E6CBA" w:rsidP="000C1519">
            <w:pPr>
              <w:jc w:val="center"/>
              <w:rPr>
                <w:rFonts w:ascii="Helvetica Neue" w:hAnsi="Helvetica Neue"/>
                <w:b/>
                <w:bCs/>
                <w:sz w:val="20"/>
                <w:szCs w:val="20"/>
              </w:rPr>
            </w:pPr>
            <w:r w:rsidRPr="00EF15D4">
              <w:rPr>
                <w:rFonts w:ascii="Helvetica Neue" w:hAnsi="Helvetica Neue"/>
                <w:b/>
                <w:bCs/>
                <w:sz w:val="20"/>
                <w:szCs w:val="20"/>
              </w:rPr>
              <w:t>Sponsor</w:t>
            </w:r>
          </w:p>
        </w:tc>
        <w:tc>
          <w:tcPr>
            <w:tcW w:w="1275" w:type="dxa"/>
          </w:tcPr>
          <w:p w14:paraId="251554D3" w14:textId="77777777" w:rsidR="008E6CBA" w:rsidRPr="00EF15D4" w:rsidRDefault="008E6CBA" w:rsidP="000C1519">
            <w:pPr>
              <w:jc w:val="center"/>
              <w:rPr>
                <w:rFonts w:ascii="Helvetica Neue" w:hAnsi="Helvetica Neue"/>
                <w:b/>
                <w:bCs/>
                <w:sz w:val="20"/>
                <w:szCs w:val="20"/>
              </w:rPr>
            </w:pPr>
            <w:r w:rsidRPr="00EF15D4">
              <w:rPr>
                <w:rFonts w:ascii="Helvetica Neue" w:hAnsi="Helvetica Neue"/>
                <w:b/>
                <w:bCs/>
                <w:sz w:val="20"/>
                <w:szCs w:val="20"/>
              </w:rPr>
              <w:t>Published Results</w:t>
            </w:r>
          </w:p>
        </w:tc>
      </w:tr>
      <w:tr w:rsidR="008E6CBA" w:rsidRPr="00EF15D4" w14:paraId="44C590BC" w14:textId="77777777" w:rsidTr="000C1519">
        <w:trPr>
          <w:trHeight w:val="189"/>
        </w:trPr>
        <w:tc>
          <w:tcPr>
            <w:tcW w:w="1555" w:type="dxa"/>
          </w:tcPr>
          <w:p w14:paraId="1B75CF7C"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NCT00924118</w:t>
            </w:r>
          </w:p>
        </w:tc>
        <w:tc>
          <w:tcPr>
            <w:tcW w:w="992" w:type="dxa"/>
          </w:tcPr>
          <w:p w14:paraId="11A5875D" w14:textId="77777777" w:rsidR="008E6CBA" w:rsidRDefault="008E6CBA" w:rsidP="000C1519">
            <w:pPr>
              <w:jc w:val="center"/>
              <w:rPr>
                <w:rFonts w:ascii="Helvetica Neue" w:hAnsi="Helvetica Neue"/>
                <w:sz w:val="20"/>
                <w:szCs w:val="20"/>
              </w:rPr>
            </w:pPr>
            <w:r>
              <w:rPr>
                <w:rFonts w:ascii="Helvetica Neue" w:hAnsi="Helvetica Neue"/>
                <w:sz w:val="20"/>
                <w:szCs w:val="20"/>
              </w:rPr>
              <w:t>IHD</w:t>
            </w:r>
          </w:p>
        </w:tc>
        <w:tc>
          <w:tcPr>
            <w:tcW w:w="3402" w:type="dxa"/>
          </w:tcPr>
          <w:p w14:paraId="1646C0EC"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A Safety and Efficacy Evaluation of Sodium Nitrite Injection for the Prevention of Ischemia-Reperfusion Injury Associated with Acute Myocardial Infarction</w:t>
            </w:r>
          </w:p>
        </w:tc>
        <w:tc>
          <w:tcPr>
            <w:tcW w:w="850" w:type="dxa"/>
          </w:tcPr>
          <w:p w14:paraId="3363D1D0"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2</w:t>
            </w:r>
          </w:p>
        </w:tc>
        <w:tc>
          <w:tcPr>
            <w:tcW w:w="1277" w:type="dxa"/>
          </w:tcPr>
          <w:p w14:paraId="1774D542"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Completed</w:t>
            </w:r>
          </w:p>
        </w:tc>
        <w:tc>
          <w:tcPr>
            <w:tcW w:w="1134" w:type="dxa"/>
          </w:tcPr>
          <w:p w14:paraId="7825FD65"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Non-Industry</w:t>
            </w:r>
          </w:p>
        </w:tc>
        <w:tc>
          <w:tcPr>
            <w:tcW w:w="1275" w:type="dxa"/>
          </w:tcPr>
          <w:p w14:paraId="64770346"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NO</w:t>
            </w:r>
          </w:p>
        </w:tc>
      </w:tr>
      <w:tr w:rsidR="008E6CBA" w:rsidRPr="00EF15D4" w14:paraId="402ECD36" w14:textId="77777777" w:rsidTr="000C1519">
        <w:trPr>
          <w:trHeight w:val="189"/>
        </w:trPr>
        <w:tc>
          <w:tcPr>
            <w:tcW w:w="1555" w:type="dxa"/>
          </w:tcPr>
          <w:p w14:paraId="6A4E633F"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NCT00954707</w:t>
            </w:r>
          </w:p>
        </w:tc>
        <w:tc>
          <w:tcPr>
            <w:tcW w:w="992" w:type="dxa"/>
          </w:tcPr>
          <w:p w14:paraId="5C4257C1" w14:textId="77777777" w:rsidR="008E6CBA" w:rsidRDefault="008E6CBA" w:rsidP="000C1519">
            <w:pPr>
              <w:jc w:val="center"/>
              <w:rPr>
                <w:rFonts w:ascii="Helvetica Neue" w:hAnsi="Helvetica Neue"/>
                <w:sz w:val="20"/>
                <w:szCs w:val="20"/>
              </w:rPr>
            </w:pPr>
            <w:r>
              <w:rPr>
                <w:rFonts w:ascii="Helvetica Neue" w:hAnsi="Helvetica Neue"/>
                <w:sz w:val="20"/>
                <w:szCs w:val="20"/>
              </w:rPr>
              <w:t>IHD</w:t>
            </w:r>
          </w:p>
        </w:tc>
        <w:tc>
          <w:tcPr>
            <w:tcW w:w="3402" w:type="dxa"/>
          </w:tcPr>
          <w:p w14:paraId="782D6838"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A Prospective, Randomized, Multi-Center, Double-Blind Trial to Assess the Effectiveness and Safety of Different Durations of Dual Anti-Platelet Therapy (DAPT) in Subjects Undergoing Percutaneous Coronary Intervention with the CYPHER Sirolimus-eluting Coronary Stent</w:t>
            </w:r>
          </w:p>
        </w:tc>
        <w:tc>
          <w:tcPr>
            <w:tcW w:w="850" w:type="dxa"/>
          </w:tcPr>
          <w:p w14:paraId="010415C6"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4</w:t>
            </w:r>
          </w:p>
        </w:tc>
        <w:tc>
          <w:tcPr>
            <w:tcW w:w="1277" w:type="dxa"/>
          </w:tcPr>
          <w:p w14:paraId="14C3EFED"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Unknown (Previously, Active, Not Recruiting)</w:t>
            </w:r>
          </w:p>
        </w:tc>
        <w:tc>
          <w:tcPr>
            <w:tcW w:w="1134" w:type="dxa"/>
          </w:tcPr>
          <w:p w14:paraId="3BD803E8"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Industry</w:t>
            </w:r>
          </w:p>
        </w:tc>
        <w:tc>
          <w:tcPr>
            <w:tcW w:w="1275" w:type="dxa"/>
          </w:tcPr>
          <w:p w14:paraId="691AB215"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NO</w:t>
            </w:r>
          </w:p>
        </w:tc>
      </w:tr>
      <w:tr w:rsidR="008E6CBA" w:rsidRPr="00EF15D4" w14:paraId="0C1DEE08" w14:textId="77777777" w:rsidTr="000C1519">
        <w:trPr>
          <w:trHeight w:val="189"/>
        </w:trPr>
        <w:tc>
          <w:tcPr>
            <w:tcW w:w="1555" w:type="dxa"/>
          </w:tcPr>
          <w:p w14:paraId="5E835493"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NCT01175018</w:t>
            </w:r>
          </w:p>
        </w:tc>
        <w:tc>
          <w:tcPr>
            <w:tcW w:w="992" w:type="dxa"/>
          </w:tcPr>
          <w:p w14:paraId="6F5081F0"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IHD</w:t>
            </w:r>
          </w:p>
        </w:tc>
        <w:tc>
          <w:tcPr>
            <w:tcW w:w="3402" w:type="dxa"/>
          </w:tcPr>
          <w:p w14:paraId="7E95BBA9"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Anakinra to Prevent Adverse Post-infarction Remodeling</w:t>
            </w:r>
          </w:p>
        </w:tc>
        <w:tc>
          <w:tcPr>
            <w:tcW w:w="850" w:type="dxa"/>
          </w:tcPr>
          <w:p w14:paraId="514D3CC0"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2</w:t>
            </w:r>
          </w:p>
        </w:tc>
        <w:tc>
          <w:tcPr>
            <w:tcW w:w="1277" w:type="dxa"/>
          </w:tcPr>
          <w:p w14:paraId="1B20836B"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495E6867"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Non-Industry</w:t>
            </w:r>
          </w:p>
        </w:tc>
        <w:tc>
          <w:tcPr>
            <w:tcW w:w="1275" w:type="dxa"/>
          </w:tcPr>
          <w:p w14:paraId="45D80AAA"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YES</w:t>
            </w:r>
          </w:p>
        </w:tc>
      </w:tr>
      <w:tr w:rsidR="008E6CBA" w:rsidRPr="00EF15D4" w14:paraId="20A5A812" w14:textId="77777777" w:rsidTr="000C1519">
        <w:trPr>
          <w:trHeight w:val="189"/>
        </w:trPr>
        <w:tc>
          <w:tcPr>
            <w:tcW w:w="1555" w:type="dxa"/>
          </w:tcPr>
          <w:p w14:paraId="73416D50"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NCT01178268</w:t>
            </w:r>
          </w:p>
        </w:tc>
        <w:tc>
          <w:tcPr>
            <w:tcW w:w="992" w:type="dxa"/>
          </w:tcPr>
          <w:p w14:paraId="300B900C"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IHD</w:t>
            </w:r>
          </w:p>
        </w:tc>
        <w:tc>
          <w:tcPr>
            <w:tcW w:w="3402" w:type="dxa"/>
          </w:tcPr>
          <w:p w14:paraId="46A1EB1C"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XIENCE V Everolimus Eluting Coronary Stent System China: Post-Approval Randomized Control Trial</w:t>
            </w:r>
          </w:p>
        </w:tc>
        <w:tc>
          <w:tcPr>
            <w:tcW w:w="850" w:type="dxa"/>
          </w:tcPr>
          <w:p w14:paraId="4CC56757"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4</w:t>
            </w:r>
          </w:p>
        </w:tc>
        <w:tc>
          <w:tcPr>
            <w:tcW w:w="1277" w:type="dxa"/>
          </w:tcPr>
          <w:p w14:paraId="4C1A4A19"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27998497"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Industry</w:t>
            </w:r>
          </w:p>
        </w:tc>
        <w:tc>
          <w:tcPr>
            <w:tcW w:w="1275" w:type="dxa"/>
          </w:tcPr>
          <w:p w14:paraId="478050B9"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w:t>
            </w:r>
          </w:p>
        </w:tc>
      </w:tr>
      <w:tr w:rsidR="008E6CBA" w:rsidRPr="00EF15D4" w14:paraId="41E56ACB" w14:textId="77777777" w:rsidTr="000C1519">
        <w:trPr>
          <w:trHeight w:val="189"/>
        </w:trPr>
        <w:tc>
          <w:tcPr>
            <w:tcW w:w="1555" w:type="dxa"/>
          </w:tcPr>
          <w:p w14:paraId="0E2D6C5F"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NCT01230892</w:t>
            </w:r>
          </w:p>
        </w:tc>
        <w:tc>
          <w:tcPr>
            <w:tcW w:w="992" w:type="dxa"/>
          </w:tcPr>
          <w:p w14:paraId="7FA323F7"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IHD</w:t>
            </w:r>
          </w:p>
        </w:tc>
        <w:tc>
          <w:tcPr>
            <w:tcW w:w="3402" w:type="dxa"/>
          </w:tcPr>
          <w:p w14:paraId="30A7C86C"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The Evaluation of The Effects of Nebivolol in Comparison to Atenolol on Wall Shear Stress and Rupture Prone Coronary Artery Plaques in Patients With Moderate Coronary Artery Disease</w:t>
            </w:r>
          </w:p>
        </w:tc>
        <w:tc>
          <w:tcPr>
            <w:tcW w:w="850" w:type="dxa"/>
          </w:tcPr>
          <w:p w14:paraId="2FC09D4B"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4</w:t>
            </w:r>
          </w:p>
        </w:tc>
        <w:tc>
          <w:tcPr>
            <w:tcW w:w="1277" w:type="dxa"/>
          </w:tcPr>
          <w:p w14:paraId="0B5F19B8"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5A6A68A8"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Non-Industry</w:t>
            </w:r>
          </w:p>
        </w:tc>
        <w:tc>
          <w:tcPr>
            <w:tcW w:w="1275" w:type="dxa"/>
          </w:tcPr>
          <w:p w14:paraId="3F3DD371"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YES</w:t>
            </w:r>
          </w:p>
        </w:tc>
      </w:tr>
      <w:tr w:rsidR="008E6CBA" w:rsidRPr="00EF15D4" w14:paraId="7F55788F" w14:textId="77777777" w:rsidTr="000C1519">
        <w:trPr>
          <w:trHeight w:val="189"/>
        </w:trPr>
        <w:tc>
          <w:tcPr>
            <w:tcW w:w="1555" w:type="dxa"/>
          </w:tcPr>
          <w:p w14:paraId="193ED84C"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NCT01101867</w:t>
            </w:r>
          </w:p>
        </w:tc>
        <w:tc>
          <w:tcPr>
            <w:tcW w:w="992" w:type="dxa"/>
          </w:tcPr>
          <w:p w14:paraId="1AFC9A54"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67B93D43"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Prandial Insulin Dosing Using the Carbohydrate Counting Technique in Hospitalized Patients With Diabetes</w:t>
            </w:r>
          </w:p>
        </w:tc>
        <w:tc>
          <w:tcPr>
            <w:tcW w:w="850" w:type="dxa"/>
          </w:tcPr>
          <w:p w14:paraId="48702EBF"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4</w:t>
            </w:r>
          </w:p>
        </w:tc>
        <w:tc>
          <w:tcPr>
            <w:tcW w:w="1277" w:type="dxa"/>
          </w:tcPr>
          <w:p w14:paraId="12BE3573"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26152B03"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Non-Industry</w:t>
            </w:r>
          </w:p>
        </w:tc>
        <w:tc>
          <w:tcPr>
            <w:tcW w:w="1275" w:type="dxa"/>
          </w:tcPr>
          <w:p w14:paraId="151FC857"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YES</w:t>
            </w:r>
          </w:p>
        </w:tc>
      </w:tr>
      <w:tr w:rsidR="008E6CBA" w:rsidRPr="00EF15D4" w14:paraId="73D8F25F" w14:textId="77777777" w:rsidTr="000C1519">
        <w:trPr>
          <w:trHeight w:val="189"/>
        </w:trPr>
        <w:tc>
          <w:tcPr>
            <w:tcW w:w="1555" w:type="dxa"/>
          </w:tcPr>
          <w:p w14:paraId="0CFF06AE"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NCT01194245</w:t>
            </w:r>
          </w:p>
        </w:tc>
        <w:tc>
          <w:tcPr>
            <w:tcW w:w="992" w:type="dxa"/>
          </w:tcPr>
          <w:p w14:paraId="2EAFF716"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2FA6D179"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A Phase II, Randomized, Double Blind, 2-Way Crossover Safety and Efficacy Study of Subcutaneously Injected Prandial Insulins: Lispro-PH20 or Aspart-PH20 Compared to Insulin Lispro (Humalog) in Patients With Type 1 Diabetes</w:t>
            </w:r>
          </w:p>
        </w:tc>
        <w:tc>
          <w:tcPr>
            <w:tcW w:w="850" w:type="dxa"/>
          </w:tcPr>
          <w:p w14:paraId="2DBED790"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2</w:t>
            </w:r>
          </w:p>
        </w:tc>
        <w:tc>
          <w:tcPr>
            <w:tcW w:w="1277" w:type="dxa"/>
          </w:tcPr>
          <w:p w14:paraId="0D608988"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4B88CE31"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Industry</w:t>
            </w:r>
          </w:p>
        </w:tc>
        <w:tc>
          <w:tcPr>
            <w:tcW w:w="1275" w:type="dxa"/>
          </w:tcPr>
          <w:p w14:paraId="5A5B18F2"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w:t>
            </w:r>
          </w:p>
        </w:tc>
      </w:tr>
      <w:tr w:rsidR="008E6CBA" w:rsidRPr="00EF15D4" w14:paraId="477BF193" w14:textId="77777777" w:rsidTr="000C1519">
        <w:trPr>
          <w:trHeight w:val="189"/>
        </w:trPr>
        <w:tc>
          <w:tcPr>
            <w:tcW w:w="1555" w:type="dxa"/>
          </w:tcPr>
          <w:p w14:paraId="64D72D61"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NCT00916357</w:t>
            </w:r>
          </w:p>
        </w:tc>
        <w:tc>
          <w:tcPr>
            <w:tcW w:w="992" w:type="dxa"/>
          </w:tcPr>
          <w:p w14:paraId="2DF4E0A5"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265ADDD4"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Phase 2, Double-Blind Randomized, 3-way Cross-Over Liquid Meal Study With Optimal Doses of SC Administered Insulin Lispro With and Without rHuPH20 and Regular Human Insulin With rHuPH20 to Compare Pharmacokinetics, Postprandial Glycemic Response, and Optimal Insulin Dose in Patients With T2DM</w:t>
            </w:r>
          </w:p>
        </w:tc>
        <w:tc>
          <w:tcPr>
            <w:tcW w:w="850" w:type="dxa"/>
          </w:tcPr>
          <w:p w14:paraId="06FCD739"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2</w:t>
            </w:r>
          </w:p>
        </w:tc>
        <w:tc>
          <w:tcPr>
            <w:tcW w:w="1277" w:type="dxa"/>
          </w:tcPr>
          <w:p w14:paraId="2CD96AF1"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2BE87319"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Industry</w:t>
            </w:r>
          </w:p>
        </w:tc>
        <w:tc>
          <w:tcPr>
            <w:tcW w:w="1275" w:type="dxa"/>
          </w:tcPr>
          <w:p w14:paraId="0F944DDE"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YES</w:t>
            </w:r>
          </w:p>
        </w:tc>
      </w:tr>
      <w:tr w:rsidR="008E6CBA" w:rsidRPr="00EF15D4" w14:paraId="05240F3F" w14:textId="77777777" w:rsidTr="000C1519">
        <w:trPr>
          <w:trHeight w:val="189"/>
        </w:trPr>
        <w:tc>
          <w:tcPr>
            <w:tcW w:w="1555" w:type="dxa"/>
          </w:tcPr>
          <w:p w14:paraId="78EF6985"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NCT00993824</w:t>
            </w:r>
          </w:p>
        </w:tc>
        <w:tc>
          <w:tcPr>
            <w:tcW w:w="992" w:type="dxa"/>
          </w:tcPr>
          <w:p w14:paraId="13AFFA59"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6123D284"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 xml:space="preserve">Use of Continuous Glucose Monitoring With Ambulatory </w:t>
            </w:r>
            <w:r w:rsidRPr="00EF15D4">
              <w:rPr>
                <w:rFonts w:ascii="Helvetica Neue" w:hAnsi="Helvetica Neue"/>
                <w:color w:val="000000"/>
                <w:sz w:val="20"/>
                <w:szCs w:val="20"/>
              </w:rPr>
              <w:lastRenderedPageBreak/>
              <w:t>Glucose Profile Analysis to Demonstrate the Glycemic Effect of Colesevelam HCl (Welchol) in Patients With Type 2 Diabetes</w:t>
            </w:r>
          </w:p>
        </w:tc>
        <w:tc>
          <w:tcPr>
            <w:tcW w:w="850" w:type="dxa"/>
          </w:tcPr>
          <w:p w14:paraId="364FF5E9"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lastRenderedPageBreak/>
              <w:t>2/3</w:t>
            </w:r>
          </w:p>
        </w:tc>
        <w:tc>
          <w:tcPr>
            <w:tcW w:w="1277" w:type="dxa"/>
          </w:tcPr>
          <w:p w14:paraId="3499AAF6"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06406581"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Non-Industry</w:t>
            </w:r>
          </w:p>
        </w:tc>
        <w:tc>
          <w:tcPr>
            <w:tcW w:w="1275" w:type="dxa"/>
          </w:tcPr>
          <w:p w14:paraId="6F82B9F0"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YES</w:t>
            </w:r>
          </w:p>
        </w:tc>
      </w:tr>
      <w:tr w:rsidR="008E6CBA" w:rsidRPr="00EF15D4" w14:paraId="393FA3B2" w14:textId="77777777" w:rsidTr="000C1519">
        <w:trPr>
          <w:trHeight w:val="189"/>
        </w:trPr>
        <w:tc>
          <w:tcPr>
            <w:tcW w:w="1555" w:type="dxa"/>
          </w:tcPr>
          <w:p w14:paraId="53699C75"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NCT00918138</w:t>
            </w:r>
          </w:p>
        </w:tc>
        <w:tc>
          <w:tcPr>
            <w:tcW w:w="992" w:type="dxa"/>
          </w:tcPr>
          <w:p w14:paraId="15A413AA"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52932E75"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A 4-Week, Multicenter, Randomized, Double-Blind, Phase 3b Trial to Evaluate the Efficacy of Saxagliptin in Combination With Metformin XR 1500 mg Versus Up-titrated Metformin XR to 2000 mg in Subjects With Type 2 Diabetes Who Have Inadequate Glycemic Control With Diet and Exercise and a Stable Dose of Metformin XR 1500 mg</w:t>
            </w:r>
          </w:p>
        </w:tc>
        <w:tc>
          <w:tcPr>
            <w:tcW w:w="850" w:type="dxa"/>
          </w:tcPr>
          <w:p w14:paraId="736A2634"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3</w:t>
            </w:r>
          </w:p>
        </w:tc>
        <w:tc>
          <w:tcPr>
            <w:tcW w:w="1277" w:type="dxa"/>
          </w:tcPr>
          <w:p w14:paraId="4A4881B7"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5AA527D0"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Industry</w:t>
            </w:r>
          </w:p>
        </w:tc>
        <w:tc>
          <w:tcPr>
            <w:tcW w:w="1275" w:type="dxa"/>
          </w:tcPr>
          <w:p w14:paraId="0CF54AB4"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YES</w:t>
            </w:r>
          </w:p>
        </w:tc>
      </w:tr>
      <w:tr w:rsidR="008E6CBA" w:rsidRPr="00EF15D4" w14:paraId="119E79D7" w14:textId="77777777" w:rsidTr="000C1519">
        <w:trPr>
          <w:trHeight w:val="189"/>
        </w:trPr>
        <w:tc>
          <w:tcPr>
            <w:tcW w:w="1555" w:type="dxa"/>
          </w:tcPr>
          <w:p w14:paraId="5977C85E"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NCT00844090</w:t>
            </w:r>
          </w:p>
        </w:tc>
        <w:tc>
          <w:tcPr>
            <w:tcW w:w="992" w:type="dxa"/>
          </w:tcPr>
          <w:p w14:paraId="634E9CC8"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59E18E4E"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The Role of Apathy in Glycemic Control</w:t>
            </w:r>
          </w:p>
        </w:tc>
        <w:tc>
          <w:tcPr>
            <w:tcW w:w="850" w:type="dxa"/>
          </w:tcPr>
          <w:p w14:paraId="3D1D2485"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NA</w:t>
            </w:r>
          </w:p>
        </w:tc>
        <w:tc>
          <w:tcPr>
            <w:tcW w:w="1277" w:type="dxa"/>
          </w:tcPr>
          <w:p w14:paraId="220EE885"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Completed</w:t>
            </w:r>
          </w:p>
        </w:tc>
        <w:tc>
          <w:tcPr>
            <w:tcW w:w="1134" w:type="dxa"/>
          </w:tcPr>
          <w:p w14:paraId="30FB06DE"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Non-Industry</w:t>
            </w:r>
          </w:p>
        </w:tc>
        <w:tc>
          <w:tcPr>
            <w:tcW w:w="1275" w:type="dxa"/>
          </w:tcPr>
          <w:p w14:paraId="2943303E"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w:t>
            </w:r>
          </w:p>
        </w:tc>
      </w:tr>
      <w:tr w:rsidR="008E6CBA" w:rsidRPr="00EF15D4" w14:paraId="76D6A659" w14:textId="77777777" w:rsidTr="000C1519">
        <w:trPr>
          <w:trHeight w:val="189"/>
        </w:trPr>
        <w:tc>
          <w:tcPr>
            <w:tcW w:w="1555" w:type="dxa"/>
          </w:tcPr>
          <w:p w14:paraId="07B4F33E" w14:textId="77777777" w:rsidR="008E6CBA" w:rsidRDefault="008E6CBA" w:rsidP="000C1519">
            <w:pPr>
              <w:jc w:val="center"/>
              <w:rPr>
                <w:rFonts w:ascii="Helvetica Neue" w:hAnsi="Helvetica Neue"/>
                <w:color w:val="000000"/>
                <w:sz w:val="20"/>
                <w:szCs w:val="20"/>
              </w:rPr>
            </w:pPr>
            <w:r>
              <w:rPr>
                <w:rFonts w:ascii="Helvetica Neue" w:hAnsi="Helvetica Neue"/>
                <w:color w:val="000000"/>
                <w:sz w:val="20"/>
                <w:szCs w:val="20"/>
              </w:rPr>
              <w:t>NCT00978796</w:t>
            </w:r>
          </w:p>
        </w:tc>
        <w:tc>
          <w:tcPr>
            <w:tcW w:w="992" w:type="dxa"/>
          </w:tcPr>
          <w:p w14:paraId="43E44599" w14:textId="77777777" w:rsidR="008E6CBA"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274EE1A4" w14:textId="77777777" w:rsidR="008E6CBA" w:rsidRDefault="008E6CBA" w:rsidP="000C1519">
            <w:pPr>
              <w:jc w:val="center"/>
              <w:rPr>
                <w:rFonts w:ascii="Helvetica Neue" w:hAnsi="Helvetica Neue"/>
                <w:color w:val="000000"/>
                <w:sz w:val="20"/>
                <w:szCs w:val="20"/>
              </w:rPr>
            </w:pPr>
            <w:r w:rsidRPr="00D2386B">
              <w:rPr>
                <w:rFonts w:ascii="Helvetica Neue" w:hAnsi="Helvetica Neue"/>
                <w:color w:val="000000"/>
                <w:sz w:val="20"/>
                <w:szCs w:val="20"/>
                <w:shd w:val="clear" w:color="auto" w:fill="FFFFFF"/>
              </w:rPr>
              <w:t>Pilot Study Assessing Glucose Effects of Sitagliptin (Januvia) in Adult Patients With Type 1 Diabetes</w:t>
            </w:r>
          </w:p>
        </w:tc>
        <w:tc>
          <w:tcPr>
            <w:tcW w:w="850" w:type="dxa"/>
          </w:tcPr>
          <w:p w14:paraId="18330900" w14:textId="77777777" w:rsidR="008E6CBA" w:rsidRDefault="008E6CBA" w:rsidP="000C1519">
            <w:pPr>
              <w:jc w:val="center"/>
              <w:rPr>
                <w:rFonts w:ascii="Helvetica Neue" w:hAnsi="Helvetica Neue"/>
                <w:sz w:val="20"/>
                <w:szCs w:val="20"/>
              </w:rPr>
            </w:pPr>
            <w:r>
              <w:rPr>
                <w:rFonts w:ascii="Helvetica Neue" w:hAnsi="Helvetica Neue"/>
                <w:sz w:val="20"/>
                <w:szCs w:val="20"/>
              </w:rPr>
              <w:t>4</w:t>
            </w:r>
          </w:p>
        </w:tc>
        <w:tc>
          <w:tcPr>
            <w:tcW w:w="1277" w:type="dxa"/>
          </w:tcPr>
          <w:p w14:paraId="78ED1638" w14:textId="77777777" w:rsidR="008E6CBA" w:rsidRDefault="008E6CBA" w:rsidP="000C1519">
            <w:pPr>
              <w:jc w:val="center"/>
              <w:rPr>
                <w:rFonts w:ascii="Helvetica Neue" w:hAnsi="Helvetica Neue"/>
                <w:sz w:val="20"/>
                <w:szCs w:val="20"/>
              </w:rPr>
            </w:pPr>
            <w:r>
              <w:rPr>
                <w:rFonts w:ascii="Helvetica Neue" w:hAnsi="Helvetica Neue"/>
                <w:sz w:val="20"/>
                <w:szCs w:val="20"/>
              </w:rPr>
              <w:t>Completed</w:t>
            </w:r>
          </w:p>
        </w:tc>
        <w:tc>
          <w:tcPr>
            <w:tcW w:w="1134" w:type="dxa"/>
          </w:tcPr>
          <w:p w14:paraId="3A7A5EA7" w14:textId="77777777" w:rsidR="008E6CBA" w:rsidRDefault="008E6CBA" w:rsidP="000C1519">
            <w:pPr>
              <w:jc w:val="center"/>
              <w:rPr>
                <w:rFonts w:ascii="Helvetica Neue" w:hAnsi="Helvetica Neue"/>
                <w:sz w:val="20"/>
                <w:szCs w:val="20"/>
              </w:rPr>
            </w:pPr>
            <w:r>
              <w:rPr>
                <w:rFonts w:ascii="Helvetica Neue" w:hAnsi="Helvetica Neue"/>
                <w:sz w:val="20"/>
                <w:szCs w:val="20"/>
              </w:rPr>
              <w:t>Non-Industry</w:t>
            </w:r>
          </w:p>
        </w:tc>
        <w:tc>
          <w:tcPr>
            <w:tcW w:w="1275" w:type="dxa"/>
          </w:tcPr>
          <w:p w14:paraId="038DED56" w14:textId="77777777" w:rsidR="008E6CBA" w:rsidRDefault="008E6CBA" w:rsidP="000C1519">
            <w:pPr>
              <w:jc w:val="center"/>
              <w:rPr>
                <w:rFonts w:ascii="Helvetica Neue" w:hAnsi="Helvetica Neue"/>
                <w:sz w:val="20"/>
                <w:szCs w:val="20"/>
              </w:rPr>
            </w:pPr>
            <w:r>
              <w:rPr>
                <w:rFonts w:ascii="Helvetica Neue" w:hAnsi="Helvetica Neue"/>
                <w:sz w:val="20"/>
                <w:szCs w:val="20"/>
              </w:rPr>
              <w:t>YES</w:t>
            </w:r>
          </w:p>
        </w:tc>
      </w:tr>
      <w:tr w:rsidR="008E6CBA" w:rsidRPr="00EF15D4" w14:paraId="44031292" w14:textId="77777777" w:rsidTr="000C1519">
        <w:trPr>
          <w:trHeight w:val="189"/>
        </w:trPr>
        <w:tc>
          <w:tcPr>
            <w:tcW w:w="1555" w:type="dxa"/>
          </w:tcPr>
          <w:p w14:paraId="23B8A7AF"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NCT01089569</w:t>
            </w:r>
          </w:p>
        </w:tc>
        <w:tc>
          <w:tcPr>
            <w:tcW w:w="992" w:type="dxa"/>
          </w:tcPr>
          <w:p w14:paraId="7E05A815" w14:textId="77777777" w:rsidR="008E6CBA" w:rsidRDefault="008E6CBA" w:rsidP="000C1519">
            <w:pPr>
              <w:jc w:val="center"/>
              <w:rPr>
                <w:rFonts w:ascii="Helvetica Neue" w:hAnsi="Helvetica Neue"/>
                <w:sz w:val="20"/>
                <w:szCs w:val="20"/>
              </w:rPr>
            </w:pPr>
            <w:r>
              <w:rPr>
                <w:rFonts w:ascii="Helvetica Neue" w:hAnsi="Helvetica Neue"/>
                <w:sz w:val="20"/>
                <w:szCs w:val="20"/>
              </w:rPr>
              <w:t>DM</w:t>
            </w:r>
          </w:p>
        </w:tc>
        <w:tc>
          <w:tcPr>
            <w:tcW w:w="3402" w:type="dxa"/>
          </w:tcPr>
          <w:p w14:paraId="3A0E20B8"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Evaluation of Insulin Glargine and Exenatide: A Randomized Clinical Trial with Continuous Glucose Monitoring and Ambulatory Glucose Profile Analysis</w:t>
            </w:r>
          </w:p>
        </w:tc>
        <w:tc>
          <w:tcPr>
            <w:tcW w:w="850" w:type="dxa"/>
          </w:tcPr>
          <w:p w14:paraId="4B0A0CAF"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NA</w:t>
            </w:r>
          </w:p>
        </w:tc>
        <w:tc>
          <w:tcPr>
            <w:tcW w:w="1277" w:type="dxa"/>
          </w:tcPr>
          <w:p w14:paraId="5B95673F"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Completed</w:t>
            </w:r>
          </w:p>
        </w:tc>
        <w:tc>
          <w:tcPr>
            <w:tcW w:w="1134" w:type="dxa"/>
          </w:tcPr>
          <w:p w14:paraId="0DA6B548"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Non-Industry</w:t>
            </w:r>
          </w:p>
        </w:tc>
        <w:tc>
          <w:tcPr>
            <w:tcW w:w="1275" w:type="dxa"/>
          </w:tcPr>
          <w:p w14:paraId="4F853304"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YES</w:t>
            </w:r>
          </w:p>
        </w:tc>
      </w:tr>
      <w:tr w:rsidR="008E6CBA" w:rsidRPr="00EF15D4" w14:paraId="290B9C4B" w14:textId="77777777" w:rsidTr="000C1519">
        <w:trPr>
          <w:trHeight w:val="189"/>
        </w:trPr>
        <w:tc>
          <w:tcPr>
            <w:tcW w:w="1555" w:type="dxa"/>
          </w:tcPr>
          <w:p w14:paraId="44EC3704"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NCT00918203</w:t>
            </w:r>
          </w:p>
        </w:tc>
        <w:tc>
          <w:tcPr>
            <w:tcW w:w="992" w:type="dxa"/>
          </w:tcPr>
          <w:p w14:paraId="35077556"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Lung CA</w:t>
            </w:r>
          </w:p>
        </w:tc>
        <w:tc>
          <w:tcPr>
            <w:tcW w:w="3402" w:type="dxa"/>
          </w:tcPr>
          <w:p w14:paraId="7A2D38C2"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A Randomized Phase 2 Study of Human Anti-PDGFRa Monoclonal Antibody (IMC-3G3) with Paclitaxel/Carboplatin or Paclitaxel/Carboplatin Alone in Previously Untreated Patients with Locally Advanced or Metastatic Non-Small Cell Lung Cancer</w:t>
            </w:r>
          </w:p>
        </w:tc>
        <w:tc>
          <w:tcPr>
            <w:tcW w:w="850" w:type="dxa"/>
          </w:tcPr>
          <w:p w14:paraId="33E7667C"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2</w:t>
            </w:r>
          </w:p>
        </w:tc>
        <w:tc>
          <w:tcPr>
            <w:tcW w:w="1277" w:type="dxa"/>
          </w:tcPr>
          <w:p w14:paraId="4F536E33"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Completed</w:t>
            </w:r>
          </w:p>
        </w:tc>
        <w:tc>
          <w:tcPr>
            <w:tcW w:w="1134" w:type="dxa"/>
          </w:tcPr>
          <w:p w14:paraId="4EB77B7C"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Industry</w:t>
            </w:r>
          </w:p>
        </w:tc>
        <w:tc>
          <w:tcPr>
            <w:tcW w:w="1275" w:type="dxa"/>
          </w:tcPr>
          <w:p w14:paraId="70091F88"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YES</w:t>
            </w:r>
          </w:p>
        </w:tc>
      </w:tr>
      <w:tr w:rsidR="008E6CBA" w:rsidRPr="00EF15D4" w14:paraId="0D7BB0DE" w14:textId="77777777" w:rsidTr="000C1519">
        <w:trPr>
          <w:trHeight w:val="189"/>
        </w:trPr>
        <w:tc>
          <w:tcPr>
            <w:tcW w:w="1555" w:type="dxa"/>
          </w:tcPr>
          <w:p w14:paraId="3D77B4B3"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NCT00976677</w:t>
            </w:r>
          </w:p>
        </w:tc>
        <w:tc>
          <w:tcPr>
            <w:tcW w:w="992" w:type="dxa"/>
          </w:tcPr>
          <w:p w14:paraId="345C0D7F"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Lung C</w:t>
            </w:r>
            <w:r>
              <w:rPr>
                <w:rFonts w:ascii="Helvetica Neue" w:hAnsi="Helvetica Neue"/>
                <w:sz w:val="20"/>
                <w:szCs w:val="20"/>
              </w:rPr>
              <w:t>A</w:t>
            </w:r>
          </w:p>
        </w:tc>
        <w:tc>
          <w:tcPr>
            <w:tcW w:w="3402" w:type="dxa"/>
          </w:tcPr>
          <w:p w14:paraId="4A7E8C24"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Randomized Double-Blind Placebo Controlled Phase II Trial Evaluating Erlotinib in Non-Smoking Patients With (Bevacizumab-Eligible and Ineligible) Advanced Non-Small Cell Lung Cancer</w:t>
            </w:r>
          </w:p>
        </w:tc>
        <w:tc>
          <w:tcPr>
            <w:tcW w:w="850" w:type="dxa"/>
          </w:tcPr>
          <w:p w14:paraId="73D31419"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2</w:t>
            </w:r>
          </w:p>
        </w:tc>
        <w:tc>
          <w:tcPr>
            <w:tcW w:w="1277" w:type="dxa"/>
          </w:tcPr>
          <w:p w14:paraId="03B6E6D1"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Terminated</w:t>
            </w:r>
          </w:p>
        </w:tc>
        <w:tc>
          <w:tcPr>
            <w:tcW w:w="1134" w:type="dxa"/>
          </w:tcPr>
          <w:p w14:paraId="1AC18A6A"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Non-Industry</w:t>
            </w:r>
          </w:p>
        </w:tc>
        <w:tc>
          <w:tcPr>
            <w:tcW w:w="1275" w:type="dxa"/>
          </w:tcPr>
          <w:p w14:paraId="0DE7B79D"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w:t>
            </w:r>
          </w:p>
        </w:tc>
      </w:tr>
      <w:tr w:rsidR="008E6CBA" w:rsidRPr="00EF15D4" w14:paraId="5B09CC58" w14:textId="77777777" w:rsidTr="000C1519">
        <w:trPr>
          <w:trHeight w:val="189"/>
        </w:trPr>
        <w:tc>
          <w:tcPr>
            <w:tcW w:w="1555" w:type="dxa"/>
          </w:tcPr>
          <w:p w14:paraId="5D3CFC47"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NCT00977470</w:t>
            </w:r>
          </w:p>
        </w:tc>
        <w:tc>
          <w:tcPr>
            <w:tcW w:w="992" w:type="dxa"/>
          </w:tcPr>
          <w:p w14:paraId="07A72283"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Lung C</w:t>
            </w:r>
            <w:r>
              <w:rPr>
                <w:rFonts w:ascii="Helvetica Neue" w:hAnsi="Helvetica Neue"/>
                <w:sz w:val="20"/>
                <w:szCs w:val="20"/>
              </w:rPr>
              <w:t>A</w:t>
            </w:r>
          </w:p>
        </w:tc>
        <w:tc>
          <w:tcPr>
            <w:tcW w:w="3402" w:type="dxa"/>
          </w:tcPr>
          <w:p w14:paraId="31E3B297" w14:textId="77777777" w:rsidR="008E6CBA" w:rsidRPr="00EF15D4" w:rsidRDefault="008E6CBA" w:rsidP="000C1519">
            <w:pPr>
              <w:jc w:val="center"/>
              <w:rPr>
                <w:rFonts w:ascii="Helvetica Neue" w:hAnsi="Helvetica Neue"/>
                <w:color w:val="000000"/>
                <w:sz w:val="20"/>
                <w:szCs w:val="20"/>
              </w:rPr>
            </w:pPr>
            <w:r w:rsidRPr="00EF15D4">
              <w:rPr>
                <w:rFonts w:ascii="Helvetica Neue" w:hAnsi="Helvetica Neue"/>
                <w:color w:val="000000"/>
                <w:sz w:val="20"/>
                <w:szCs w:val="20"/>
              </w:rPr>
              <w:t>Phase II Study of Erlotinib With or Without Hydroxychloroquine in Patients With Previously Untreated Advanced NSCLC and EGFR Mutations</w:t>
            </w:r>
          </w:p>
        </w:tc>
        <w:tc>
          <w:tcPr>
            <w:tcW w:w="850" w:type="dxa"/>
          </w:tcPr>
          <w:p w14:paraId="07470AC6"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2</w:t>
            </w:r>
          </w:p>
        </w:tc>
        <w:tc>
          <w:tcPr>
            <w:tcW w:w="1277" w:type="dxa"/>
          </w:tcPr>
          <w:p w14:paraId="4B74FF15"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Active, NR</w:t>
            </w:r>
          </w:p>
        </w:tc>
        <w:tc>
          <w:tcPr>
            <w:tcW w:w="1134" w:type="dxa"/>
          </w:tcPr>
          <w:p w14:paraId="626AA876"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Non-Industry</w:t>
            </w:r>
          </w:p>
        </w:tc>
        <w:tc>
          <w:tcPr>
            <w:tcW w:w="1275" w:type="dxa"/>
          </w:tcPr>
          <w:p w14:paraId="30CD9CEC" w14:textId="77777777" w:rsidR="008E6CBA" w:rsidRPr="00EF15D4" w:rsidRDefault="008E6CBA" w:rsidP="000C1519">
            <w:pPr>
              <w:jc w:val="center"/>
              <w:rPr>
                <w:rFonts w:ascii="Helvetica Neue" w:hAnsi="Helvetica Neue"/>
                <w:sz w:val="20"/>
                <w:szCs w:val="20"/>
              </w:rPr>
            </w:pPr>
            <w:r w:rsidRPr="00EF15D4">
              <w:rPr>
                <w:rFonts w:ascii="Helvetica Neue" w:hAnsi="Helvetica Neue"/>
                <w:sz w:val="20"/>
                <w:szCs w:val="20"/>
              </w:rPr>
              <w:t>NO</w:t>
            </w:r>
          </w:p>
        </w:tc>
      </w:tr>
      <w:tr w:rsidR="008E6CBA" w:rsidRPr="00EF15D4" w14:paraId="71E3A6B2" w14:textId="77777777" w:rsidTr="000C1519">
        <w:trPr>
          <w:trHeight w:val="189"/>
        </w:trPr>
        <w:tc>
          <w:tcPr>
            <w:tcW w:w="1555" w:type="dxa"/>
          </w:tcPr>
          <w:p w14:paraId="21F1382B"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NCT01085136</w:t>
            </w:r>
          </w:p>
        </w:tc>
        <w:tc>
          <w:tcPr>
            <w:tcW w:w="992" w:type="dxa"/>
          </w:tcPr>
          <w:p w14:paraId="3E048830"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Lung CA</w:t>
            </w:r>
          </w:p>
        </w:tc>
        <w:tc>
          <w:tcPr>
            <w:tcW w:w="3402" w:type="dxa"/>
          </w:tcPr>
          <w:p w14:paraId="4EE9669D" w14:textId="77777777" w:rsidR="008E6CBA" w:rsidRPr="00EF15D4" w:rsidRDefault="008E6CBA" w:rsidP="000C1519">
            <w:pPr>
              <w:jc w:val="center"/>
              <w:rPr>
                <w:rFonts w:ascii="Helvetica Neue" w:hAnsi="Helvetica Neue"/>
                <w:color w:val="000000"/>
                <w:sz w:val="20"/>
                <w:szCs w:val="20"/>
              </w:rPr>
            </w:pPr>
            <w:r>
              <w:rPr>
                <w:rFonts w:ascii="Helvetica Neue" w:hAnsi="Helvetica Neue"/>
                <w:color w:val="000000"/>
                <w:sz w:val="20"/>
                <w:szCs w:val="20"/>
              </w:rPr>
              <w:t>Phase III Randomized Trial of BIBW 2992 Plus Weekly Paclitaxel Versus Investigator’s Choice of Chemotherapy Following BIBW 2992 Monotherapy in Non-Small Cell Lung Cancer Patients Failing Previous Erlotinib or Gefitinib Treatment (LUX Lung 5)</w:t>
            </w:r>
          </w:p>
        </w:tc>
        <w:tc>
          <w:tcPr>
            <w:tcW w:w="850" w:type="dxa"/>
          </w:tcPr>
          <w:p w14:paraId="6B127252"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3</w:t>
            </w:r>
          </w:p>
        </w:tc>
        <w:tc>
          <w:tcPr>
            <w:tcW w:w="1277" w:type="dxa"/>
          </w:tcPr>
          <w:p w14:paraId="3DB89319"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Completed</w:t>
            </w:r>
          </w:p>
        </w:tc>
        <w:tc>
          <w:tcPr>
            <w:tcW w:w="1134" w:type="dxa"/>
          </w:tcPr>
          <w:p w14:paraId="6CF001B8"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Industry</w:t>
            </w:r>
          </w:p>
        </w:tc>
        <w:tc>
          <w:tcPr>
            <w:tcW w:w="1275" w:type="dxa"/>
          </w:tcPr>
          <w:p w14:paraId="4E7ECF4D" w14:textId="77777777" w:rsidR="008E6CBA" w:rsidRPr="00EF15D4" w:rsidRDefault="008E6CBA" w:rsidP="000C1519">
            <w:pPr>
              <w:jc w:val="center"/>
              <w:rPr>
                <w:rFonts w:ascii="Helvetica Neue" w:hAnsi="Helvetica Neue"/>
                <w:sz w:val="20"/>
                <w:szCs w:val="20"/>
              </w:rPr>
            </w:pPr>
            <w:r>
              <w:rPr>
                <w:rFonts w:ascii="Helvetica Neue" w:hAnsi="Helvetica Neue"/>
                <w:sz w:val="20"/>
                <w:szCs w:val="20"/>
              </w:rPr>
              <w:t>YES</w:t>
            </w:r>
          </w:p>
        </w:tc>
      </w:tr>
      <w:tr w:rsidR="008E6CBA" w:rsidRPr="00EF15D4" w14:paraId="56D3EAAF" w14:textId="77777777" w:rsidTr="000C1519">
        <w:trPr>
          <w:trHeight w:val="189"/>
        </w:trPr>
        <w:tc>
          <w:tcPr>
            <w:tcW w:w="1555" w:type="dxa"/>
          </w:tcPr>
          <w:p w14:paraId="457EDFD1" w14:textId="77777777" w:rsidR="008E6CBA" w:rsidRDefault="008E6CBA" w:rsidP="000C1519">
            <w:pPr>
              <w:jc w:val="center"/>
              <w:rPr>
                <w:rFonts w:ascii="Helvetica Neue" w:hAnsi="Helvetica Neue"/>
                <w:color w:val="000000"/>
                <w:sz w:val="20"/>
                <w:szCs w:val="20"/>
              </w:rPr>
            </w:pPr>
            <w:r>
              <w:rPr>
                <w:rFonts w:ascii="Helvetica Neue" w:hAnsi="Helvetica Neue"/>
                <w:color w:val="000000"/>
                <w:sz w:val="20"/>
                <w:szCs w:val="20"/>
              </w:rPr>
              <w:lastRenderedPageBreak/>
              <w:t>NCT01104155</w:t>
            </w:r>
          </w:p>
        </w:tc>
        <w:tc>
          <w:tcPr>
            <w:tcW w:w="992" w:type="dxa"/>
          </w:tcPr>
          <w:p w14:paraId="2F5D3728" w14:textId="77777777" w:rsidR="008E6CBA" w:rsidRDefault="008E6CBA" w:rsidP="000C1519">
            <w:pPr>
              <w:jc w:val="center"/>
              <w:rPr>
                <w:rFonts w:ascii="Helvetica Neue" w:hAnsi="Helvetica Neue"/>
                <w:sz w:val="20"/>
                <w:szCs w:val="20"/>
              </w:rPr>
            </w:pPr>
            <w:r>
              <w:rPr>
                <w:rFonts w:ascii="Helvetica Neue" w:hAnsi="Helvetica Neue"/>
                <w:sz w:val="20"/>
                <w:szCs w:val="20"/>
              </w:rPr>
              <w:t>Lung CA</w:t>
            </w:r>
          </w:p>
        </w:tc>
        <w:tc>
          <w:tcPr>
            <w:tcW w:w="3402" w:type="dxa"/>
          </w:tcPr>
          <w:p w14:paraId="2619D864" w14:textId="77777777" w:rsidR="008E6CBA" w:rsidRDefault="008E6CBA" w:rsidP="000C1519">
            <w:pPr>
              <w:jc w:val="center"/>
              <w:rPr>
                <w:rFonts w:ascii="Helvetica Neue" w:hAnsi="Helvetica Neue"/>
                <w:color w:val="000000"/>
                <w:sz w:val="20"/>
                <w:szCs w:val="20"/>
              </w:rPr>
            </w:pPr>
            <w:r>
              <w:rPr>
                <w:rFonts w:ascii="Helvetica Neue" w:hAnsi="Helvetica Neue"/>
                <w:color w:val="000000"/>
                <w:sz w:val="20"/>
                <w:szCs w:val="20"/>
              </w:rPr>
              <w:t xml:space="preserve">Eribulin Mesylate in Combination with Intermittent Erlotinib in Patients with Previously Treated, Advanced Non-Small Cell Lung Cancer </w:t>
            </w:r>
          </w:p>
        </w:tc>
        <w:tc>
          <w:tcPr>
            <w:tcW w:w="850" w:type="dxa"/>
          </w:tcPr>
          <w:p w14:paraId="488F4C85" w14:textId="77777777" w:rsidR="008E6CBA" w:rsidRDefault="008E6CBA" w:rsidP="000C1519">
            <w:pPr>
              <w:jc w:val="center"/>
              <w:rPr>
                <w:rFonts w:ascii="Helvetica Neue" w:hAnsi="Helvetica Neue"/>
                <w:sz w:val="20"/>
                <w:szCs w:val="20"/>
              </w:rPr>
            </w:pPr>
            <w:r>
              <w:rPr>
                <w:rFonts w:ascii="Helvetica Neue" w:hAnsi="Helvetica Neue"/>
                <w:sz w:val="20"/>
                <w:szCs w:val="20"/>
              </w:rPr>
              <w:t>2</w:t>
            </w:r>
          </w:p>
        </w:tc>
        <w:tc>
          <w:tcPr>
            <w:tcW w:w="1277" w:type="dxa"/>
          </w:tcPr>
          <w:p w14:paraId="3C775C23" w14:textId="77777777" w:rsidR="008E6CBA" w:rsidRDefault="008E6CBA" w:rsidP="000C1519">
            <w:pPr>
              <w:jc w:val="center"/>
              <w:rPr>
                <w:rFonts w:ascii="Helvetica Neue" w:hAnsi="Helvetica Neue"/>
                <w:sz w:val="20"/>
                <w:szCs w:val="20"/>
              </w:rPr>
            </w:pPr>
            <w:r>
              <w:rPr>
                <w:rFonts w:ascii="Helvetica Neue" w:hAnsi="Helvetica Neue"/>
                <w:sz w:val="20"/>
                <w:szCs w:val="20"/>
              </w:rPr>
              <w:t>Completed</w:t>
            </w:r>
          </w:p>
        </w:tc>
        <w:tc>
          <w:tcPr>
            <w:tcW w:w="1134" w:type="dxa"/>
          </w:tcPr>
          <w:p w14:paraId="4A16920A" w14:textId="77777777" w:rsidR="008E6CBA" w:rsidRDefault="008E6CBA" w:rsidP="000C1519">
            <w:pPr>
              <w:jc w:val="center"/>
              <w:rPr>
                <w:rFonts w:ascii="Helvetica Neue" w:hAnsi="Helvetica Neue"/>
                <w:sz w:val="20"/>
                <w:szCs w:val="20"/>
              </w:rPr>
            </w:pPr>
            <w:r>
              <w:rPr>
                <w:rFonts w:ascii="Helvetica Neue" w:hAnsi="Helvetica Neue"/>
                <w:sz w:val="20"/>
                <w:szCs w:val="20"/>
              </w:rPr>
              <w:t>Industry</w:t>
            </w:r>
          </w:p>
        </w:tc>
        <w:tc>
          <w:tcPr>
            <w:tcW w:w="1275" w:type="dxa"/>
          </w:tcPr>
          <w:p w14:paraId="5EED75FA" w14:textId="77777777" w:rsidR="008E6CBA" w:rsidRDefault="008E6CBA" w:rsidP="000C1519">
            <w:pPr>
              <w:jc w:val="center"/>
              <w:rPr>
                <w:rFonts w:ascii="Helvetica Neue" w:hAnsi="Helvetica Neue"/>
                <w:sz w:val="20"/>
                <w:szCs w:val="20"/>
              </w:rPr>
            </w:pPr>
            <w:r>
              <w:rPr>
                <w:rFonts w:ascii="Helvetica Neue" w:hAnsi="Helvetica Neue"/>
                <w:sz w:val="20"/>
                <w:szCs w:val="20"/>
              </w:rPr>
              <w:t>YES</w:t>
            </w:r>
          </w:p>
        </w:tc>
      </w:tr>
    </w:tbl>
    <w:p w14:paraId="305F9C5C" w14:textId="7F3A4789" w:rsidR="008E6CBA" w:rsidRDefault="008E6CBA"/>
    <w:p w14:paraId="5354FAB0" w14:textId="77777777" w:rsidR="008E6CBA" w:rsidRPr="00626754" w:rsidRDefault="008E6CBA" w:rsidP="008E6CBA">
      <w:pPr>
        <w:rPr>
          <w:rFonts w:ascii="Helvetica Neue" w:hAnsi="Helvetica Neue" w:cstheme="minorHAnsi"/>
          <w:sz w:val="20"/>
          <w:szCs w:val="20"/>
        </w:rPr>
      </w:pPr>
      <w:r w:rsidRPr="00626754">
        <w:rPr>
          <w:rFonts w:ascii="Helvetica Neue" w:hAnsi="Helvetica Neue" w:cstheme="minorHAnsi"/>
          <w:sz w:val="20"/>
          <w:szCs w:val="20"/>
        </w:rPr>
        <w:t>IHD – Ischemic Heart Disease</w:t>
      </w:r>
    </w:p>
    <w:p w14:paraId="7E221391" w14:textId="77777777" w:rsidR="008E6CBA" w:rsidRPr="00626754" w:rsidRDefault="008E6CBA" w:rsidP="008E6CBA">
      <w:pPr>
        <w:rPr>
          <w:rFonts w:ascii="Helvetica Neue" w:hAnsi="Helvetica Neue" w:cstheme="minorHAnsi"/>
          <w:sz w:val="20"/>
          <w:szCs w:val="20"/>
        </w:rPr>
      </w:pPr>
      <w:r w:rsidRPr="00626754">
        <w:rPr>
          <w:rFonts w:ascii="Helvetica Neue" w:hAnsi="Helvetica Neue" w:cstheme="minorHAnsi"/>
          <w:sz w:val="20"/>
          <w:szCs w:val="20"/>
        </w:rPr>
        <w:t>DM – Diabetes Mellitus</w:t>
      </w:r>
    </w:p>
    <w:p w14:paraId="7C559583" w14:textId="77777777" w:rsidR="008E6CBA" w:rsidRDefault="008E6CBA" w:rsidP="008E6CBA">
      <w:pPr>
        <w:rPr>
          <w:rFonts w:ascii="Helvetica Neue" w:hAnsi="Helvetica Neue"/>
          <w:sz w:val="20"/>
          <w:szCs w:val="20"/>
        </w:rPr>
      </w:pPr>
      <w:r w:rsidRPr="00626754">
        <w:rPr>
          <w:rFonts w:ascii="Helvetica Neue" w:hAnsi="Helvetica Neue"/>
          <w:sz w:val="20"/>
          <w:szCs w:val="20"/>
        </w:rPr>
        <w:t>Lung CA – Lung Cancer</w:t>
      </w:r>
    </w:p>
    <w:p w14:paraId="79D74A94" w14:textId="77777777" w:rsidR="008E6CBA" w:rsidRDefault="008E6CBA"/>
    <w:sectPr w:rsidR="008E6CBA" w:rsidSect="00E438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EE"/>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CBA"/>
    <w:rsid w:val="00001CB6"/>
    <w:rsid w:val="00056260"/>
    <w:rsid w:val="00090105"/>
    <w:rsid w:val="000B038F"/>
    <w:rsid w:val="000B2AAB"/>
    <w:rsid w:val="000C3ED8"/>
    <w:rsid w:val="000D0C2D"/>
    <w:rsid w:val="001B6339"/>
    <w:rsid w:val="001D0CEF"/>
    <w:rsid w:val="002321C3"/>
    <w:rsid w:val="0023759D"/>
    <w:rsid w:val="00243C58"/>
    <w:rsid w:val="0028094F"/>
    <w:rsid w:val="002B09EB"/>
    <w:rsid w:val="002E5583"/>
    <w:rsid w:val="003833BB"/>
    <w:rsid w:val="0039229A"/>
    <w:rsid w:val="003C39C4"/>
    <w:rsid w:val="00450CD3"/>
    <w:rsid w:val="004D2114"/>
    <w:rsid w:val="00552F81"/>
    <w:rsid w:val="00617264"/>
    <w:rsid w:val="006535A6"/>
    <w:rsid w:val="00672621"/>
    <w:rsid w:val="00691717"/>
    <w:rsid w:val="006F2707"/>
    <w:rsid w:val="006F3ECE"/>
    <w:rsid w:val="007079D3"/>
    <w:rsid w:val="00730401"/>
    <w:rsid w:val="00764A30"/>
    <w:rsid w:val="00776315"/>
    <w:rsid w:val="00843C46"/>
    <w:rsid w:val="008E6CBA"/>
    <w:rsid w:val="00950847"/>
    <w:rsid w:val="0097779E"/>
    <w:rsid w:val="009C179C"/>
    <w:rsid w:val="009C5AD4"/>
    <w:rsid w:val="00AB4375"/>
    <w:rsid w:val="00B00BC1"/>
    <w:rsid w:val="00B221E3"/>
    <w:rsid w:val="00BB407D"/>
    <w:rsid w:val="00BD42BF"/>
    <w:rsid w:val="00BF2743"/>
    <w:rsid w:val="00BF7D1D"/>
    <w:rsid w:val="00C50397"/>
    <w:rsid w:val="00C936D6"/>
    <w:rsid w:val="00D02923"/>
    <w:rsid w:val="00E30920"/>
    <w:rsid w:val="00E438DA"/>
    <w:rsid w:val="00E44AD8"/>
    <w:rsid w:val="00E67E2C"/>
    <w:rsid w:val="00F25420"/>
    <w:rsid w:val="00F27737"/>
    <w:rsid w:val="00F453E2"/>
    <w:rsid w:val="00FE099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163962B"/>
  <w15:chartTrackingRefBased/>
  <w15:docId w15:val="{CB7B0AF2-C87E-7346-9116-88FE48609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6CB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3526</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Hutchinson, Nora,MDCM, MPHIL</dc:creator>
  <cp:keywords/>
  <dc:description/>
  <cp:lastModifiedBy>Hutchinson, Nora,MDCM, MPHIL</cp:lastModifiedBy>
  <cp:revision>2</cp:revision>
  <dcterms:created xsi:type="dcterms:W3CDTF">2022-08-01T15:53:00Z</dcterms:created>
  <dcterms:modified xsi:type="dcterms:W3CDTF">2022-08-01T17:44:00Z</dcterms:modified>
</cp:coreProperties>
</file>