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9A6C6" w14:textId="200A181A" w:rsidR="00843C46" w:rsidRPr="001B0B78" w:rsidRDefault="004D255B">
      <w:pPr>
        <w:rPr>
          <w:rFonts w:ascii="Helvetica Neue" w:hAnsi="Helvetica Neue"/>
          <w:b/>
          <w:bCs/>
        </w:rPr>
      </w:pPr>
      <w:r w:rsidRPr="004D255B">
        <w:rPr>
          <w:rFonts w:ascii="Helvetica Neue" w:hAnsi="Helvetica Neue"/>
          <w:b/>
          <w:bCs/>
        </w:rPr>
        <w:t xml:space="preserve">Supplementary File </w:t>
      </w:r>
      <w:r w:rsidR="001B0B78">
        <w:rPr>
          <w:rFonts w:ascii="Helvetica Neue" w:hAnsi="Helvetica Neue"/>
          <w:b/>
          <w:bCs/>
        </w:rPr>
        <w:t>7 –</w:t>
      </w:r>
      <w:r w:rsidRPr="004D255B">
        <w:rPr>
          <w:rFonts w:ascii="Helvetica Neue" w:hAnsi="Helvetica Neue"/>
          <w:b/>
          <w:bCs/>
        </w:rPr>
        <w:t xml:space="preserve"> </w:t>
      </w:r>
      <w:r w:rsidRPr="004D255B">
        <w:rPr>
          <w:rFonts w:ascii="Helvetica Neue" w:hAnsi="Helvetica Neue" w:cstheme="minorHAnsi"/>
          <w:b/>
          <w:bCs/>
        </w:rPr>
        <w:t>Phase 4 Trials Not</w:t>
      </w:r>
      <w:r>
        <w:rPr>
          <w:rFonts w:ascii="Helvetica Neue" w:hAnsi="Helvetica Neue" w:cstheme="minorHAnsi"/>
          <w:b/>
          <w:bCs/>
        </w:rPr>
        <w:t xml:space="preserve"> Meeting All 4 Informativeness Criteria</w:t>
      </w:r>
    </w:p>
    <w:p w14:paraId="2125E072" w14:textId="4520364D" w:rsidR="004D255B" w:rsidRDefault="004D255B">
      <w:pPr>
        <w:rPr>
          <w:rFonts w:ascii="Helvetica Neue" w:hAnsi="Helvetica Neue" w:cstheme="minorHAnsi"/>
          <w:b/>
          <w:bCs/>
        </w:rPr>
      </w:pPr>
    </w:p>
    <w:tbl>
      <w:tblPr>
        <w:tblStyle w:val="TableGrid"/>
        <w:tblpPr w:leftFromText="180" w:rightFromText="180" w:tblpY="651"/>
        <w:tblW w:w="10542" w:type="dxa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3827"/>
        <w:gridCol w:w="1276"/>
        <w:gridCol w:w="1134"/>
        <w:gridCol w:w="1758"/>
      </w:tblGrid>
      <w:tr w:rsidR="004D255B" w:rsidRPr="00D2386B" w14:paraId="0782F635" w14:textId="77777777" w:rsidTr="000C1519">
        <w:trPr>
          <w:trHeight w:val="466"/>
        </w:trPr>
        <w:tc>
          <w:tcPr>
            <w:tcW w:w="1555" w:type="dxa"/>
          </w:tcPr>
          <w:p w14:paraId="6B9D0651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D2386B">
              <w:rPr>
                <w:rFonts w:ascii="Helvetica Neue" w:hAnsi="Helvetica Neue"/>
                <w:b/>
                <w:bCs/>
                <w:sz w:val="20"/>
                <w:szCs w:val="20"/>
              </w:rPr>
              <w:t>NCT</w:t>
            </w:r>
          </w:p>
        </w:tc>
        <w:tc>
          <w:tcPr>
            <w:tcW w:w="992" w:type="dxa"/>
          </w:tcPr>
          <w:p w14:paraId="02083C5A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D2386B">
              <w:rPr>
                <w:rFonts w:ascii="Helvetica Neue" w:hAnsi="Helvetica Neue"/>
                <w:b/>
                <w:bCs/>
                <w:sz w:val="20"/>
                <w:szCs w:val="20"/>
              </w:rPr>
              <w:t>Disease</w:t>
            </w:r>
          </w:p>
        </w:tc>
        <w:tc>
          <w:tcPr>
            <w:tcW w:w="3827" w:type="dxa"/>
          </w:tcPr>
          <w:p w14:paraId="110003F7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D2386B">
              <w:rPr>
                <w:rFonts w:ascii="Helvetica Neue" w:hAnsi="Helvetica Neue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276" w:type="dxa"/>
          </w:tcPr>
          <w:p w14:paraId="48A4E835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D2386B">
              <w:rPr>
                <w:rFonts w:ascii="Helvetica Neue" w:hAnsi="Helvetica Neue"/>
                <w:b/>
                <w:bCs/>
                <w:sz w:val="20"/>
                <w:szCs w:val="20"/>
              </w:rPr>
              <w:t>Trial Status</w:t>
            </w:r>
          </w:p>
        </w:tc>
        <w:tc>
          <w:tcPr>
            <w:tcW w:w="1134" w:type="dxa"/>
          </w:tcPr>
          <w:p w14:paraId="796D230D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D2386B">
              <w:rPr>
                <w:rFonts w:ascii="Helvetica Neue" w:hAnsi="Helvetica Neue"/>
                <w:b/>
                <w:bCs/>
                <w:sz w:val="20"/>
                <w:szCs w:val="20"/>
              </w:rPr>
              <w:t>Sponsor</w:t>
            </w:r>
          </w:p>
          <w:p w14:paraId="6AE695D8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</w:tcPr>
          <w:p w14:paraId="2B0F5D81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D2386B"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Informativeness </w:t>
            </w: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Assessment</w:t>
            </w:r>
          </w:p>
        </w:tc>
      </w:tr>
      <w:tr w:rsidR="004D255B" w:rsidRPr="00D2386B" w14:paraId="2ABA78AC" w14:textId="77777777" w:rsidTr="000C1519">
        <w:trPr>
          <w:trHeight w:val="189"/>
        </w:trPr>
        <w:tc>
          <w:tcPr>
            <w:tcW w:w="1555" w:type="dxa"/>
          </w:tcPr>
          <w:p w14:paraId="462C08A6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2386B">
              <w:rPr>
                <w:rFonts w:ascii="Helvetica Neue" w:hAnsi="Helvetica Neue"/>
                <w:color w:val="000000"/>
                <w:sz w:val="20"/>
                <w:szCs w:val="20"/>
              </w:rPr>
              <w:t>NCT00954707</w:t>
            </w:r>
          </w:p>
        </w:tc>
        <w:tc>
          <w:tcPr>
            <w:tcW w:w="992" w:type="dxa"/>
          </w:tcPr>
          <w:p w14:paraId="2254A764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IHD</w:t>
            </w:r>
          </w:p>
        </w:tc>
        <w:tc>
          <w:tcPr>
            <w:tcW w:w="3827" w:type="dxa"/>
          </w:tcPr>
          <w:p w14:paraId="24A66E10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D2386B"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>A Prospective, Randomized, Multi-Center, Double-Blind Trial to Assess the Effectiveness and Safety of Different Durations of Dual Anti-Platelet Therapy in Subjects Undergoing Percutaneous Coronary Intervention With the CYPHER® Sirolimus-eluting Coronary Stent (CYPHER® Stent)</w:t>
            </w:r>
          </w:p>
        </w:tc>
        <w:tc>
          <w:tcPr>
            <w:tcW w:w="1276" w:type="dxa"/>
          </w:tcPr>
          <w:p w14:paraId="1FD92146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D2386B">
              <w:rPr>
                <w:rFonts w:ascii="Helvetica Neue" w:hAnsi="Helvetica Neue"/>
                <w:sz w:val="20"/>
                <w:szCs w:val="20"/>
              </w:rPr>
              <w:t>Unknown (Previously</w:t>
            </w:r>
            <w:r>
              <w:rPr>
                <w:rFonts w:ascii="Helvetica Neue" w:hAnsi="Helvetica Neue"/>
                <w:sz w:val="20"/>
                <w:szCs w:val="20"/>
              </w:rPr>
              <w:t>,</w:t>
            </w:r>
            <w:r w:rsidRPr="00D2386B">
              <w:rPr>
                <w:rFonts w:ascii="Helvetica Neue" w:hAnsi="Helvetica Neue"/>
                <w:sz w:val="20"/>
                <w:szCs w:val="20"/>
              </w:rPr>
              <w:t xml:space="preserve"> Active, NR)</w:t>
            </w:r>
          </w:p>
        </w:tc>
        <w:tc>
          <w:tcPr>
            <w:tcW w:w="1134" w:type="dxa"/>
          </w:tcPr>
          <w:p w14:paraId="67DE3C84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D2386B">
              <w:rPr>
                <w:rFonts w:ascii="Helvetica Neue" w:hAnsi="Helvetica Neue"/>
                <w:sz w:val="20"/>
                <w:szCs w:val="20"/>
              </w:rPr>
              <w:t xml:space="preserve">Industry </w:t>
            </w:r>
          </w:p>
          <w:p w14:paraId="53C475BC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758" w:type="dxa"/>
          </w:tcPr>
          <w:p w14:paraId="32E588B6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</w:t>
            </w:r>
            <w:r w:rsidRPr="00D2386B">
              <w:rPr>
                <w:rFonts w:ascii="Helvetica Neue" w:hAnsi="Helvetica Neue"/>
                <w:sz w:val="20"/>
                <w:szCs w:val="20"/>
              </w:rPr>
              <w:t>ot cited in review documents</w:t>
            </w:r>
          </w:p>
        </w:tc>
      </w:tr>
      <w:tr w:rsidR="004D255B" w:rsidRPr="00D2386B" w14:paraId="52342331" w14:textId="77777777" w:rsidTr="000C1519">
        <w:trPr>
          <w:trHeight w:val="189"/>
        </w:trPr>
        <w:tc>
          <w:tcPr>
            <w:tcW w:w="1555" w:type="dxa"/>
          </w:tcPr>
          <w:p w14:paraId="4EB42E0F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2386B">
              <w:rPr>
                <w:rFonts w:ascii="Helvetica Neue" w:hAnsi="Helvetica Neue"/>
                <w:color w:val="000000"/>
                <w:sz w:val="20"/>
                <w:szCs w:val="20"/>
              </w:rPr>
              <w:t>NCT00977938</w:t>
            </w:r>
          </w:p>
        </w:tc>
        <w:tc>
          <w:tcPr>
            <w:tcW w:w="992" w:type="dxa"/>
          </w:tcPr>
          <w:p w14:paraId="7157CB8A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IHD</w:t>
            </w:r>
          </w:p>
        </w:tc>
        <w:tc>
          <w:tcPr>
            <w:tcW w:w="3827" w:type="dxa"/>
          </w:tcPr>
          <w:p w14:paraId="50286205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D2386B"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 xml:space="preserve">A Prospective, Multi-center, Randomized, Double-blind Trial to Assess the Effectiveness and Safety of 12 Versus 30 Months of Dual Antiplatelet Therapy in Subjects Undergoing Percutaneous Coronary Intervention </w:t>
            </w:r>
            <w:proofErr w:type="gramStart"/>
            <w:r w:rsidRPr="00D2386B"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>With</w:t>
            </w:r>
            <w:proofErr w:type="gramEnd"/>
            <w:r w:rsidRPr="00D2386B"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 xml:space="preserve"> Either Drug-eluting Stent or Bare Metal Stent Placement for the Treatment of Coronary Artery Lesions</w:t>
            </w:r>
          </w:p>
        </w:tc>
        <w:tc>
          <w:tcPr>
            <w:tcW w:w="1276" w:type="dxa"/>
          </w:tcPr>
          <w:p w14:paraId="38454171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D2386B"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1134" w:type="dxa"/>
          </w:tcPr>
          <w:p w14:paraId="53EC6DE8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Non-Industry</w:t>
            </w:r>
          </w:p>
        </w:tc>
        <w:tc>
          <w:tcPr>
            <w:tcW w:w="1758" w:type="dxa"/>
          </w:tcPr>
          <w:p w14:paraId="30413FAA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E</w:t>
            </w:r>
            <w:r w:rsidRPr="00D2386B">
              <w:rPr>
                <w:rFonts w:ascii="Helvetica Neue" w:hAnsi="Helvetica Neue"/>
                <w:sz w:val="20"/>
                <w:szCs w:val="20"/>
              </w:rPr>
              <w:t>levated Risk of Bias Score</w:t>
            </w:r>
          </w:p>
        </w:tc>
      </w:tr>
      <w:tr w:rsidR="004D255B" w:rsidRPr="00D2386B" w14:paraId="11B602DF" w14:textId="77777777" w:rsidTr="000C1519">
        <w:trPr>
          <w:trHeight w:val="189"/>
        </w:trPr>
        <w:tc>
          <w:tcPr>
            <w:tcW w:w="1555" w:type="dxa"/>
          </w:tcPr>
          <w:p w14:paraId="3536DEC0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2386B">
              <w:rPr>
                <w:rFonts w:ascii="Helvetica Neue" w:hAnsi="Helvetica Neue"/>
                <w:color w:val="000000"/>
                <w:sz w:val="20"/>
                <w:szCs w:val="20"/>
              </w:rPr>
              <w:t>NCT01050348</w:t>
            </w:r>
          </w:p>
        </w:tc>
        <w:tc>
          <w:tcPr>
            <w:tcW w:w="992" w:type="dxa"/>
          </w:tcPr>
          <w:p w14:paraId="150C3E53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IHD</w:t>
            </w:r>
          </w:p>
        </w:tc>
        <w:tc>
          <w:tcPr>
            <w:tcW w:w="3827" w:type="dxa"/>
          </w:tcPr>
          <w:p w14:paraId="11BFB013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D2386B"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 xml:space="preserve">A Double Blinded Randomized Placebo Controlled Study: To Investigate the Role of Upstream High Dose Statin Treatment in Patients </w:t>
            </w:r>
            <w:proofErr w:type="gramStart"/>
            <w:r w:rsidRPr="00D2386B"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>With</w:t>
            </w:r>
            <w:proofErr w:type="gramEnd"/>
            <w:r w:rsidRPr="00D2386B"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 xml:space="preserve"> ST Segment Elevation Myocardial Infarction</w:t>
            </w:r>
          </w:p>
        </w:tc>
        <w:tc>
          <w:tcPr>
            <w:tcW w:w="1276" w:type="dxa"/>
          </w:tcPr>
          <w:p w14:paraId="01D28C0B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D2386B"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1134" w:type="dxa"/>
          </w:tcPr>
          <w:p w14:paraId="05532BE3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Non-Industry</w:t>
            </w:r>
          </w:p>
        </w:tc>
        <w:tc>
          <w:tcPr>
            <w:tcW w:w="1758" w:type="dxa"/>
          </w:tcPr>
          <w:p w14:paraId="62C7452F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Not Reported</w:t>
            </w:r>
          </w:p>
        </w:tc>
      </w:tr>
      <w:tr w:rsidR="004D255B" w:rsidRPr="00D2386B" w14:paraId="54E7AA0A" w14:textId="77777777" w:rsidTr="000C1519">
        <w:trPr>
          <w:trHeight w:val="189"/>
        </w:trPr>
        <w:tc>
          <w:tcPr>
            <w:tcW w:w="1555" w:type="dxa"/>
          </w:tcPr>
          <w:p w14:paraId="0E98D14C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2386B">
              <w:rPr>
                <w:rFonts w:ascii="Helvetica Neue" w:hAnsi="Helvetica Neue"/>
                <w:color w:val="000000"/>
                <w:sz w:val="20"/>
                <w:szCs w:val="20"/>
              </w:rPr>
              <w:t>NCT01069003</w:t>
            </w:r>
          </w:p>
        </w:tc>
        <w:tc>
          <w:tcPr>
            <w:tcW w:w="992" w:type="dxa"/>
          </w:tcPr>
          <w:p w14:paraId="17A21180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IHD</w:t>
            </w:r>
          </w:p>
        </w:tc>
        <w:tc>
          <w:tcPr>
            <w:tcW w:w="3827" w:type="dxa"/>
          </w:tcPr>
          <w:p w14:paraId="3F861A84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D2386B"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 xml:space="preserve">EDUCATE: a Prospective, Multi-center Study Designed to Collect Real-world Safety and Clinical Outcomes in Subjects Receiving One or More Endeavor </w:t>
            </w:r>
            <w:proofErr w:type="spellStart"/>
            <w:r w:rsidRPr="00D2386B"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>Zotarolimus</w:t>
            </w:r>
            <w:proofErr w:type="spellEnd"/>
            <w:r w:rsidRPr="00D2386B"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>-Eluting Stents and Either Clopidogrel and Aspirin or Prasugrel and Aspirin as Part of a Dual Antiplatelet Therapy Drug Regimen</w:t>
            </w:r>
          </w:p>
        </w:tc>
        <w:tc>
          <w:tcPr>
            <w:tcW w:w="1276" w:type="dxa"/>
          </w:tcPr>
          <w:p w14:paraId="16B40A94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D2386B"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1134" w:type="dxa"/>
          </w:tcPr>
          <w:p w14:paraId="14069454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D2386B">
              <w:rPr>
                <w:rFonts w:ascii="Helvetica Neue" w:hAnsi="Helvetica Neue"/>
                <w:sz w:val="20"/>
                <w:szCs w:val="20"/>
              </w:rPr>
              <w:t>Industry</w:t>
            </w:r>
          </w:p>
          <w:p w14:paraId="5B7515B5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758" w:type="dxa"/>
          </w:tcPr>
          <w:p w14:paraId="35CEADA0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E</w:t>
            </w:r>
            <w:r w:rsidRPr="00D2386B">
              <w:rPr>
                <w:rFonts w:ascii="Helvetica Neue" w:hAnsi="Helvetica Neue"/>
                <w:sz w:val="20"/>
                <w:szCs w:val="20"/>
              </w:rPr>
              <w:t>levated Risk of Bias Score</w:t>
            </w:r>
          </w:p>
        </w:tc>
      </w:tr>
      <w:tr w:rsidR="004D255B" w:rsidRPr="00D2386B" w14:paraId="2266F1A7" w14:textId="77777777" w:rsidTr="000C1519">
        <w:trPr>
          <w:trHeight w:val="189"/>
        </w:trPr>
        <w:tc>
          <w:tcPr>
            <w:tcW w:w="1555" w:type="dxa"/>
          </w:tcPr>
          <w:p w14:paraId="56733672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2386B">
              <w:rPr>
                <w:rFonts w:ascii="Helvetica Neue" w:hAnsi="Helvetica Neue"/>
                <w:color w:val="000000"/>
                <w:sz w:val="20"/>
                <w:szCs w:val="20"/>
              </w:rPr>
              <w:t>NCT01106534</w:t>
            </w:r>
          </w:p>
        </w:tc>
        <w:tc>
          <w:tcPr>
            <w:tcW w:w="992" w:type="dxa"/>
          </w:tcPr>
          <w:p w14:paraId="1CFC9413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IHD</w:t>
            </w:r>
          </w:p>
        </w:tc>
        <w:tc>
          <w:tcPr>
            <w:tcW w:w="3827" w:type="dxa"/>
          </w:tcPr>
          <w:p w14:paraId="20C95C85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D2386B"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 xml:space="preserve">XIENCE V® </w:t>
            </w:r>
            <w:proofErr w:type="spellStart"/>
            <w:r w:rsidRPr="00D2386B"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>Everolimus</w:t>
            </w:r>
            <w:proofErr w:type="spellEnd"/>
            <w:r w:rsidRPr="00D2386B"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 xml:space="preserve"> Eluting Coronary Stent System USA Post- Approval Study (XIENCE V® USA DAPT Cohort) (XVU-AV DAPT)</w:t>
            </w:r>
          </w:p>
        </w:tc>
        <w:tc>
          <w:tcPr>
            <w:tcW w:w="1276" w:type="dxa"/>
          </w:tcPr>
          <w:p w14:paraId="67EF15F5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D2386B"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1134" w:type="dxa"/>
          </w:tcPr>
          <w:p w14:paraId="5A2A4852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D2386B">
              <w:rPr>
                <w:rFonts w:ascii="Helvetica Neue" w:hAnsi="Helvetica Neue"/>
                <w:sz w:val="20"/>
                <w:szCs w:val="20"/>
              </w:rPr>
              <w:t>Industry</w:t>
            </w:r>
          </w:p>
          <w:p w14:paraId="23255658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758" w:type="dxa"/>
          </w:tcPr>
          <w:p w14:paraId="6A6E3EAA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Poor</w:t>
            </w:r>
            <w:r w:rsidRPr="00D2386B">
              <w:rPr>
                <w:rFonts w:ascii="Helvetica Neue" w:hAnsi="Helvetica Neue"/>
                <w:sz w:val="20"/>
                <w:szCs w:val="20"/>
              </w:rPr>
              <w:t xml:space="preserve"> Feasibility</w:t>
            </w:r>
          </w:p>
        </w:tc>
      </w:tr>
      <w:tr w:rsidR="004D255B" w:rsidRPr="00D2386B" w14:paraId="11FFDAC1" w14:textId="77777777" w:rsidTr="000C1519">
        <w:trPr>
          <w:trHeight w:val="189"/>
        </w:trPr>
        <w:tc>
          <w:tcPr>
            <w:tcW w:w="1555" w:type="dxa"/>
          </w:tcPr>
          <w:p w14:paraId="62514ABD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2386B">
              <w:rPr>
                <w:rFonts w:ascii="Helvetica Neue" w:hAnsi="Helvetica Neue"/>
                <w:color w:val="000000"/>
                <w:sz w:val="20"/>
                <w:szCs w:val="20"/>
              </w:rPr>
              <w:t>NCT01178268</w:t>
            </w:r>
          </w:p>
        </w:tc>
        <w:tc>
          <w:tcPr>
            <w:tcW w:w="992" w:type="dxa"/>
          </w:tcPr>
          <w:p w14:paraId="63AD21E7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IHD</w:t>
            </w:r>
          </w:p>
        </w:tc>
        <w:tc>
          <w:tcPr>
            <w:tcW w:w="3827" w:type="dxa"/>
          </w:tcPr>
          <w:p w14:paraId="03FA94AE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2386B">
              <w:rPr>
                <w:rFonts w:ascii="Helvetica Neue" w:hAnsi="Helvetica Neue"/>
                <w:color w:val="000000"/>
                <w:sz w:val="20"/>
                <w:szCs w:val="20"/>
              </w:rPr>
              <w:t xml:space="preserve">XIENCE V </w:t>
            </w:r>
            <w:proofErr w:type="spellStart"/>
            <w:r w:rsidRPr="00D2386B">
              <w:rPr>
                <w:rFonts w:ascii="Helvetica Neue" w:hAnsi="Helvetica Neue"/>
                <w:color w:val="000000"/>
                <w:sz w:val="20"/>
                <w:szCs w:val="20"/>
              </w:rPr>
              <w:t>Everolimus</w:t>
            </w:r>
            <w:proofErr w:type="spellEnd"/>
            <w:r w:rsidRPr="00D2386B">
              <w:rPr>
                <w:rFonts w:ascii="Helvetica Neue" w:hAnsi="Helvetica Neue"/>
                <w:color w:val="000000"/>
                <w:sz w:val="20"/>
                <w:szCs w:val="20"/>
              </w:rPr>
              <w:t xml:space="preserve"> Eluting Coronary Stent System China: Post-Approval Randomized Control Trial </w:t>
            </w:r>
          </w:p>
        </w:tc>
        <w:tc>
          <w:tcPr>
            <w:tcW w:w="1276" w:type="dxa"/>
          </w:tcPr>
          <w:p w14:paraId="3F26910E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D2386B"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1134" w:type="dxa"/>
          </w:tcPr>
          <w:p w14:paraId="4597A89E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D2386B">
              <w:rPr>
                <w:rFonts w:ascii="Helvetica Neue" w:hAnsi="Helvetica Neue"/>
                <w:sz w:val="20"/>
                <w:szCs w:val="20"/>
              </w:rPr>
              <w:t>Industry</w:t>
            </w:r>
          </w:p>
          <w:p w14:paraId="662C89C4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758" w:type="dxa"/>
          </w:tcPr>
          <w:p w14:paraId="55AE1246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</w:t>
            </w:r>
            <w:r w:rsidRPr="00D2386B">
              <w:rPr>
                <w:rFonts w:ascii="Helvetica Neue" w:hAnsi="Helvetica Neue"/>
                <w:sz w:val="20"/>
                <w:szCs w:val="20"/>
              </w:rPr>
              <w:t>ot cited in review documents</w:t>
            </w:r>
          </w:p>
        </w:tc>
      </w:tr>
      <w:tr w:rsidR="004D255B" w:rsidRPr="00D2386B" w14:paraId="0A7A5027" w14:textId="77777777" w:rsidTr="000C1519">
        <w:trPr>
          <w:trHeight w:val="189"/>
        </w:trPr>
        <w:tc>
          <w:tcPr>
            <w:tcW w:w="1555" w:type="dxa"/>
          </w:tcPr>
          <w:p w14:paraId="1F77D0FE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2386B">
              <w:rPr>
                <w:rFonts w:ascii="Helvetica Neue" w:hAnsi="Helvetica Neue"/>
                <w:color w:val="000000"/>
                <w:sz w:val="20"/>
                <w:szCs w:val="20"/>
              </w:rPr>
              <w:t>NCT01221272</w:t>
            </w:r>
          </w:p>
        </w:tc>
        <w:tc>
          <w:tcPr>
            <w:tcW w:w="992" w:type="dxa"/>
          </w:tcPr>
          <w:p w14:paraId="52996090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IHD</w:t>
            </w:r>
          </w:p>
        </w:tc>
        <w:tc>
          <w:tcPr>
            <w:tcW w:w="3827" w:type="dxa"/>
          </w:tcPr>
          <w:p w14:paraId="611A484E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D2386B"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>A Phase 4, Randomized, Double-Blind, Placebo-Controlled, Cross-over Trial to Evaluate the Effects of Ranolazine on Myocardial Perfusion Assessed by Serial Quantitative Exercise SPECT Imaging</w:t>
            </w:r>
          </w:p>
        </w:tc>
        <w:tc>
          <w:tcPr>
            <w:tcW w:w="1276" w:type="dxa"/>
          </w:tcPr>
          <w:p w14:paraId="4854C9ED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D2386B"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1134" w:type="dxa"/>
          </w:tcPr>
          <w:p w14:paraId="77D37105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D2386B">
              <w:rPr>
                <w:rFonts w:ascii="Helvetica Neue" w:hAnsi="Helvetica Neue"/>
                <w:sz w:val="20"/>
                <w:szCs w:val="20"/>
              </w:rPr>
              <w:t xml:space="preserve">Industry </w:t>
            </w:r>
          </w:p>
          <w:p w14:paraId="05A3CA8D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758" w:type="dxa"/>
          </w:tcPr>
          <w:p w14:paraId="779E2EE7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Poor</w:t>
            </w:r>
            <w:r w:rsidRPr="00D2386B">
              <w:rPr>
                <w:rFonts w:ascii="Helvetica Neue" w:hAnsi="Helvetica Neue"/>
                <w:sz w:val="20"/>
                <w:szCs w:val="20"/>
              </w:rPr>
              <w:t xml:space="preserve"> Feasibility</w:t>
            </w:r>
          </w:p>
        </w:tc>
      </w:tr>
      <w:tr w:rsidR="004D255B" w:rsidRPr="00D2386B" w14:paraId="68595855" w14:textId="77777777" w:rsidTr="000C1519">
        <w:trPr>
          <w:trHeight w:val="189"/>
        </w:trPr>
        <w:tc>
          <w:tcPr>
            <w:tcW w:w="1555" w:type="dxa"/>
          </w:tcPr>
          <w:p w14:paraId="1161A1F1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2386B">
              <w:rPr>
                <w:rFonts w:ascii="Helvetica Neue" w:hAnsi="Helvetica Neue"/>
                <w:color w:val="000000"/>
                <w:sz w:val="20"/>
                <w:szCs w:val="20"/>
              </w:rPr>
              <w:t>NCT01230892</w:t>
            </w:r>
          </w:p>
        </w:tc>
        <w:tc>
          <w:tcPr>
            <w:tcW w:w="992" w:type="dxa"/>
          </w:tcPr>
          <w:p w14:paraId="698E4FBF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IHD</w:t>
            </w:r>
          </w:p>
        </w:tc>
        <w:tc>
          <w:tcPr>
            <w:tcW w:w="3827" w:type="dxa"/>
          </w:tcPr>
          <w:p w14:paraId="1396513E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2386B">
              <w:rPr>
                <w:rFonts w:ascii="Helvetica Neue" w:hAnsi="Helvetica Neue"/>
                <w:color w:val="000000"/>
                <w:sz w:val="20"/>
                <w:szCs w:val="20"/>
              </w:rPr>
              <w:t xml:space="preserve">The Evaluation of The Effects of Nebivolol in Comparison to Atenolol on Wall Shear Stress and Rupture Prone Coronary Artery Plaques in Patients </w:t>
            </w:r>
            <w:proofErr w:type="gramStart"/>
            <w:r w:rsidRPr="00D2386B">
              <w:rPr>
                <w:rFonts w:ascii="Helvetica Neue" w:hAnsi="Helvetica Neue"/>
                <w:color w:val="000000"/>
                <w:sz w:val="20"/>
                <w:szCs w:val="20"/>
              </w:rPr>
              <w:t>With</w:t>
            </w:r>
            <w:proofErr w:type="gramEnd"/>
            <w:r w:rsidRPr="00D2386B">
              <w:rPr>
                <w:rFonts w:ascii="Helvetica Neue" w:hAnsi="Helvetica Neue"/>
                <w:color w:val="000000"/>
                <w:sz w:val="20"/>
                <w:szCs w:val="20"/>
              </w:rPr>
              <w:t xml:space="preserve"> Moderate Coronary Artery Disease</w:t>
            </w:r>
          </w:p>
        </w:tc>
        <w:tc>
          <w:tcPr>
            <w:tcW w:w="1276" w:type="dxa"/>
          </w:tcPr>
          <w:p w14:paraId="08B77EDC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D2386B"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1134" w:type="dxa"/>
          </w:tcPr>
          <w:p w14:paraId="028A6E68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Non-Industry</w:t>
            </w:r>
          </w:p>
        </w:tc>
        <w:tc>
          <w:tcPr>
            <w:tcW w:w="1758" w:type="dxa"/>
          </w:tcPr>
          <w:p w14:paraId="13BA2CE7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</w:t>
            </w:r>
            <w:r w:rsidRPr="00D2386B">
              <w:rPr>
                <w:rFonts w:ascii="Helvetica Neue" w:hAnsi="Helvetica Neue"/>
                <w:sz w:val="20"/>
                <w:szCs w:val="20"/>
              </w:rPr>
              <w:t>ot cited in review documents</w:t>
            </w:r>
          </w:p>
        </w:tc>
      </w:tr>
      <w:tr w:rsidR="004D255B" w:rsidRPr="00D2386B" w14:paraId="736616D1" w14:textId="77777777" w:rsidTr="000C1519">
        <w:trPr>
          <w:trHeight w:val="189"/>
        </w:trPr>
        <w:tc>
          <w:tcPr>
            <w:tcW w:w="1555" w:type="dxa"/>
          </w:tcPr>
          <w:p w14:paraId="469EB17C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2386B">
              <w:rPr>
                <w:rFonts w:ascii="Helvetica Neue" w:hAnsi="Helvetica Neue"/>
                <w:color w:val="000000"/>
                <w:sz w:val="20"/>
                <w:szCs w:val="20"/>
              </w:rPr>
              <w:lastRenderedPageBreak/>
              <w:t>NCT01246011</w:t>
            </w:r>
          </w:p>
        </w:tc>
        <w:tc>
          <w:tcPr>
            <w:tcW w:w="992" w:type="dxa"/>
          </w:tcPr>
          <w:p w14:paraId="510BBE82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IHD</w:t>
            </w:r>
          </w:p>
        </w:tc>
        <w:tc>
          <w:tcPr>
            <w:tcW w:w="3827" w:type="dxa"/>
          </w:tcPr>
          <w:p w14:paraId="4A98609C" w14:textId="77777777" w:rsidR="004D255B" w:rsidRPr="00C343D1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D2386B"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 xml:space="preserve">Significance of Antibodies to Heparin/Platelet Factor 4 Complex in </w:t>
            </w:r>
            <w:proofErr w:type="gramStart"/>
            <w:r w:rsidRPr="00D2386B"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>Vein</w:t>
            </w:r>
            <w:proofErr w:type="gramEnd"/>
            <w:r w:rsidRPr="00D2386B"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 xml:space="preserve"> Graft Patency and Potential Role of </w:t>
            </w:r>
            <w:proofErr w:type="spellStart"/>
            <w:r w:rsidRPr="00D2386B"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>Argatroban</w:t>
            </w:r>
            <w:proofErr w:type="spellEnd"/>
            <w:r w:rsidRPr="00D2386B"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 xml:space="preserve"> for Prevention of Vein Graft Occlusion</w:t>
            </w:r>
          </w:p>
        </w:tc>
        <w:tc>
          <w:tcPr>
            <w:tcW w:w="1276" w:type="dxa"/>
          </w:tcPr>
          <w:p w14:paraId="52BF2347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D2386B">
              <w:rPr>
                <w:rFonts w:ascii="Helvetica Neue" w:hAnsi="Helvetica Neue"/>
                <w:sz w:val="20"/>
                <w:szCs w:val="20"/>
              </w:rPr>
              <w:t xml:space="preserve">Terminated </w:t>
            </w:r>
          </w:p>
          <w:p w14:paraId="09B93622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5E79F0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Non-Industry</w:t>
            </w:r>
          </w:p>
        </w:tc>
        <w:tc>
          <w:tcPr>
            <w:tcW w:w="1758" w:type="dxa"/>
          </w:tcPr>
          <w:p w14:paraId="4078BFE2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Poor</w:t>
            </w:r>
            <w:r w:rsidRPr="00D2386B">
              <w:rPr>
                <w:rFonts w:ascii="Helvetica Neue" w:hAnsi="Helvetica Neue"/>
                <w:sz w:val="20"/>
                <w:szCs w:val="20"/>
              </w:rPr>
              <w:t xml:space="preserve"> Feasibility</w:t>
            </w:r>
          </w:p>
        </w:tc>
      </w:tr>
      <w:tr w:rsidR="004D255B" w:rsidRPr="00D2386B" w14:paraId="01271E02" w14:textId="77777777" w:rsidTr="000C1519">
        <w:trPr>
          <w:trHeight w:val="189"/>
        </w:trPr>
        <w:tc>
          <w:tcPr>
            <w:tcW w:w="1555" w:type="dxa"/>
          </w:tcPr>
          <w:p w14:paraId="2E864856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2386B">
              <w:rPr>
                <w:rFonts w:ascii="Helvetica Neue" w:hAnsi="Helvetica Neue"/>
                <w:color w:val="000000"/>
                <w:sz w:val="20"/>
                <w:szCs w:val="20"/>
              </w:rPr>
              <w:t>NCT01101867</w:t>
            </w:r>
          </w:p>
        </w:tc>
        <w:tc>
          <w:tcPr>
            <w:tcW w:w="992" w:type="dxa"/>
          </w:tcPr>
          <w:p w14:paraId="7091E12F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DM</w:t>
            </w:r>
          </w:p>
        </w:tc>
        <w:tc>
          <w:tcPr>
            <w:tcW w:w="3827" w:type="dxa"/>
          </w:tcPr>
          <w:p w14:paraId="2778AF07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2386B">
              <w:rPr>
                <w:rFonts w:ascii="Helvetica Neue" w:hAnsi="Helvetica Neue"/>
                <w:color w:val="000000"/>
                <w:sz w:val="20"/>
                <w:szCs w:val="20"/>
              </w:rPr>
              <w:t xml:space="preserve">Prandial Insulin Dosing Using the Carbohydrate Counting Technique in Hospitalized Patients </w:t>
            </w:r>
            <w:proofErr w:type="gramStart"/>
            <w:r w:rsidRPr="00D2386B">
              <w:rPr>
                <w:rFonts w:ascii="Helvetica Neue" w:hAnsi="Helvetica Neue"/>
                <w:color w:val="000000"/>
                <w:sz w:val="20"/>
                <w:szCs w:val="20"/>
              </w:rPr>
              <w:t>With</w:t>
            </w:r>
            <w:proofErr w:type="gramEnd"/>
            <w:r w:rsidRPr="00D2386B">
              <w:rPr>
                <w:rFonts w:ascii="Helvetica Neue" w:hAnsi="Helvetica Neue"/>
                <w:color w:val="000000"/>
                <w:sz w:val="20"/>
                <w:szCs w:val="20"/>
              </w:rPr>
              <w:t xml:space="preserve"> Diabetes</w:t>
            </w:r>
          </w:p>
        </w:tc>
        <w:tc>
          <w:tcPr>
            <w:tcW w:w="1276" w:type="dxa"/>
          </w:tcPr>
          <w:p w14:paraId="5BDF6932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D2386B"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1134" w:type="dxa"/>
          </w:tcPr>
          <w:p w14:paraId="24D39236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D2386B">
              <w:rPr>
                <w:rFonts w:ascii="Helvetica Neue" w:hAnsi="Helvetica Neue"/>
                <w:sz w:val="20"/>
                <w:szCs w:val="20"/>
              </w:rPr>
              <w:t>Non-Industry</w:t>
            </w:r>
          </w:p>
          <w:p w14:paraId="639CDC6F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758" w:type="dxa"/>
          </w:tcPr>
          <w:p w14:paraId="13C17EB8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</w:t>
            </w:r>
            <w:r w:rsidRPr="00D2386B">
              <w:rPr>
                <w:rFonts w:ascii="Helvetica Neue" w:hAnsi="Helvetica Neue"/>
                <w:sz w:val="20"/>
                <w:szCs w:val="20"/>
              </w:rPr>
              <w:t>ot cited in review documents</w:t>
            </w:r>
          </w:p>
        </w:tc>
      </w:tr>
      <w:tr w:rsidR="004D255B" w:rsidRPr="00D2386B" w14:paraId="6F1A3479" w14:textId="77777777" w:rsidTr="000C1519">
        <w:trPr>
          <w:trHeight w:val="189"/>
        </w:trPr>
        <w:tc>
          <w:tcPr>
            <w:tcW w:w="1555" w:type="dxa"/>
          </w:tcPr>
          <w:p w14:paraId="54B6D8F0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2386B">
              <w:rPr>
                <w:rFonts w:ascii="Helvetica Neue" w:hAnsi="Helvetica Neue"/>
                <w:color w:val="000000"/>
                <w:sz w:val="20"/>
                <w:szCs w:val="20"/>
              </w:rPr>
              <w:t>NCT01267448</w:t>
            </w:r>
          </w:p>
        </w:tc>
        <w:tc>
          <w:tcPr>
            <w:tcW w:w="992" w:type="dxa"/>
          </w:tcPr>
          <w:p w14:paraId="05AD6175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DM</w:t>
            </w:r>
          </w:p>
        </w:tc>
        <w:tc>
          <w:tcPr>
            <w:tcW w:w="3827" w:type="dxa"/>
          </w:tcPr>
          <w:p w14:paraId="67808484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D2386B"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 xml:space="preserve">A Pilot Study of Outpatient Discharge Therapy </w:t>
            </w:r>
            <w:proofErr w:type="gramStart"/>
            <w:r w:rsidRPr="00D2386B"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>With</w:t>
            </w:r>
            <w:proofErr w:type="gramEnd"/>
            <w:r w:rsidRPr="00D2386B"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386B"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>Saxagliptin</w:t>
            </w:r>
            <w:proofErr w:type="spellEnd"/>
            <w:r w:rsidRPr="00D2386B"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 xml:space="preserve"> + Metformin XR or </w:t>
            </w:r>
            <w:proofErr w:type="spellStart"/>
            <w:r w:rsidRPr="00D2386B"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>Sulphonylurea</w:t>
            </w:r>
            <w:proofErr w:type="spellEnd"/>
            <w:r w:rsidRPr="00D2386B"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 xml:space="preserve"> for Recently Diagnosed Type 2 Diabetes Presenting With Severe Hyperglycemia</w:t>
            </w:r>
          </w:p>
        </w:tc>
        <w:tc>
          <w:tcPr>
            <w:tcW w:w="1276" w:type="dxa"/>
          </w:tcPr>
          <w:p w14:paraId="4868B2F0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D2386B">
              <w:rPr>
                <w:rFonts w:ascii="Helvetica Neue" w:hAnsi="Helvetica Neue"/>
                <w:sz w:val="20"/>
                <w:szCs w:val="20"/>
              </w:rPr>
              <w:t xml:space="preserve">Unknown </w:t>
            </w:r>
          </w:p>
          <w:p w14:paraId="73A58C1B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D2386B">
              <w:rPr>
                <w:rFonts w:ascii="Helvetica Neue" w:hAnsi="Helvetica Neue"/>
                <w:sz w:val="20"/>
                <w:szCs w:val="20"/>
              </w:rPr>
              <w:t>(Previously, Recruiting)</w:t>
            </w:r>
          </w:p>
        </w:tc>
        <w:tc>
          <w:tcPr>
            <w:tcW w:w="1134" w:type="dxa"/>
          </w:tcPr>
          <w:p w14:paraId="30FCEFBB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D2386B">
              <w:rPr>
                <w:rFonts w:ascii="Helvetica Neue" w:hAnsi="Helvetica Neue"/>
                <w:sz w:val="20"/>
                <w:szCs w:val="20"/>
              </w:rPr>
              <w:t>Non-Industry</w:t>
            </w:r>
          </w:p>
          <w:p w14:paraId="72859F97" w14:textId="77777777" w:rsidR="004D255B" w:rsidRPr="00D2386B" w:rsidRDefault="004D255B" w:rsidP="000C1519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758" w:type="dxa"/>
          </w:tcPr>
          <w:p w14:paraId="0B4848B6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Poor</w:t>
            </w:r>
            <w:r w:rsidRPr="00D2386B">
              <w:rPr>
                <w:rFonts w:ascii="Helvetica Neue" w:hAnsi="Helvetica Neue"/>
                <w:sz w:val="20"/>
                <w:szCs w:val="20"/>
              </w:rPr>
              <w:t xml:space="preserve"> Feasibility</w:t>
            </w:r>
          </w:p>
        </w:tc>
      </w:tr>
      <w:tr w:rsidR="004D255B" w:rsidRPr="00D2386B" w14:paraId="601A4336" w14:textId="77777777" w:rsidTr="000C1519">
        <w:trPr>
          <w:trHeight w:val="189"/>
        </w:trPr>
        <w:tc>
          <w:tcPr>
            <w:tcW w:w="1555" w:type="dxa"/>
          </w:tcPr>
          <w:p w14:paraId="5B5BF54D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2386B">
              <w:rPr>
                <w:rFonts w:ascii="Helvetica Neue" w:hAnsi="Helvetica Neue"/>
                <w:color w:val="000000"/>
                <w:sz w:val="20"/>
                <w:szCs w:val="20"/>
              </w:rPr>
              <w:t>NCT00978796</w:t>
            </w:r>
          </w:p>
        </w:tc>
        <w:tc>
          <w:tcPr>
            <w:tcW w:w="992" w:type="dxa"/>
          </w:tcPr>
          <w:p w14:paraId="71DE61D0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DM</w:t>
            </w:r>
          </w:p>
        </w:tc>
        <w:tc>
          <w:tcPr>
            <w:tcW w:w="3827" w:type="dxa"/>
          </w:tcPr>
          <w:p w14:paraId="7B5B5667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D2386B"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 xml:space="preserve">Pilot Study Assessing Glucose Effects of Sitagliptin (Januvia) in Adult Patients </w:t>
            </w:r>
            <w:proofErr w:type="gramStart"/>
            <w:r w:rsidRPr="00D2386B"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>With</w:t>
            </w:r>
            <w:proofErr w:type="gramEnd"/>
            <w:r w:rsidRPr="00D2386B"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 xml:space="preserve"> Type 1 Diabetes</w:t>
            </w:r>
          </w:p>
        </w:tc>
        <w:tc>
          <w:tcPr>
            <w:tcW w:w="1276" w:type="dxa"/>
          </w:tcPr>
          <w:p w14:paraId="7A0EB8B5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D2386B"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1134" w:type="dxa"/>
          </w:tcPr>
          <w:p w14:paraId="21D0EB5F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D2386B">
              <w:rPr>
                <w:rFonts w:ascii="Helvetica Neue" w:hAnsi="Helvetica Neue"/>
                <w:sz w:val="20"/>
                <w:szCs w:val="20"/>
              </w:rPr>
              <w:t>Non-Industry</w:t>
            </w:r>
          </w:p>
          <w:p w14:paraId="66E2597A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758" w:type="dxa"/>
          </w:tcPr>
          <w:p w14:paraId="148F7F7B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</w:t>
            </w:r>
            <w:r w:rsidRPr="00D2386B">
              <w:rPr>
                <w:rFonts w:ascii="Helvetica Neue" w:hAnsi="Helvetica Neue"/>
                <w:sz w:val="20"/>
                <w:szCs w:val="20"/>
              </w:rPr>
              <w:t>ot cited in review documents</w:t>
            </w:r>
          </w:p>
        </w:tc>
      </w:tr>
      <w:tr w:rsidR="004D255B" w:rsidRPr="00D2386B" w14:paraId="11BC8478" w14:textId="77777777" w:rsidTr="000C1519">
        <w:trPr>
          <w:trHeight w:val="189"/>
        </w:trPr>
        <w:tc>
          <w:tcPr>
            <w:tcW w:w="1555" w:type="dxa"/>
          </w:tcPr>
          <w:p w14:paraId="6A914AED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2386B">
              <w:rPr>
                <w:rFonts w:ascii="Helvetica Neue" w:hAnsi="Helvetica Neue"/>
                <w:color w:val="000000"/>
                <w:sz w:val="20"/>
                <w:szCs w:val="20"/>
              </w:rPr>
              <w:t>NCT00979628</w:t>
            </w:r>
          </w:p>
        </w:tc>
        <w:tc>
          <w:tcPr>
            <w:tcW w:w="992" w:type="dxa"/>
          </w:tcPr>
          <w:p w14:paraId="62F45DE8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DM</w:t>
            </w:r>
          </w:p>
        </w:tc>
        <w:tc>
          <w:tcPr>
            <w:tcW w:w="3827" w:type="dxa"/>
          </w:tcPr>
          <w:p w14:paraId="53C37821" w14:textId="77777777" w:rsidR="004D255B" w:rsidRPr="00C343D1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D2386B"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 xml:space="preserve">Basal Bolus Versus Basal Insulin Regimen for the Treatment of Hospitalized Patients </w:t>
            </w:r>
            <w:proofErr w:type="gramStart"/>
            <w:r w:rsidRPr="00D2386B"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>With</w:t>
            </w:r>
            <w:proofErr w:type="gramEnd"/>
            <w:r w:rsidRPr="00D2386B"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 xml:space="preserve"> Type 2 Diabetes Mellitus</w:t>
            </w:r>
          </w:p>
        </w:tc>
        <w:tc>
          <w:tcPr>
            <w:tcW w:w="1276" w:type="dxa"/>
          </w:tcPr>
          <w:p w14:paraId="0CE46494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D2386B"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1134" w:type="dxa"/>
          </w:tcPr>
          <w:p w14:paraId="30F34C65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D2386B">
              <w:rPr>
                <w:rFonts w:ascii="Helvetica Neue" w:hAnsi="Helvetica Neue"/>
                <w:sz w:val="20"/>
                <w:szCs w:val="20"/>
              </w:rPr>
              <w:t>Non-Industry</w:t>
            </w:r>
          </w:p>
          <w:p w14:paraId="00C6953D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758" w:type="dxa"/>
          </w:tcPr>
          <w:p w14:paraId="5D57F0C4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E</w:t>
            </w:r>
            <w:r w:rsidRPr="00D2386B">
              <w:rPr>
                <w:rFonts w:ascii="Helvetica Neue" w:hAnsi="Helvetica Neue"/>
                <w:sz w:val="20"/>
                <w:szCs w:val="20"/>
              </w:rPr>
              <w:t>levated Risk of Bias Score</w:t>
            </w:r>
          </w:p>
        </w:tc>
      </w:tr>
      <w:tr w:rsidR="004D255B" w:rsidRPr="00D2386B" w14:paraId="192BFF96" w14:textId="77777777" w:rsidTr="000C1519">
        <w:trPr>
          <w:trHeight w:val="189"/>
        </w:trPr>
        <w:tc>
          <w:tcPr>
            <w:tcW w:w="1555" w:type="dxa"/>
          </w:tcPr>
          <w:p w14:paraId="0832B8CD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2386B">
              <w:rPr>
                <w:rFonts w:ascii="Helvetica Neue" w:hAnsi="Helvetica Neue"/>
                <w:color w:val="000000"/>
                <w:sz w:val="20"/>
                <w:szCs w:val="20"/>
              </w:rPr>
              <w:t>NCT01107717</w:t>
            </w:r>
          </w:p>
        </w:tc>
        <w:tc>
          <w:tcPr>
            <w:tcW w:w="992" w:type="dxa"/>
          </w:tcPr>
          <w:p w14:paraId="1CE855B5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DM</w:t>
            </w:r>
          </w:p>
        </w:tc>
        <w:tc>
          <w:tcPr>
            <w:tcW w:w="3827" w:type="dxa"/>
          </w:tcPr>
          <w:p w14:paraId="182CD44D" w14:textId="77777777" w:rsidR="004D255B" w:rsidRPr="00C343D1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D2386B"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 xml:space="preserve">Durability of Early Initial Combination Therapy </w:t>
            </w:r>
            <w:proofErr w:type="gramStart"/>
            <w:r w:rsidRPr="00D2386B"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>With</w:t>
            </w:r>
            <w:proofErr w:type="gramEnd"/>
            <w:r w:rsidRPr="00D2386B"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 xml:space="preserve"> Exenatide/Pioglitazone/Metformin vs Conventional Therapy in New Onset Type 2 Diabetes</w:t>
            </w:r>
          </w:p>
        </w:tc>
        <w:tc>
          <w:tcPr>
            <w:tcW w:w="1276" w:type="dxa"/>
          </w:tcPr>
          <w:p w14:paraId="0AD955C2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D2386B">
              <w:rPr>
                <w:rFonts w:ascii="Helvetica Neue" w:hAnsi="Helvetica Neue"/>
                <w:sz w:val="20"/>
                <w:szCs w:val="20"/>
              </w:rPr>
              <w:t>Active, NR</w:t>
            </w:r>
          </w:p>
        </w:tc>
        <w:tc>
          <w:tcPr>
            <w:tcW w:w="1134" w:type="dxa"/>
          </w:tcPr>
          <w:p w14:paraId="4EBBA767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D2386B">
              <w:rPr>
                <w:rFonts w:ascii="Helvetica Neue" w:hAnsi="Helvetica Neue"/>
                <w:sz w:val="20"/>
                <w:szCs w:val="20"/>
              </w:rPr>
              <w:t>Non-Industry</w:t>
            </w:r>
          </w:p>
          <w:p w14:paraId="1011EF8A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758" w:type="dxa"/>
          </w:tcPr>
          <w:p w14:paraId="1B1F41CC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Poor</w:t>
            </w:r>
            <w:r w:rsidRPr="00D2386B">
              <w:rPr>
                <w:rFonts w:ascii="Helvetica Neue" w:hAnsi="Helvetica Neue"/>
                <w:sz w:val="20"/>
                <w:szCs w:val="20"/>
              </w:rPr>
              <w:t xml:space="preserve"> Feasibility</w:t>
            </w:r>
          </w:p>
        </w:tc>
      </w:tr>
      <w:tr w:rsidR="004D255B" w:rsidRPr="00D2386B" w14:paraId="0E683886" w14:textId="77777777" w:rsidTr="000C1519">
        <w:trPr>
          <w:trHeight w:val="189"/>
        </w:trPr>
        <w:tc>
          <w:tcPr>
            <w:tcW w:w="1555" w:type="dxa"/>
          </w:tcPr>
          <w:p w14:paraId="47F8D41D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2386B">
              <w:rPr>
                <w:rFonts w:ascii="Helvetica Neue" w:hAnsi="Helvetica Neue"/>
                <w:color w:val="000000"/>
                <w:sz w:val="20"/>
                <w:szCs w:val="20"/>
              </w:rPr>
              <w:t>NCT00939250</w:t>
            </w:r>
          </w:p>
        </w:tc>
        <w:tc>
          <w:tcPr>
            <w:tcW w:w="992" w:type="dxa"/>
          </w:tcPr>
          <w:p w14:paraId="2FEE4656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DM</w:t>
            </w:r>
          </w:p>
        </w:tc>
        <w:tc>
          <w:tcPr>
            <w:tcW w:w="3827" w:type="dxa"/>
          </w:tcPr>
          <w:p w14:paraId="630D1700" w14:textId="77777777" w:rsidR="004D255B" w:rsidRPr="00C343D1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D2386B"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>A Comprehensive Intervention for Diabetes and Comorbid Depression in Primary Care</w:t>
            </w:r>
          </w:p>
        </w:tc>
        <w:tc>
          <w:tcPr>
            <w:tcW w:w="1276" w:type="dxa"/>
          </w:tcPr>
          <w:p w14:paraId="083838F7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D2386B"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1134" w:type="dxa"/>
          </w:tcPr>
          <w:p w14:paraId="6FEE06A9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D2386B">
              <w:rPr>
                <w:rFonts w:ascii="Helvetica Neue" w:hAnsi="Helvetica Neue"/>
                <w:sz w:val="20"/>
                <w:szCs w:val="20"/>
              </w:rPr>
              <w:t>Non-Industry</w:t>
            </w:r>
          </w:p>
          <w:p w14:paraId="198284AC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758" w:type="dxa"/>
          </w:tcPr>
          <w:p w14:paraId="3F2876F4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Poor</w:t>
            </w:r>
            <w:r w:rsidRPr="00D2386B">
              <w:rPr>
                <w:rFonts w:ascii="Helvetica Neue" w:hAnsi="Helvetica Neue"/>
                <w:sz w:val="20"/>
                <w:szCs w:val="20"/>
              </w:rPr>
              <w:t xml:space="preserve"> Feasibility</w:t>
            </w:r>
          </w:p>
        </w:tc>
      </w:tr>
      <w:tr w:rsidR="004D255B" w:rsidRPr="00D2386B" w14:paraId="4D3FEED7" w14:textId="77777777" w:rsidTr="000C1519">
        <w:trPr>
          <w:trHeight w:val="189"/>
        </w:trPr>
        <w:tc>
          <w:tcPr>
            <w:tcW w:w="1555" w:type="dxa"/>
          </w:tcPr>
          <w:p w14:paraId="4F4D23E7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2386B">
              <w:rPr>
                <w:rFonts w:ascii="Helvetica Neue" w:hAnsi="Helvetica Neue"/>
                <w:color w:val="000000"/>
                <w:sz w:val="20"/>
                <w:szCs w:val="20"/>
              </w:rPr>
              <w:t>NCT00950677</w:t>
            </w:r>
          </w:p>
        </w:tc>
        <w:tc>
          <w:tcPr>
            <w:tcW w:w="992" w:type="dxa"/>
          </w:tcPr>
          <w:p w14:paraId="5D6729BC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DM</w:t>
            </w:r>
          </w:p>
        </w:tc>
        <w:tc>
          <w:tcPr>
            <w:tcW w:w="3827" w:type="dxa"/>
          </w:tcPr>
          <w:p w14:paraId="59B902D0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D2386B"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 xml:space="preserve">The Effect of the Glucagon Suppressors Pramlintide and Exenatide on Postprandial Glucose Metabolism in Children </w:t>
            </w:r>
            <w:proofErr w:type="gramStart"/>
            <w:r w:rsidRPr="00D2386B"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>With</w:t>
            </w:r>
            <w:proofErr w:type="gramEnd"/>
            <w:r w:rsidRPr="00D2386B"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 xml:space="preserve"> Type 2 Diabetes Mellitus</w:t>
            </w:r>
          </w:p>
        </w:tc>
        <w:tc>
          <w:tcPr>
            <w:tcW w:w="1276" w:type="dxa"/>
          </w:tcPr>
          <w:p w14:paraId="29ADC685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D2386B"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1134" w:type="dxa"/>
          </w:tcPr>
          <w:p w14:paraId="0AA5B7CF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D2386B">
              <w:rPr>
                <w:rFonts w:ascii="Helvetica Neue" w:hAnsi="Helvetica Neue"/>
                <w:sz w:val="20"/>
                <w:szCs w:val="20"/>
              </w:rPr>
              <w:t>Non-Industry</w:t>
            </w:r>
          </w:p>
          <w:p w14:paraId="12892B5C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758" w:type="dxa"/>
          </w:tcPr>
          <w:p w14:paraId="335133E0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Not Reported</w:t>
            </w:r>
          </w:p>
        </w:tc>
      </w:tr>
      <w:tr w:rsidR="004D255B" w:rsidRPr="00D2386B" w14:paraId="1403BC85" w14:textId="77777777" w:rsidTr="000C1519">
        <w:trPr>
          <w:trHeight w:val="189"/>
        </w:trPr>
        <w:tc>
          <w:tcPr>
            <w:tcW w:w="1555" w:type="dxa"/>
          </w:tcPr>
          <w:p w14:paraId="28BA9F79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D2386B">
              <w:rPr>
                <w:rFonts w:ascii="Helvetica Neue" w:hAnsi="Helvetica Neue"/>
                <w:color w:val="000000"/>
                <w:sz w:val="20"/>
                <w:szCs w:val="20"/>
              </w:rPr>
              <w:t>NCT01221090</w:t>
            </w:r>
          </w:p>
        </w:tc>
        <w:tc>
          <w:tcPr>
            <w:tcW w:w="992" w:type="dxa"/>
          </w:tcPr>
          <w:p w14:paraId="1A84B7FB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DM</w:t>
            </w:r>
          </w:p>
        </w:tc>
        <w:tc>
          <w:tcPr>
            <w:tcW w:w="3827" w:type="dxa"/>
          </w:tcPr>
          <w:p w14:paraId="7092D58C" w14:textId="77777777" w:rsidR="004D255B" w:rsidRPr="00C343D1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D2386B"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>Employing Diabetes Self-Management Models to Reduce Health Disparities in Texas</w:t>
            </w:r>
          </w:p>
        </w:tc>
        <w:tc>
          <w:tcPr>
            <w:tcW w:w="1276" w:type="dxa"/>
          </w:tcPr>
          <w:p w14:paraId="4C1752FF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D2386B"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1134" w:type="dxa"/>
          </w:tcPr>
          <w:p w14:paraId="35D7D349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D2386B">
              <w:rPr>
                <w:rFonts w:ascii="Helvetica Neue" w:hAnsi="Helvetica Neue"/>
                <w:sz w:val="20"/>
                <w:szCs w:val="20"/>
              </w:rPr>
              <w:t>Non-Industry</w:t>
            </w:r>
          </w:p>
          <w:p w14:paraId="33D15869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758" w:type="dxa"/>
          </w:tcPr>
          <w:p w14:paraId="0139732A" w14:textId="77777777" w:rsidR="004D255B" w:rsidRPr="00D2386B" w:rsidRDefault="004D255B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E</w:t>
            </w:r>
            <w:r w:rsidRPr="00D2386B">
              <w:rPr>
                <w:rFonts w:ascii="Helvetica Neue" w:hAnsi="Helvetica Neue"/>
                <w:sz w:val="20"/>
                <w:szCs w:val="20"/>
              </w:rPr>
              <w:t>levated Risk of Bias Score</w:t>
            </w:r>
          </w:p>
        </w:tc>
      </w:tr>
    </w:tbl>
    <w:p w14:paraId="7FD00D59" w14:textId="083C3AA2" w:rsidR="004D255B" w:rsidRDefault="004D255B"/>
    <w:p w14:paraId="28B72494" w14:textId="77777777" w:rsidR="004D255B" w:rsidRPr="00626754" w:rsidRDefault="004D255B" w:rsidP="004D255B">
      <w:pPr>
        <w:rPr>
          <w:rFonts w:ascii="Helvetica Neue" w:hAnsi="Helvetica Neue" w:cstheme="minorHAnsi"/>
          <w:sz w:val="20"/>
          <w:szCs w:val="20"/>
        </w:rPr>
      </w:pPr>
      <w:r w:rsidRPr="00626754">
        <w:rPr>
          <w:rFonts w:ascii="Helvetica Neue" w:hAnsi="Helvetica Neue" w:cstheme="minorHAnsi"/>
          <w:sz w:val="20"/>
          <w:szCs w:val="20"/>
        </w:rPr>
        <w:t xml:space="preserve">IHD – </w:t>
      </w:r>
      <w:proofErr w:type="gramStart"/>
      <w:r w:rsidRPr="00626754">
        <w:rPr>
          <w:rFonts w:ascii="Helvetica Neue" w:hAnsi="Helvetica Neue" w:cstheme="minorHAnsi"/>
          <w:sz w:val="20"/>
          <w:szCs w:val="20"/>
        </w:rPr>
        <w:t>Ischemic Heart Disease</w:t>
      </w:r>
      <w:proofErr w:type="gramEnd"/>
    </w:p>
    <w:p w14:paraId="15030128" w14:textId="77777777" w:rsidR="004D255B" w:rsidRPr="00626754" w:rsidRDefault="004D255B" w:rsidP="004D255B">
      <w:pPr>
        <w:rPr>
          <w:rFonts w:ascii="Helvetica Neue" w:hAnsi="Helvetica Neue" w:cstheme="minorHAnsi"/>
          <w:sz w:val="20"/>
          <w:szCs w:val="20"/>
        </w:rPr>
      </w:pPr>
      <w:r w:rsidRPr="00626754">
        <w:rPr>
          <w:rFonts w:ascii="Helvetica Neue" w:hAnsi="Helvetica Neue" w:cstheme="minorHAnsi"/>
          <w:sz w:val="20"/>
          <w:szCs w:val="20"/>
        </w:rPr>
        <w:t>DM – Diabetes Mellitus</w:t>
      </w:r>
    </w:p>
    <w:p w14:paraId="2F5028A2" w14:textId="77777777" w:rsidR="004D255B" w:rsidRDefault="004D255B" w:rsidP="004D255B">
      <w:pPr>
        <w:rPr>
          <w:rFonts w:ascii="Helvetica Neue" w:hAnsi="Helvetica Neue" w:cstheme="minorHAnsi"/>
          <w:b/>
          <w:bCs/>
        </w:rPr>
      </w:pPr>
    </w:p>
    <w:p w14:paraId="09A20C1B" w14:textId="77777777" w:rsidR="004D255B" w:rsidRDefault="004D255B"/>
    <w:sectPr w:rsidR="004D255B" w:rsidSect="00E438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5B"/>
    <w:rsid w:val="00001CB6"/>
    <w:rsid w:val="00056260"/>
    <w:rsid w:val="00090105"/>
    <w:rsid w:val="000B038F"/>
    <w:rsid w:val="000B2AAB"/>
    <w:rsid w:val="000C3ED8"/>
    <w:rsid w:val="000D0C2D"/>
    <w:rsid w:val="001B0B78"/>
    <w:rsid w:val="001B6339"/>
    <w:rsid w:val="001D0CEF"/>
    <w:rsid w:val="002321C3"/>
    <w:rsid w:val="0023759D"/>
    <w:rsid w:val="00243C58"/>
    <w:rsid w:val="0028094F"/>
    <w:rsid w:val="002B09EB"/>
    <w:rsid w:val="002E5583"/>
    <w:rsid w:val="003833BB"/>
    <w:rsid w:val="0039229A"/>
    <w:rsid w:val="003C39C4"/>
    <w:rsid w:val="00450CD3"/>
    <w:rsid w:val="004D2114"/>
    <w:rsid w:val="004D255B"/>
    <w:rsid w:val="00552F81"/>
    <w:rsid w:val="00617264"/>
    <w:rsid w:val="006535A6"/>
    <w:rsid w:val="00691717"/>
    <w:rsid w:val="006F2707"/>
    <w:rsid w:val="006F3ECE"/>
    <w:rsid w:val="007079D3"/>
    <w:rsid w:val="00730401"/>
    <w:rsid w:val="00764A30"/>
    <w:rsid w:val="00776315"/>
    <w:rsid w:val="00843C46"/>
    <w:rsid w:val="00950847"/>
    <w:rsid w:val="0097779E"/>
    <w:rsid w:val="009C179C"/>
    <w:rsid w:val="009C5AD4"/>
    <w:rsid w:val="00AB4375"/>
    <w:rsid w:val="00B00BC1"/>
    <w:rsid w:val="00B221E3"/>
    <w:rsid w:val="00BB407D"/>
    <w:rsid w:val="00BD42BF"/>
    <w:rsid w:val="00BF2743"/>
    <w:rsid w:val="00BF7D1D"/>
    <w:rsid w:val="00C50397"/>
    <w:rsid w:val="00C936D6"/>
    <w:rsid w:val="00D02923"/>
    <w:rsid w:val="00E30920"/>
    <w:rsid w:val="00E438DA"/>
    <w:rsid w:val="00E44AD8"/>
    <w:rsid w:val="00E67E2C"/>
    <w:rsid w:val="00F25420"/>
    <w:rsid w:val="00F27737"/>
    <w:rsid w:val="00F453E2"/>
    <w:rsid w:val="00FE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30D3CE"/>
  <w15:chartTrackingRefBased/>
  <w15:docId w15:val="{D49D3187-DEF0-A947-ACD7-28520962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55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Hutchinson, Nora,MDCM, MPHIL</dc:creator>
  <cp:keywords/>
  <dc:description/>
  <cp:lastModifiedBy>Hutchinson, Nora,MDCM, MPHIL</cp:lastModifiedBy>
  <cp:revision>2</cp:revision>
  <dcterms:created xsi:type="dcterms:W3CDTF">2022-08-01T15:57:00Z</dcterms:created>
  <dcterms:modified xsi:type="dcterms:W3CDTF">2022-08-01T17:46:00Z</dcterms:modified>
</cp:coreProperties>
</file>