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C919" w14:textId="4A64730C" w:rsidR="003B3671" w:rsidRPr="00FD0744" w:rsidRDefault="003B3671" w:rsidP="003B3671">
      <w:pPr>
        <w:rPr>
          <w:rFonts w:ascii="Helvetica Neue" w:hAnsi="Helvetica Neue"/>
          <w:b/>
          <w:bCs/>
        </w:rPr>
      </w:pPr>
      <w:r w:rsidRPr="003B3671">
        <w:rPr>
          <w:rFonts w:ascii="Helvetica Neue" w:hAnsi="Helvetica Neue"/>
          <w:b/>
          <w:bCs/>
        </w:rPr>
        <w:t xml:space="preserve">Supplementary File </w:t>
      </w:r>
      <w:r w:rsidR="00FD0744">
        <w:rPr>
          <w:rFonts w:ascii="Helvetica Neue" w:hAnsi="Helvetica Neue"/>
          <w:b/>
          <w:bCs/>
        </w:rPr>
        <w:t xml:space="preserve">9 – </w:t>
      </w:r>
      <w:r w:rsidRPr="003B3671">
        <w:rPr>
          <w:rFonts w:ascii="Helvetica Neue" w:hAnsi="Helvetica Neue" w:cstheme="minorHAnsi"/>
          <w:b/>
          <w:bCs/>
        </w:rPr>
        <w:t>Trial Inclusion and Exclusion criteria</w:t>
      </w:r>
    </w:p>
    <w:p w14:paraId="49F9C871" w14:textId="7917B307" w:rsidR="00843C46" w:rsidRPr="003B3671" w:rsidRDefault="00843C46">
      <w:pPr>
        <w:rPr>
          <w:rFonts w:ascii="Helvetica Neue" w:hAnsi="Helvetica Neue"/>
        </w:rPr>
      </w:pPr>
    </w:p>
    <w:p w14:paraId="24C89865" w14:textId="77777777" w:rsidR="003B3671" w:rsidRPr="003B3671" w:rsidRDefault="003B3671" w:rsidP="003B3671">
      <w:pPr>
        <w:rPr>
          <w:rFonts w:ascii="Helvetica Neue" w:hAnsi="Helvetica Neue" w:cstheme="minorHAnsi"/>
          <w:u w:val="single"/>
        </w:rPr>
      </w:pPr>
      <w:r w:rsidRPr="003B3671">
        <w:rPr>
          <w:rFonts w:ascii="Helvetica Neue" w:hAnsi="Helvetica Neue" w:cstheme="minorHAnsi"/>
          <w:u w:val="single"/>
        </w:rPr>
        <w:t>Inclusion criteria:</w:t>
      </w:r>
    </w:p>
    <w:p w14:paraId="3E8B1CEE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 xml:space="preserve">-Primary outcome = clinical decision-related outcome: including mortality, morbidity, quality of life, functional status, need for further interventions, or an </w:t>
      </w:r>
      <w:proofErr w:type="gramStart"/>
      <w:r w:rsidRPr="003B3671">
        <w:rPr>
          <w:rFonts w:ascii="Helvetica Neue" w:hAnsi="Helvetica Neue" w:cstheme="minorHAnsi"/>
        </w:rPr>
        <w:t>appropriate  surrogate</w:t>
      </w:r>
      <w:proofErr w:type="gramEnd"/>
      <w:r w:rsidRPr="003B3671">
        <w:rPr>
          <w:rFonts w:ascii="Helvetica Neue" w:hAnsi="Helvetica Neue" w:cstheme="minorHAnsi"/>
        </w:rPr>
        <w:t xml:space="preserve"> measures (for example, ejection fraction, Hgb A1c, or progression free survival in ischemic heart disease, diabetes mellitus and lung cancer respectively)</w:t>
      </w:r>
    </w:p>
    <w:p w14:paraId="79E19FD0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 xml:space="preserve">-Intervention of any type (drug, device, behavioral, </w:t>
      </w:r>
      <w:proofErr w:type="gramStart"/>
      <w:r w:rsidRPr="003B3671">
        <w:rPr>
          <w:rFonts w:ascii="Helvetica Neue" w:hAnsi="Helvetica Neue" w:cstheme="minorHAnsi"/>
        </w:rPr>
        <w:t>surgical</w:t>
      </w:r>
      <w:proofErr w:type="gramEnd"/>
      <w:r w:rsidRPr="003B3671">
        <w:rPr>
          <w:rFonts w:ascii="Helvetica Neue" w:hAnsi="Helvetica Neue" w:cstheme="minorHAnsi"/>
        </w:rPr>
        <w:t xml:space="preserve"> or other) directed towards the treatment or prevention of ischemic heart disease/lung cancer/diabetes mellitus (and not side-effects of the disease or complications from disease treatment)</w:t>
      </w:r>
    </w:p>
    <w:p w14:paraId="5FBCE818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-Trials with a US site</w:t>
      </w:r>
    </w:p>
    <w:p w14:paraId="6D20D288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-Randomized trials</w:t>
      </w:r>
    </w:p>
    <w:p w14:paraId="1F39A83D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-Multi-arm trials</w:t>
      </w:r>
    </w:p>
    <w:p w14:paraId="01F7F751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-Trials of interventions subject to FDA regulations and are FDA approved prior to trial start</w:t>
      </w:r>
    </w:p>
    <w:p w14:paraId="20D79906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-Trials of interventions not subject to FDA regulations</w:t>
      </w:r>
    </w:p>
    <w:p w14:paraId="0A16304F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-Trials of interventions subject to FDA regulations, FDA approved post trial start, and have at least 5 years of follow-up since FDA approval, to allow for ample time for results incorporation into systematic reviews/clinical practice guidelines/UpToDate</w:t>
      </w:r>
    </w:p>
    <w:p w14:paraId="104808DD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</w:p>
    <w:p w14:paraId="3688C8AC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  <w:u w:val="single"/>
        </w:rPr>
      </w:pPr>
      <w:r w:rsidRPr="003B3671">
        <w:rPr>
          <w:rFonts w:ascii="Helvetica Neue" w:hAnsi="Helvetica Neue" w:cstheme="minorHAnsi"/>
          <w:u w:val="single"/>
        </w:rPr>
        <w:t>Exclusion criteria:</w:t>
      </w:r>
    </w:p>
    <w:p w14:paraId="388745C7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-Exclusively evaluating safety, diagnostic or screening interventions</w:t>
      </w:r>
    </w:p>
    <w:p w14:paraId="388CAE39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-Exclusion of phase 0 or phase 1 trials (given these early phase trials would be unlikely to inform clinical decision-making)</w:t>
      </w:r>
    </w:p>
    <w:p w14:paraId="08048CC3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-Exclusion of extension studies with primary aim to enable continued access to drug (and without additional post-marketing surveillance outcomes)</w:t>
      </w:r>
    </w:p>
    <w:p w14:paraId="3198D654" w14:textId="77777777" w:rsidR="003B3671" w:rsidRPr="003B3671" w:rsidRDefault="003B3671" w:rsidP="003B3671">
      <w:pPr>
        <w:tabs>
          <w:tab w:val="left" w:pos="4120"/>
        </w:tabs>
        <w:rPr>
          <w:rFonts w:ascii="Helvetica Neue" w:hAnsi="Helvetica Neue" w:cstheme="minorHAnsi"/>
        </w:rPr>
      </w:pPr>
      <w:r w:rsidRPr="003B3671">
        <w:rPr>
          <w:rFonts w:ascii="Helvetica Neue" w:hAnsi="Helvetica Neue" w:cstheme="minorHAnsi"/>
        </w:rPr>
        <w:t>-Indeterminate trials, which are ongoing trials have not surpassed double the allotted time for primary outcome completion (as first stated in the historical clinicaltrials.gov registration record)</w:t>
      </w:r>
    </w:p>
    <w:p w14:paraId="1D3C1399" w14:textId="77777777" w:rsidR="003B3671" w:rsidRPr="003B3671" w:rsidRDefault="003B3671">
      <w:pPr>
        <w:rPr>
          <w:rFonts w:ascii="Helvetica Neue" w:hAnsi="Helvetica Neue"/>
        </w:rPr>
      </w:pPr>
    </w:p>
    <w:sectPr w:rsidR="003B3671" w:rsidRPr="003B3671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71"/>
    <w:rsid w:val="00001CB6"/>
    <w:rsid w:val="00056260"/>
    <w:rsid w:val="00090105"/>
    <w:rsid w:val="000B038F"/>
    <w:rsid w:val="000B2AAB"/>
    <w:rsid w:val="000C3ED8"/>
    <w:rsid w:val="000D0C2D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B3671"/>
    <w:rsid w:val="003C39C4"/>
    <w:rsid w:val="00450CD3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D0744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09BE5"/>
  <w15:chartTrackingRefBased/>
  <w15:docId w15:val="{5EF847C1-BCE4-AD40-9F67-3AF5F16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7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2022-08-01T15:26:00Z</dcterms:created>
  <dcterms:modified xsi:type="dcterms:W3CDTF">2022-08-01T17:46:00Z</dcterms:modified>
</cp:coreProperties>
</file>