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67" w:rsidRPr="00DF1405" w:rsidRDefault="00E868AF">
      <w:p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Supplementary file 1</w:t>
      </w:r>
    </w:p>
    <w:p w:rsidR="00280FEB" w:rsidRPr="00DF1405" w:rsidRDefault="00280FEB" w:rsidP="00280FEB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280FEB" w:rsidRPr="00DF1405" w:rsidTr="0079284F">
        <w:tc>
          <w:tcPr>
            <w:tcW w:w="9350" w:type="dxa"/>
          </w:tcPr>
          <w:tbl>
            <w:tblPr>
              <w:tblStyle w:val="GridTable6Colorful-Accent3"/>
              <w:tblpPr w:leftFromText="180" w:rightFromText="180" w:horzAnchor="margin" w:tblpY="752"/>
              <w:tblW w:w="9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29"/>
              <w:gridCol w:w="390"/>
              <w:gridCol w:w="1153"/>
              <w:gridCol w:w="1005"/>
              <w:gridCol w:w="1245"/>
              <w:gridCol w:w="869"/>
              <w:gridCol w:w="1082"/>
              <w:gridCol w:w="902"/>
              <w:gridCol w:w="1049"/>
            </w:tblGrid>
            <w:tr w:rsidR="00DF1405" w:rsidRPr="00DF1405" w:rsidTr="0079284F">
              <w:trPr>
                <w:trHeight w:val="443"/>
              </w:trPr>
              <w:tc>
                <w:tcPr>
                  <w:tcW w:w="1429" w:type="dxa"/>
                  <w:vMerge w:val="restart"/>
                  <w:shd w:val="clear" w:color="auto" w:fill="F0E1CC"/>
                  <w:hideMark/>
                </w:tcPr>
                <w:p w:rsidR="00280FEB" w:rsidRPr="00BE3CB0" w:rsidRDefault="00280FEB" w:rsidP="0079284F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4613F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Condition &amp; </w:t>
                  </w:r>
                  <w:r w:rsidRPr="004613F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br/>
                    <w:t>Genotype</w:t>
                  </w:r>
                </w:p>
              </w:tc>
              <w:tc>
                <w:tcPr>
                  <w:tcW w:w="390" w:type="dxa"/>
                  <w:vMerge w:val="restart"/>
                  <w:shd w:val="clear" w:color="auto" w:fill="C6A378"/>
                  <w:hideMark/>
                </w:tcPr>
                <w:p w:rsidR="00280FEB" w:rsidRPr="00BE3CB0" w:rsidRDefault="00280FEB" w:rsidP="0079284F">
                  <w:pPr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E3CB0"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>N </w:t>
                  </w:r>
                </w:p>
              </w:tc>
              <w:tc>
                <w:tcPr>
                  <w:tcW w:w="1153" w:type="dxa"/>
                  <w:vMerge w:val="restart"/>
                  <w:shd w:val="clear" w:color="auto" w:fill="C6A378"/>
                  <w:hideMark/>
                </w:tcPr>
                <w:p w:rsidR="00280FEB" w:rsidRPr="00BE3CB0" w:rsidRDefault="00280FEB" w:rsidP="0079284F">
                  <w:pP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BE3CB0"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>n of ribbons</w:t>
                  </w:r>
                  <w:r w:rsidRPr="00BE3CB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with CC structures/total n</w:t>
                  </w:r>
                </w:p>
              </w:tc>
              <w:tc>
                <w:tcPr>
                  <w:tcW w:w="6152" w:type="dxa"/>
                  <w:gridSpan w:val="6"/>
                  <w:shd w:val="clear" w:color="auto" w:fill="C6A378"/>
                  <w:hideMark/>
                </w:tcPr>
                <w:p w:rsidR="00280FEB" w:rsidRPr="00BE3CB0" w:rsidRDefault="00280FEB" w:rsidP="0079284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00BE3CB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Clathrin</w:t>
                  </w:r>
                  <w:proofErr w:type="spellEnd"/>
                  <w:r w:rsidRPr="00BE3CB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-coated (CC) structures</w:t>
                  </w:r>
                </w:p>
              </w:tc>
            </w:tr>
            <w:tr w:rsidR="00DF1405" w:rsidRPr="00DF1405" w:rsidTr="0079284F">
              <w:trPr>
                <w:trHeight w:val="380"/>
              </w:trPr>
              <w:tc>
                <w:tcPr>
                  <w:tcW w:w="1429" w:type="dxa"/>
                  <w:vMerge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vMerge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vMerge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 – 100 nm</w:t>
                  </w:r>
                </w:p>
              </w:tc>
              <w:tc>
                <w:tcPr>
                  <w:tcW w:w="3196" w:type="dxa"/>
                  <w:gridSpan w:val="3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100 – 200 nm</w:t>
                  </w:r>
                </w:p>
              </w:tc>
              <w:tc>
                <w:tcPr>
                  <w:tcW w:w="1951" w:type="dxa"/>
                  <w:gridSpan w:val="2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200 - 500 nm</w:t>
                  </w:r>
                </w:p>
              </w:tc>
            </w:tr>
            <w:tr w:rsidR="00DF1405" w:rsidRPr="00DF1405" w:rsidTr="0079284F">
              <w:trPr>
                <w:trHeight w:val="730"/>
              </w:trPr>
              <w:tc>
                <w:tcPr>
                  <w:tcW w:w="1429" w:type="dxa"/>
                  <w:vMerge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vMerge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vMerge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CCVs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Invagina-tions</w:t>
                  </w:r>
                  <w:proofErr w:type="spellEnd"/>
                </w:p>
              </w:tc>
              <w:tc>
                <w:tcPr>
                  <w:tcW w:w="86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CCVs</w:t>
                  </w:r>
                </w:p>
              </w:tc>
              <w:tc>
                <w:tcPr>
                  <w:tcW w:w="1082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Invagina-tions</w:t>
                  </w:r>
                  <w:proofErr w:type="spellEnd"/>
                </w:p>
              </w:tc>
              <w:tc>
                <w:tcPr>
                  <w:tcW w:w="902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CCVs</w:t>
                  </w:r>
                </w:p>
              </w:tc>
              <w:tc>
                <w:tcPr>
                  <w:tcW w:w="104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Invagina-tions</w:t>
                  </w:r>
                  <w:proofErr w:type="spellEnd"/>
                </w:p>
              </w:tc>
            </w:tr>
            <w:tr w:rsidR="00DF1405" w:rsidRPr="00DF1405" w:rsidTr="0079284F">
              <w:trPr>
                <w:trHeight w:val="415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152" w:type="dxa"/>
                  <w:gridSpan w:val="6"/>
                  <w:shd w:val="clear" w:color="auto" w:fill="FFFFFF" w:themeFill="background1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(y=Distance to membrane, x=Distance to PD, d=Diameter in nm)</w:t>
                  </w:r>
                </w:p>
              </w:tc>
            </w:tr>
            <w:tr w:rsidR="00DF1405" w:rsidRPr="00DF1405" w:rsidTr="0079284F">
              <w:trPr>
                <w:trHeight w:val="886"/>
              </w:trPr>
              <w:tc>
                <w:tcPr>
                  <w:tcW w:w="142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ChR2ShortStim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1 </w:t>
                  </w:r>
                </w:p>
              </w:tc>
              <w:tc>
                <w:tcPr>
                  <w:tcW w:w="1153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1/11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y=38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x=455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d=121</w:t>
                  </w:r>
                </w:p>
              </w:tc>
              <w:tc>
                <w:tcPr>
                  <w:tcW w:w="104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623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2/11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y=54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x=498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d=102</w:t>
                  </w:r>
                </w:p>
              </w:tc>
              <w:tc>
                <w:tcPr>
                  <w:tcW w:w="104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426"/>
              </w:trPr>
              <w:tc>
                <w:tcPr>
                  <w:tcW w:w="142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ChR2LongStim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4 </w:t>
                  </w:r>
                </w:p>
              </w:tc>
              <w:tc>
                <w:tcPr>
                  <w:tcW w:w="1153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1/26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x=160</w:t>
                  </w:r>
                </w:p>
              </w:tc>
              <w:tc>
                <w:tcPr>
                  <w:tcW w:w="90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y=48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x=345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d=69</w:t>
                  </w:r>
                </w:p>
              </w:tc>
              <w:tc>
                <w:tcPr>
                  <w:tcW w:w="104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426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2/26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y=78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x=144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d=109</w:t>
                  </w:r>
                </w:p>
              </w:tc>
              <w:tc>
                <w:tcPr>
                  <w:tcW w:w="108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426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1/26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x=315</w:t>
                  </w:r>
                </w:p>
              </w:tc>
            </w:tr>
            <w:tr w:rsidR="00DF1405" w:rsidRPr="00DF1405" w:rsidTr="0079284F">
              <w:trPr>
                <w:trHeight w:val="596"/>
              </w:trPr>
              <w:tc>
                <w:tcPr>
                  <w:tcW w:w="142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LongStim</w:t>
                  </w:r>
                  <w:proofErr w:type="spellEnd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B6J </w:t>
                  </w:r>
                </w:p>
              </w:tc>
              <w:tc>
                <w:tcPr>
                  <w:tcW w:w="390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2 </w:t>
                  </w:r>
                </w:p>
              </w:tc>
              <w:tc>
                <w:tcPr>
                  <w:tcW w:w="1153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1/15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y=8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x=126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d=107</w:t>
                  </w:r>
                </w:p>
              </w:tc>
              <w:tc>
                <w:tcPr>
                  <w:tcW w:w="108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595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2/15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x=80</w:t>
                  </w:r>
                </w:p>
              </w:tc>
              <w:tc>
                <w:tcPr>
                  <w:tcW w:w="86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y=30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x=185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d=94</w:t>
                  </w:r>
                </w:p>
              </w:tc>
              <w:tc>
                <w:tcPr>
                  <w:tcW w:w="108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595"/>
              </w:trPr>
              <w:tc>
                <w:tcPr>
                  <w:tcW w:w="1429" w:type="dxa"/>
                  <w:shd w:val="clear" w:color="auto" w:fill="F0E1CC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3/15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y=8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x=170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 xml:space="preserve">d=74 </w:t>
                  </w:r>
                </w:p>
              </w:tc>
              <w:tc>
                <w:tcPr>
                  <w:tcW w:w="108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DF1405" w:rsidRPr="00DF1405" w:rsidTr="0079284F">
              <w:trPr>
                <w:trHeight w:val="1184"/>
              </w:trPr>
              <w:tc>
                <w:tcPr>
                  <w:tcW w:w="1429" w:type="dxa"/>
                  <w:shd w:val="clear" w:color="auto" w:fill="F0E1CC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ChR2 </w:t>
                  </w:r>
                  <w:proofErr w:type="spellStart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NoLight</w:t>
                  </w:r>
                  <w:proofErr w:type="spellEnd"/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4 </w:t>
                  </w:r>
                </w:p>
              </w:tc>
              <w:tc>
                <w:tcPr>
                  <w:tcW w:w="1153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1/17 ribbons </w:t>
                  </w:r>
                </w:p>
              </w:tc>
              <w:tc>
                <w:tcPr>
                  <w:tcW w:w="100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y=48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x=90</w:t>
                  </w: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br/>
                    <w:t>d=63</w:t>
                  </w:r>
                </w:p>
              </w:tc>
              <w:tc>
                <w:tcPr>
                  <w:tcW w:w="1245" w:type="dxa"/>
                  <w:shd w:val="clear" w:color="auto" w:fill="EDEDED" w:themeFill="accent3" w:themeFillTint="33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2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9" w:type="dxa"/>
                  <w:hideMark/>
                </w:tcPr>
                <w:p w:rsidR="00280FEB" w:rsidRPr="00DF1405" w:rsidRDefault="00280FEB" w:rsidP="0079284F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14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80FEB" w:rsidRPr="00DF1405" w:rsidRDefault="00280FEB" w:rsidP="00280FEB">
      <w:pPr>
        <w:rPr>
          <w:rFonts w:ascii="Arial" w:hAnsi="Arial" w:cs="Arial"/>
          <w:color w:val="000000" w:themeColor="text1"/>
        </w:rPr>
      </w:pPr>
    </w:p>
    <w:p w:rsidR="00280FEB" w:rsidRPr="00DF1405" w:rsidRDefault="00280FEB" w:rsidP="00280FE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DF1405">
        <w:rPr>
          <w:rFonts w:ascii="Arial" w:hAnsi="Arial" w:cs="Arial"/>
          <w:b/>
          <w:color w:val="000000" w:themeColor="text1"/>
        </w:rPr>
        <w:t xml:space="preserve">List of </w:t>
      </w:r>
      <w:proofErr w:type="spellStart"/>
      <w:r w:rsidRPr="00DF1405">
        <w:rPr>
          <w:rFonts w:ascii="Arial" w:hAnsi="Arial" w:cs="Arial"/>
          <w:b/>
          <w:color w:val="000000" w:themeColor="text1"/>
        </w:rPr>
        <w:t>clathrin</w:t>
      </w:r>
      <w:proofErr w:type="spellEnd"/>
      <w:r w:rsidRPr="00DF1405">
        <w:rPr>
          <w:rFonts w:ascii="Arial" w:hAnsi="Arial" w:cs="Arial"/>
          <w:b/>
          <w:color w:val="000000" w:themeColor="text1"/>
        </w:rPr>
        <w:t>-coated (CC) structures at the active zone</w:t>
      </w:r>
    </w:p>
    <w:p w:rsidR="00280FEB" w:rsidRPr="00E868AF" w:rsidRDefault="00280FEB" w:rsidP="00280FEB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868AF">
        <w:rPr>
          <w:rFonts w:ascii="Arial" w:hAnsi="Arial" w:cs="Arial"/>
          <w:bCs/>
          <w:color w:val="000000" w:themeColor="text1"/>
        </w:rPr>
        <w:t>Statistics could not be performed due to the rare abundance of CC structures at the AZ in our tomograms. The grey columns indicate CC structures intermingled with the MP-SV pool.</w:t>
      </w: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</w:rPr>
      </w:pPr>
    </w:p>
    <w:p w:rsidR="000472E7" w:rsidRPr="00DF1405" w:rsidRDefault="000472E7" w:rsidP="00280F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  <w:lang w:val="en-GB"/>
        </w:rPr>
      </w:pPr>
    </w:p>
    <w:sectPr w:rsidR="0041014F" w:rsidRPr="00DF1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4F6B"/>
    <w:multiLevelType w:val="hybridMultilevel"/>
    <w:tmpl w:val="11E4A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F"/>
    <w:rsid w:val="000472E7"/>
    <w:rsid w:val="00280FEB"/>
    <w:rsid w:val="0041014F"/>
    <w:rsid w:val="004613F3"/>
    <w:rsid w:val="004C0F25"/>
    <w:rsid w:val="006A4199"/>
    <w:rsid w:val="007B69A9"/>
    <w:rsid w:val="00806FAB"/>
    <w:rsid w:val="00833D8A"/>
    <w:rsid w:val="008F2EAB"/>
    <w:rsid w:val="00BE3CB0"/>
    <w:rsid w:val="00DF1405"/>
    <w:rsid w:val="00E868AF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378CA"/>
  <w15:chartTrackingRefBased/>
  <w15:docId w15:val="{4041AC02-6487-4844-8F33-23769BC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14F"/>
    <w:pPr>
      <w:keepNext/>
      <w:keepLines/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1014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std">
    <w:name w:val="std"/>
    <w:basedOn w:val="DefaultParagraphFont"/>
    <w:uiPriority w:val="99"/>
    <w:rsid w:val="0041014F"/>
  </w:style>
  <w:style w:type="paragraph" w:styleId="ListParagraph">
    <w:name w:val="List Paragraph"/>
    <w:basedOn w:val="Normal"/>
    <w:uiPriority w:val="34"/>
    <w:qFormat/>
    <w:rsid w:val="0041014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2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280F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0472E7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Wichmann, Carolin</dc:creator>
  <cp:keywords/>
  <dc:description/>
  <cp:lastModifiedBy>GWDG\cwichma</cp:lastModifiedBy>
  <cp:revision>6</cp:revision>
  <dcterms:created xsi:type="dcterms:W3CDTF">2022-09-19T11:32:00Z</dcterms:created>
  <dcterms:modified xsi:type="dcterms:W3CDTF">2022-09-19T11:38:00Z</dcterms:modified>
</cp:coreProperties>
</file>