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20"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20"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0"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rFonts w:ascii="Noto Sans" w:hAnsi="Noto Sans" w:eastAsia="Noto Sans" w:cs="Noto Sans"/>
          <w:sz w:val="20"/>
          <w:szCs w:val="20"/>
        </w:rPr>
      </w:pPr>
      <w:r>
        <w:rPr>
          <w:rFonts w:eastAsia="Noto Sans" w:cs="Noto Sans" w:ascii="Noto Sans" w:hAnsi="Noto Sans"/>
          <w:sz w:val="20"/>
          <w:szCs w:val="20"/>
        </w:rPr>
        <w:t xml:space="preserve">The </w:t>
      </w:r>
      <w:hyperlink r:id="rId2">
        <w:r>
          <w:rPr>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rFonts w:ascii="Noto Sans" w:hAnsi="Noto Sans" w:eastAsia="Noto Sans" w:cs="Noto Sans"/>
          <w:sz w:val="20"/>
          <w:szCs w:val="20"/>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r>
        <w:rPr>
          <w:rFonts w:eastAsia="Noto Sans" w:cs="Noto Sans" w:ascii="Noto Sans" w:hAnsi="Noto Sans"/>
          <w:color w:val="1155CC"/>
          <w:sz w:val="20"/>
          <w:szCs w:val="20"/>
          <w:u w:val="single"/>
        </w:rPr>
        <w:t>EQUATOR Network</w:t>
      </w:r>
      <w:r>
        <w:rPr>
          <w:rFonts w:eastAsia="Noto Sans" w:cs="Noto Sans" w:ascii="Noto Sans" w:hAnsi="Noto Sans"/>
          <w:sz w:val="20"/>
          <w:szCs w:val="20"/>
        </w:rPr>
        <w:t>), life science research (see the </w:t>
      </w:r>
      <w:hyperlink r:id="rId3">
        <w:r>
          <w:rPr>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4">
        <w:r>
          <w:rPr>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5">
        <w:r>
          <w:rPr>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6">
        <w:r>
          <w:rPr>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20"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0"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0"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CellMar>
          <w:top w:w="100" w:type="dxa"/>
          <w:left w:w="100" w:type="dxa"/>
          <w:bottom w:w="100" w:type="dxa"/>
          <w:right w:w="100" w:type="dxa"/>
        </w:tblCellMar>
        <w:tblLook w:val="0600" w:noHBand="1" w:noVBand="1" w:firstColumn="0" w:lastRow="0" w:lastColumn="0" w:firstRow="0"/>
      </w:tblPr>
      <w:tblGrid>
        <w:gridCol w:w="5550"/>
        <w:gridCol w:w="3075"/>
        <w:gridCol w:w="1095"/>
      </w:tblGrid>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5"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w:t>
            </w:r>
            <w:r>
              <w:rPr>
                <w:rFonts w:eastAsia="Noto Sans" w:cs="Noto Sans" w:ascii="Noto Sans" w:hAnsi="Noto Sans"/>
                <w:bCs/>
                <w:color w:val="434343"/>
                <w:sz w:val="18"/>
                <w:szCs w:val="18"/>
              </w:rPr>
              <w:t>Materials Availability” section</w:t>
            </w:r>
          </w:p>
        </w:tc>
        <w:tc>
          <w:tcPr>
            <w:tcW w:w="109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50" w:type="dxa"/>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tcPr>
          <w:p>
            <w:pPr>
              <w:pStyle w:val="Normal"/>
              <w:spacing w:lineRule="auto" w:line="218"/>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tcPr>
          <w:p>
            <w:pPr>
              <w:pStyle w:val="Normal"/>
              <w:spacing w:lineRule="auto" w:line="218"/>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5"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tcBorders>
            <w:tcMar>
              <w:left w:w="12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commercial reagents, provide supplier name, catalogue number and</w:t>
            </w:r>
            <w:hyperlink r:id="rId7">
              <w:r>
                <w:rPr>
                  <w:rFonts w:eastAsia="Noto Sans" w:cs="Noto Sans" w:ascii="Noto Sans" w:hAnsi="Noto Sans"/>
                  <w:color w:val="434343"/>
                  <w:sz w:val="18"/>
                  <w:szCs w:val="18"/>
                </w:rPr>
                <w:t xml:space="preserve"> </w:t>
              </w:r>
            </w:hyperlink>
            <w:hyperlink r:id="rId8">
              <w:r>
                <w:rPr>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w:t>
            </w:r>
            <w:r>
              <w:rPr>
                <w:rFonts w:eastAsia="Noto Sans" w:cs="Noto Sans" w:ascii="Noto Sans" w:hAnsi="Noto Sans"/>
                <w:bCs/>
                <w:color w:val="434343"/>
                <w:sz w:val="18"/>
                <w:szCs w:val="18"/>
              </w:rPr>
              <w:t>Methods” section</w:t>
            </w:r>
          </w:p>
        </w:tc>
        <w:tc>
          <w:tcPr>
            <w:tcW w:w="1095" w:type="dxa"/>
            <w:tcBorders>
              <w:bottom w:val="single" w:sz="8" w:space="0" w:color="000000"/>
              <w:right w:val="single" w:sz="8" w:space="0" w:color="000000"/>
            </w:tcBorders>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50"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Supplementary Table 6</w:t>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85" w:hRule="atLeast"/>
        </w:trPr>
        <w:tc>
          <w:tcPr>
            <w:tcW w:w="5550" w:type="dxa"/>
            <w:tcBorders>
              <w:top w:val="single" w:sz="8" w:space="0" w:color="000000"/>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top w:val="single" w:sz="8" w:space="0" w:color="000000"/>
              <w:bottom w:val="single" w:sz="8" w:space="0" w:color="000000"/>
            </w:tcBorders>
          </w:tcPr>
          <w:p>
            <w:pPr>
              <w:pStyle w:val="Normal"/>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5" w:type="dxa"/>
            <w:tcBorders>
              <w:top w:val="single" w:sz="8" w:space="0" w:color="000000"/>
              <w:bottom w:val="single" w:sz="8" w:space="0" w:color="000000"/>
            </w:tcBorders>
          </w:tcPr>
          <w:p>
            <w:pPr>
              <w:pStyle w:val="Normal"/>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0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668"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50"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tcBorders>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574" w:hRule="atLeast"/>
        </w:trPr>
        <w:tc>
          <w:tcPr>
            <w:tcW w:w="5550"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w:t>
            </w:r>
            <w:r>
              <w:rPr>
                <w:rFonts w:eastAsia="Noto Sans" w:cs="Noto Sans" w:ascii="Noto Sans" w:hAnsi="Noto Sans"/>
                <w:bCs/>
                <w:color w:val="434343"/>
                <w:sz w:val="18"/>
                <w:szCs w:val="18"/>
              </w:rPr>
              <w:t>Methods” section, heading “Yeast Strains and Handling” and Supplementary Table 7</w:t>
            </w:r>
          </w:p>
        </w:tc>
        <w:tc>
          <w:tcPr>
            <w:tcW w:w="109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50" w:type="dxa"/>
            <w:tcBorders>
              <w:bottom w:val="single" w:sz="8" w:space="0" w:color="000000"/>
            </w:tcBorders>
          </w:tcPr>
          <w:p>
            <w:pPr>
              <w:pStyle w:val="Normal"/>
              <w:spacing w:lineRule="auto" w:line="218"/>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tcBorders>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tcBorders>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5" w:type="dxa"/>
            <w:tcBorders>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5"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tcBorders>
          </w:tcPr>
          <w:p>
            <w:pPr>
              <w:pStyle w:val="Normal"/>
              <w:spacing w:lineRule="auto" w:line="218"/>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5" w:type="dxa"/>
            <w:tcBorders>
              <w:bottom w:val="single" w:sz="8" w:space="0" w:color="000000"/>
              <w:right w:val="single" w:sz="8" w:space="0" w:color="000000"/>
            </w:tcBorders>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tcBorders>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x</w:t>
            </w:r>
          </w:p>
        </w:tc>
      </w:tr>
    </w:tbl>
    <w:p>
      <w:pPr>
        <w:pStyle w:val="Normal"/>
        <w:spacing w:lineRule="auto" w:line="220"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0"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CellMar>
          <w:top w:w="100" w:type="dxa"/>
          <w:left w:w="100" w:type="dxa"/>
          <w:bottom w:w="100" w:type="dxa"/>
          <w:right w:w="100" w:type="dxa"/>
        </w:tblCellMar>
        <w:tblLook w:val="0600" w:noHBand="1" w:noVBand="1" w:firstColumn="0" w:lastRow="0" w:lastColumn="0" w:firstRow="0"/>
      </w:tblPr>
      <w:tblGrid>
        <w:gridCol w:w="5595"/>
        <w:gridCol w:w="3102"/>
        <w:gridCol w:w="993"/>
      </w:tblGrid>
      <w:tr>
        <w:trPr>
          <w:trHeight w:val="470"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2"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3"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2" w:type="dxa"/>
            <w:tcBorders>
              <w:bottom w:val="single" w:sz="8" w:space="0" w:color="000000"/>
              <w:right w:val="single" w:sz="8" w:space="0" w:color="000000"/>
            </w:tcBorders>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2" w:type="dxa"/>
            <w:tcBorders>
              <w:bottom w:val="single" w:sz="8" w:space="0" w:color="000000"/>
            </w:tcBorders>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3" w:type="dxa"/>
            <w:tcBorders>
              <w:bottom w:val="single" w:sz="8" w:space="0" w:color="000000"/>
            </w:tcBorders>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2"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3"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tcBorders>
          </w:tcPr>
          <w:p>
            <w:pPr>
              <w:pStyle w:val="Normal"/>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2" w:type="dxa"/>
            <w:tcBorders>
              <w:bottom w:val="single" w:sz="8" w:space="0" w:color="000000"/>
              <w:right w:val="single" w:sz="8" w:space="0" w:color="000000"/>
            </w:tcBorders>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w:t>
            </w:r>
            <w:r>
              <w:rPr>
                <w:rFonts w:eastAsia="Noto Sans" w:cs="Noto Sans" w:ascii="Noto Sans" w:hAnsi="Noto Sans"/>
                <w:bCs/>
                <w:color w:val="434343"/>
                <w:sz w:val="18"/>
                <w:szCs w:val="18"/>
              </w:rPr>
              <w:t>Methods” section</w:t>
            </w:r>
          </w:p>
        </w:tc>
        <w:tc>
          <w:tcPr>
            <w:tcW w:w="993" w:type="dxa"/>
            <w:tcBorders>
              <w:bottom w:val="single" w:sz="8" w:space="0" w:color="000000"/>
              <w:right w:val="single" w:sz="8" w:space="0" w:color="000000"/>
            </w:tcBorders>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bottom w:val="single" w:sz="8" w:space="0" w:color="000000"/>
            </w:tcBorders>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2" w:type="dxa"/>
            <w:tcBorders>
              <w:bottom w:val="single" w:sz="8" w:space="0" w:color="000000"/>
            </w:tcBorders>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3" w:type="dxa"/>
            <w:tcBorders>
              <w:bottom w:val="single" w:sz="8" w:space="0" w:color="000000"/>
            </w:tcBorders>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2"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3"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w:t>
            </w:r>
            <w:r>
              <w:rPr>
                <w:rFonts w:eastAsia="Noto Sans" w:cs="Noto Sans" w:ascii="Noto Sans" w:hAnsi="Noto Sans"/>
                <w:bCs/>
                <w:color w:val="434343"/>
                <w:sz w:val="18"/>
                <w:szCs w:val="18"/>
              </w:rPr>
              <w:t>Methods” section</w:t>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61"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x</w:t>
            </w:r>
          </w:p>
        </w:tc>
      </w:tr>
      <w:tr>
        <w:trPr>
          <w:trHeight w:val="373"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398"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w:t>
            </w:r>
            <w:r>
              <w:rPr>
                <w:rFonts w:eastAsia="Noto Sans" w:cs="Noto Sans" w:ascii="Noto Sans" w:hAnsi="Noto Sans"/>
                <w:bCs/>
                <w:color w:val="434343"/>
                <w:sz w:val="18"/>
                <w:szCs w:val="18"/>
              </w:rPr>
              <w:t>Methods” section, heading “Data and Statistical Analysis”</w:t>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2" w:type="dxa"/>
            <w:tcBorders/>
            <w:shd w:color="auto"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3" w:type="dxa"/>
            <w:tcBorders/>
            <w:shd w:color="auto"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2"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3"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w:t>
            </w:r>
            <w:r>
              <w:rPr>
                <w:rFonts w:eastAsia="Noto Sans" w:cs="Noto Sans" w:ascii="Noto Sans" w:hAnsi="Noto Sans"/>
                <w:bCs/>
                <w:color w:val="434343"/>
                <w:sz w:val="18"/>
                <w:szCs w:val="18"/>
              </w:rPr>
              <w:t>Methods” and “Results” section</w:t>
            </w:r>
            <w:r>
              <w:rPr>
                <w:rFonts w:eastAsia="Noto Sans" w:cs="Noto Sans" w:ascii="Noto Sans" w:hAnsi="Noto Sans"/>
                <w:bCs/>
                <w:color w:val="434343"/>
                <w:sz w:val="18"/>
                <w:szCs w:val="18"/>
              </w:rPr>
              <w:t>s</w:t>
            </w:r>
            <w:r>
              <w:rPr>
                <w:rFonts w:eastAsia="Noto Sans" w:cs="Noto Sans" w:ascii="Noto Sans" w:hAnsi="Noto Sans"/>
                <w:bCs/>
                <w:color w:val="434343"/>
                <w:sz w:val="18"/>
                <w:szCs w:val="18"/>
              </w:rPr>
              <w:t>, legends of Figures 1-5 and Supplementary Figures 1, 4, 6-8</w:t>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38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w:t>
            </w:r>
            <w:r>
              <w:rPr>
                <w:rFonts w:eastAsia="Noto Sans" w:cs="Noto Sans" w:ascii="Noto Sans" w:hAnsi="Noto Sans"/>
                <w:bCs/>
                <w:color w:val="434343"/>
                <w:sz w:val="18"/>
                <w:szCs w:val="18"/>
              </w:rPr>
              <w:t>Methods” and “Results” section</w:t>
            </w:r>
            <w:r>
              <w:rPr>
                <w:rFonts w:eastAsia="Noto Sans" w:cs="Noto Sans" w:ascii="Noto Sans" w:hAnsi="Noto Sans"/>
                <w:bCs/>
                <w:color w:val="434343"/>
                <w:sz w:val="18"/>
                <w:szCs w:val="18"/>
              </w:rPr>
              <w:t>s</w:t>
            </w:r>
            <w:r>
              <w:rPr>
                <w:rFonts w:eastAsia="Noto Sans" w:cs="Noto Sans" w:ascii="Noto Sans" w:hAnsi="Noto Sans"/>
                <w:bCs/>
                <w:color w:val="434343"/>
                <w:sz w:val="18"/>
                <w:szCs w:val="18"/>
              </w:rPr>
              <w:t>, legends of Figures 1-5 and Supplementary Figures 1, 4, 6-8</w:t>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2" w:type="dxa"/>
            <w:tcBorders>
              <w:bottom w:val="single" w:sz="8" w:space="0" w:color="000000"/>
            </w:tcBorders>
            <w:shd w:color="auto"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3" w:type="dxa"/>
            <w:tcBorders>
              <w:bottom w:val="single" w:sz="8" w:space="0" w:color="000000"/>
            </w:tcBorders>
            <w:shd w:color="auto"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2"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3"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9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889"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95" w:type="dxa"/>
            <w:tcBorders>
              <w:bottom w:val="single" w:sz="8" w:space="0" w:color="000000"/>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2" w:type="dxa"/>
            <w:tcBorders>
              <w:bottom w:val="single" w:sz="8" w:space="0" w:color="000000"/>
            </w:tcBorders>
            <w:shd w:color="auto"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3" w:type="dxa"/>
            <w:tcBorders>
              <w:bottom w:val="single" w:sz="8" w:space="0" w:color="000000"/>
            </w:tcBorders>
            <w:shd w:color="auto"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2"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3"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2"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3"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20"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CellMar>
          <w:top w:w="100" w:type="dxa"/>
          <w:left w:w="100" w:type="dxa"/>
          <w:bottom w:w="100" w:type="dxa"/>
          <w:right w:w="100" w:type="dxa"/>
        </w:tblCellMar>
        <w:tblLook w:val="0600" w:noHBand="1" w:noVBand="1" w:firstColumn="0" w:lastRow="0" w:lastColumn="0" w:firstRow="0"/>
      </w:tblPr>
      <w:tblGrid>
        <w:gridCol w:w="5562"/>
        <w:gridCol w:w="3166"/>
        <w:gridCol w:w="977"/>
      </w:tblGrid>
      <w:tr>
        <w:trPr>
          <w:trHeight w:val="425" w:hRule="atLeast"/>
        </w:trPr>
        <w:tc>
          <w:tcPr>
            <w:tcW w:w="5562"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6"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7"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w:t>
            </w:r>
            <w:r>
              <w:rPr>
                <w:rFonts w:eastAsia="Noto Sans" w:cs="Noto Sans" w:ascii="Noto Sans" w:hAnsi="Noto Sans"/>
                <w:bCs/>
                <w:color w:val="434343"/>
                <w:sz w:val="18"/>
                <w:szCs w:val="18"/>
              </w:rPr>
              <w:t>Methods” section, heading “Data and Statistical Analysis”</w:t>
            </w:r>
          </w:p>
        </w:tc>
        <w:tc>
          <w:tcPr>
            <w:tcW w:w="977"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2" w:type="dxa"/>
            <w:tcBorders>
              <w:bottom w:val="single" w:sz="8" w:space="0" w:color="000000"/>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6" w:type="dxa"/>
            <w:tcBorders>
              <w:bottom w:val="single" w:sz="8" w:space="0" w:color="000000"/>
            </w:tcBorders>
            <w:shd w:color="auto"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7" w:type="dxa"/>
            <w:tcBorders>
              <w:bottom w:val="single" w:sz="8" w:space="0" w:color="000000"/>
            </w:tcBorders>
            <w:shd w:color="auto"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2"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6"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7"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w:t>
            </w:r>
            <w:r>
              <w:rPr>
                <w:rFonts w:eastAsia="Noto Sans" w:cs="Noto Sans" w:ascii="Noto Sans" w:hAnsi="Noto Sans"/>
                <w:bCs/>
                <w:color w:val="434343"/>
                <w:sz w:val="18"/>
                <w:szCs w:val="18"/>
              </w:rPr>
              <w:t>Methods” and “Results” sections, legends of Figures 1-5 and Supplementary Figures 1, 4, 6-9</w:t>
            </w:r>
          </w:p>
        </w:tc>
        <w:tc>
          <w:tcPr>
            <w:tcW w:w="977"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2" w:type="dxa"/>
            <w:tcBorders>
              <w:bottom w:val="single" w:sz="8" w:space="0" w:color="000000"/>
            </w:tcBorders>
            <w:shd w:color="auto"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6" w:type="dxa"/>
            <w:tcBorders>
              <w:bottom w:val="single" w:sz="8" w:space="0" w:color="000000"/>
            </w:tcBorders>
            <w:shd w:color="auto"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7" w:type="dxa"/>
            <w:tcBorders>
              <w:bottom w:val="single" w:sz="8" w:space="0" w:color="000000"/>
            </w:tcBorders>
            <w:shd w:color="auto"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2"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6"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7"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w:t>
            </w:r>
            <w:r>
              <w:rPr>
                <w:rFonts w:eastAsia="Noto Sans" w:cs="Noto Sans" w:ascii="Noto Sans" w:hAnsi="Noto Sans"/>
                <w:bCs/>
                <w:color w:val="434343"/>
                <w:sz w:val="18"/>
                <w:szCs w:val="18"/>
              </w:rPr>
              <w:t>Data Availability” section</w:t>
            </w:r>
          </w:p>
        </w:tc>
        <w:tc>
          <w:tcPr>
            <w:tcW w:w="977"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w:t>
            </w:r>
            <w:r>
              <w:rPr>
                <w:rFonts w:eastAsia="Noto Sans" w:cs="Noto Sans" w:ascii="Noto Sans" w:hAnsi="Noto Sans"/>
                <w:bCs/>
                <w:color w:val="434343"/>
                <w:sz w:val="18"/>
                <w:szCs w:val="18"/>
              </w:rPr>
              <w:t>Data Availability” section</w:t>
            </w:r>
          </w:p>
        </w:tc>
        <w:tc>
          <w:tcPr>
            <w:tcW w:w="977"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06"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7"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r>
        <w:trPr>
          <w:trHeight w:val="425" w:hRule="atLeast"/>
        </w:trPr>
        <w:tc>
          <w:tcPr>
            <w:tcW w:w="5562" w:type="dxa"/>
            <w:tcBorders>
              <w:bottom w:val="single" w:sz="8" w:space="0" w:color="000000"/>
            </w:tcBorders>
            <w:shd w:color="auto" w:fill="auto" w:val="clear"/>
          </w:tcPr>
          <w:p>
            <w:pPr>
              <w:pStyle w:val="Normal"/>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6" w:type="dxa"/>
            <w:tcBorders>
              <w:bottom w:val="single" w:sz="8" w:space="0" w:color="000000"/>
            </w:tcBorders>
            <w:shd w:color="auto" w:fill="auto" w:val="clear"/>
          </w:tcPr>
          <w:p>
            <w:pPr>
              <w:pStyle w:val="Normal"/>
              <w:spacing w:lineRule="auto" w:line="218"/>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7" w:type="dxa"/>
            <w:tcBorders>
              <w:bottom w:val="single" w:sz="8" w:space="0" w:color="000000"/>
            </w:tcBorders>
            <w:shd w:color="auto" w:fill="auto" w:val="clear"/>
          </w:tcPr>
          <w:p>
            <w:pPr>
              <w:pStyle w:val="Normal"/>
              <w:spacing w:lineRule="auto" w:line="218"/>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2" w:type="dxa"/>
            <w:tcBorders>
              <w:left w:val="single" w:sz="8" w:space="0" w:color="000000"/>
              <w:bottom w:val="single" w:sz="8" w:space="0" w:color="000000"/>
              <w:right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6"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7" w:type="dxa"/>
            <w:tcBorders>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w:t>
            </w:r>
            <w:r>
              <w:rPr>
                <w:rFonts w:eastAsia="Noto Sans" w:cs="Noto Sans" w:ascii="Noto Sans" w:hAnsi="Noto Sans"/>
                <w:bCs/>
                <w:color w:val="434343"/>
                <w:sz w:val="18"/>
                <w:szCs w:val="18"/>
              </w:rPr>
              <w:t>Data Availability” section</w:t>
            </w:r>
          </w:p>
        </w:tc>
        <w:tc>
          <w:tcPr>
            <w:tcW w:w="977"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w:t>
            </w:r>
            <w:r>
              <w:rPr>
                <w:rFonts w:eastAsia="Noto Sans" w:cs="Noto Sans" w:ascii="Noto Sans" w:hAnsi="Noto Sans"/>
                <w:bCs/>
                <w:color w:val="434343"/>
                <w:sz w:val="18"/>
                <w:szCs w:val="18"/>
              </w:rPr>
              <w:t>Data Availability” section</w:t>
            </w:r>
          </w:p>
        </w:tc>
        <w:tc>
          <w:tcPr>
            <w:tcW w:w="977"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720" w:hRule="atLeast"/>
        </w:trPr>
        <w:tc>
          <w:tcPr>
            <w:tcW w:w="5562"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6"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7"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0"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0"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0" w:before="80" w:after="0"/>
        <w:rPr>
          <w:rFonts w:ascii="Noto Sans" w:hAnsi="Noto Sans" w:eastAsia="Noto Sans" w:cs="Noto Sans"/>
          <w:color w:val="434343"/>
          <w:sz w:val="18"/>
          <w:szCs w:val="18"/>
        </w:rPr>
      </w:pPr>
      <w:r>
        <w:rPr>
          <w:rFonts w:eastAsia="Noto Sans" w:cs="Noto Sans" w:ascii="Noto Sans" w:hAnsi="Noto Sans"/>
          <w:color w:val="434343"/>
          <w:sz w:val="18"/>
          <w:szCs w:val="18"/>
        </w:rPr>
        <w:t>The MDAR framework recommends adoption of discipline-specific guidelines, established and endorsed through community initiatives.</w:t>
      </w:r>
    </w:p>
    <w:p>
      <w:pPr>
        <w:pStyle w:val="Normal"/>
        <w:spacing w:lineRule="auto" w:line="220"/>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CellMar>
          <w:top w:w="100" w:type="dxa"/>
          <w:left w:w="100" w:type="dxa"/>
          <w:bottom w:w="100" w:type="dxa"/>
          <w:right w:w="100" w:type="dxa"/>
        </w:tblCellMar>
        <w:tblLook w:val="0600" w:noHBand="1" w:noVBand="1" w:firstColumn="0" w:lastRow="0" w:lastColumn="0" w:firstRow="0"/>
      </w:tblPr>
      <w:tblGrid>
        <w:gridCol w:w="5487"/>
        <w:gridCol w:w="3330"/>
        <w:gridCol w:w="858"/>
      </w:tblGrid>
      <w:tr>
        <w:trPr>
          <w:trHeight w:val="500" w:hRule="atLeast"/>
        </w:trPr>
        <w:tc>
          <w:tcPr>
            <w:tcW w:w="5487"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58" w:type="dxa"/>
            <w:tcBorders>
              <w:top w:val="single" w:sz="8" w:space="0" w:color="000000"/>
              <w:bottom w:val="single" w:sz="8" w:space="0" w:color="000000"/>
              <w:right w:val="single" w:sz="8" w:space="0" w:color="000000"/>
            </w:tcBorders>
            <w:shd w:color="auto" w:fill="F2F2F2" w:val="clear"/>
          </w:tcPr>
          <w:p>
            <w:pPr>
              <w:pStyle w:val="Normal"/>
              <w:spacing w:lineRule="auto" w:line="218"/>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7" w:type="dxa"/>
            <w:tcBorders>
              <w:left w:val="single" w:sz="8" w:space="0" w:color="000000"/>
              <w:bottom w:val="single" w:sz="8" w:space="0" w:color="000000"/>
              <w:right w:val="single" w:sz="8" w:space="0" w:color="000000"/>
            </w:tcBorders>
            <w:shd w:color="auto"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8" w:type="dxa"/>
            <w:tcBorders>
              <w:bottom w:val="single" w:sz="8" w:space="0" w:color="000000"/>
              <w:right w:val="single" w:sz="8" w:space="0" w:color="000000"/>
            </w:tcBorders>
            <w:shd w:color="auto" w:fill="auto" w:val="clear"/>
          </w:tcPr>
          <w:p>
            <w:pPr>
              <w:pStyle w:val="Normal"/>
              <w:spacing w:lineRule="auto" w:line="218"/>
              <w:rPr>
                <w:rFonts w:ascii="Noto Sans" w:hAnsi="Noto Sans" w:eastAsia="Noto Sans" w:cs="Noto Sans"/>
                <w:bCs/>
                <w:color w:val="434343"/>
                <w:sz w:val="18"/>
                <w:szCs w:val="18"/>
              </w:rPr>
            </w:pPr>
            <w:r>
              <w:rPr>
                <w:rFonts w:eastAsia="Noto Sans" w:cs="Noto Sans" w:ascii="Noto Sans" w:hAnsi="Noto Sans"/>
                <w:bCs/>
                <w:color w:val="434343"/>
                <w:sz w:val="18"/>
                <w:szCs w:val="18"/>
              </w:rPr>
              <w:t>x</w:t>
            </w:r>
          </w:p>
        </w:tc>
      </w:tr>
    </w:tbl>
    <w:p>
      <w:pPr>
        <w:pStyle w:val="Normal"/>
        <w:spacing w:lineRule="auto" w:line="220"/>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4" w:name="_cm0qssfkw66b"/>
      <w:bookmarkEnd w:id="4"/>
      <w:r>
        <w:rPr/>
        <mc:AlternateContent>
          <mc:Choice Requires="wps">
            <w:drawing>
              <wp:inline distT="0" distB="0" distL="0" distR="0">
                <wp:extent cx="5945505" cy="2540"/>
                <wp:effectExtent l="0" t="0" r="0" b="0"/>
                <wp:docPr id="1" name="Shape1"/>
                <a:graphic xmlns:a="http://schemas.openxmlformats.org/drawingml/2006/main">
                  <a:graphicData uri="http://schemas.microsoft.com/office/word/2010/wordprocessingShape">
                    <wps:wsp>
                      <wps:cNvSpPr/>
                      <wps:spPr>
                        <a:xfrm>
                          <a:off x="0" y="0"/>
                          <a:ext cx="5945040" cy="1800"/>
                        </a:xfrm>
                        <a:prstGeom prst="rect">
                          <a:avLst/>
                        </a:prstGeom>
                        <a:solidFill>
                          <a:srgbClr val="a0a0a0"/>
                        </a:solidFill>
                        <a:ln>
                          <a:noFill/>
                        </a:ln>
                      </wps:spPr>
                      <wps:style>
                        <a:lnRef idx="0"/>
                        <a:fillRef idx="0"/>
                        <a:effectRef idx="0"/>
                        <a:fontRef idx="minor"/>
                      </wps:style>
                      <wps:bodyPr/>
                    </wps:wsp>
                  </a:graphicData>
                </a:graphic>
                <wp14:sizeRelH relativeFrom="page">
                  <wp14:pctWidth>100000</wp14:pctWidth>
                </wp14:sizeRelH>
              </wp:inline>
            </w:drawing>
          </mc:Choice>
          <mc:Fallback>
            <w:pict>
              <v:rect id="shape_0" ID="Shape1" fillcolor="#a0a0a0" stroked="f" style="position:absolute;margin-left:0pt;margin-top:-0.2pt;width:468.05pt;height:0.1pt;mso-position-vertical:top">
                <w10:wrap type="none"/>
                <v:fill o:detectmouseclick="t" type="solid" color2="#5f5f5f"/>
                <v:stroke color="#3465a4" joinstyle="round" endcap="flat"/>
              </v:rect>
            </w:pict>
          </mc:Fallback>
        </mc:AlternateContent>
      </w:r>
    </w:p>
    <w:p>
      <w:pPr>
        <w:pStyle w:val="Normal"/>
        <w:rPr/>
      </w:pPr>
      <w:r>
        <w:rPr/>
      </w:r>
    </w:p>
    <w:p>
      <w:pPr>
        <w:pStyle w:val="Normal"/>
        <w:rPr>
          <w:color w:val="FF0000"/>
        </w:rPr>
      </w:pPr>
      <w:r>
        <w:rPr/>
        <w:t xml:space="preserve">* We provide the following guidance regarding transparent reporting and statistics; we also refer authors to </w:t>
      </w:r>
      <w:hyperlink r:id="rId9">
        <w:r>
          <w:rPr>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0"/>
      <w:headerReference w:type="first" r:id="rId11"/>
      <w:footerReference w:type="default" r:id="rId12"/>
      <w:type w:val="nextPage"/>
      <w:pgSz w:w="11906" w:h="16838"/>
      <w:pgMar w:left="1040" w:right="1220" w:header="720" w:top="1360" w:footer="720" w:bottom="777" w:gutter="0"/>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Liberation Sans">
    <w:altName w:val="Arial"/>
    <w:charset w:val="01"/>
    <w:family w:val="swiss"/>
    <w:pitch w:val="default"/>
  </w:font>
  <w:font w:name="Arial">
    <w:charset w:val="01"/>
    <w:family w:val="swiss"/>
    <w:pitch w:val="default"/>
  </w:font>
  <w:font w:name="Georgia">
    <w:charset w:val="01"/>
    <w:family w:val="swiss"/>
    <w:pitch w:val="default"/>
  </w:font>
  <w:font w:name="Noto Sans">
    <w:charset w:val="01"/>
    <w:family w:val="swiss"/>
    <w:pitch w:val="default"/>
  </w:font>
  <w:font w:name="Wingdings">
    <w:charset w:val="02"/>
    <w:family w:val="auto"/>
    <w:pitch w:val="default"/>
  </w:font>
  <w:font w:name="Wingdings 2">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jc w:val="center"/>
      <w:rPr>
        <w:color w:val="000000"/>
      </w:rPr>
    </w:pPr>
    <w:r>
      <w:rPr>
        <w:color w:val="000000"/>
      </w:rPr>
      <w:fldChar w:fldCharType="begin"/>
    </w:r>
    <w:r>
      <w:rPr>
        <w:color w:val="000000"/>
      </w:rPr>
      <w:instrText> PAGE </w:instrText>
    </w:r>
    <w:r>
      <w:rPr>
        <w:color w:val="000000"/>
      </w:rPr>
      <w:fldChar w:fldCharType="separate"/>
    </w:r>
    <w:r>
      <w:rPr>
        <w:color w:val="000000"/>
      </w:rPr>
      <w:t>5</w:t>
    </w:r>
    <w:r>
      <w:rPr>
        <w:color w:val="000000"/>
      </w:rPr>
      <w:fldChar w:fldCharType="end"/>
    </w:r>
  </w:p>
  <w:p>
    <w:pPr>
      <w:pStyle w:val="Normal"/>
      <w:tabs>
        <w:tab w:val="clear" w:pos="720"/>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2">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95" t="0" r="0" b="0"/>
                  <a:stretch>
                    <a:fillRect/>
                  </a:stretch>
                </pic:blipFill>
                <pic:spPr bwMode="auto">
                  <a:xfrm>
                    <a:off x="0" y="0"/>
                    <a:ext cx="3390900" cy="1038225"/>
                  </a:xfrm>
                  <a:prstGeom prst="rect">
                    <a:avLst/>
                  </a:prstGeom>
                </pic:spPr>
              </pic:pic>
            </a:graphicData>
          </a:graphic>
        </wp:anchor>
      </w:drawing>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n-US"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2"/>
      <w:szCs w:val="28"/>
    </w:rPr>
  </w:style>
  <w:style w:type="paragraph" w:styleId="TextBody">
    <w:name w:val="Body Text"/>
    <w:basedOn w:val="Normal"/>
    <w:pPr>
      <w:spacing w:lineRule="auto" w:line="276" w:before="0" w:after="140"/>
    </w:pPr>
    <w:rPr/>
  </w:style>
  <w:style w:type="paragraph" w:styleId="List">
    <w:name w:val="List"/>
    <w:basedOn w:val="TextBody"/>
    <w:pPr/>
    <w:rPr>
      <w:rFonts w:ascii="Arial" w:hAnsi="Arial" w:cs="Lohit Devanagari"/>
      <w:sz w:val="24"/>
    </w:rPr>
  </w:style>
  <w:style w:type="paragraph" w:styleId="Caption">
    <w:name w:val="Caption"/>
    <w:basedOn w:val="Normal"/>
    <w:qFormat/>
    <w:pPr>
      <w:suppressLineNumbers/>
      <w:spacing w:before="120" w:after="120"/>
    </w:pPr>
    <w:rPr>
      <w:rFonts w:ascii="Arial" w:hAnsi="Arial" w:cs="Lohit Devanagari"/>
      <w:i/>
      <w:iCs/>
      <w:sz w:val="24"/>
      <w:szCs w:val="24"/>
    </w:rPr>
  </w:style>
  <w:style w:type="paragraph" w:styleId="Index">
    <w:name w:val="Index"/>
    <w:basedOn w:val="Normal"/>
    <w:qFormat/>
    <w:pPr>
      <w:suppressLineNumbers/>
    </w:pPr>
    <w:rPr>
      <w:rFonts w:ascii="Arial" w:hAnsi="Arial" w:cs="Lohit Devanagari"/>
      <w:sz w:val="24"/>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link w:val="HeaderChar"/>
    <w:uiPriority w:val="99"/>
    <w:unhideWhenUsed/>
    <w:rsid w:val="004e2c31"/>
    <w:pPr>
      <w:tabs>
        <w:tab w:val="clear" w:pos="720"/>
        <w:tab w:val="center" w:pos="4513" w:leader="none"/>
        <w:tab w:val="right" w:pos="9026" w:leader="none"/>
      </w:tabs>
    </w:pPr>
    <w:rPr/>
  </w:style>
  <w:style w:type="paragraph" w:styleId="Footer">
    <w:name w:val="Footer"/>
    <w:basedOn w:val="Normal"/>
    <w:link w:val="FooterChar"/>
    <w:uiPriority w:val="99"/>
    <w:unhideWhenUsed/>
    <w:rsid w:val="004e2c31"/>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https://doi.org/10.1038/d41586-020-01751-5" TargetMode="External"/><Relationship Id="rId6" Type="http://schemas.openxmlformats.org/officeDocument/2006/relationships/hyperlink" Target="https://reviewer.elifesciences.org/author-guide/journal-policies" TargetMode="External"/><Relationship Id="rId7" Type="http://schemas.openxmlformats.org/officeDocument/2006/relationships/hyperlink" Target="https://scicrunch.org/resources" TargetMode="External"/><Relationship Id="rId8" Type="http://schemas.openxmlformats.org/officeDocument/2006/relationships/hyperlink" Target="https://scicrunch.org/resources" TargetMode="External"/><Relationship Id="rId9" Type="http://schemas.openxmlformats.org/officeDocument/2006/relationships/hyperlink" Target="https://doi.org/10.7554/eLife.48175"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LibreOffice/6.4.7.2$Linux_X86_64 LibreOffice_project/40$Build-2</Application>
  <Pages>5</Pages>
  <Words>1330</Words>
  <Characters>8138</Characters>
  <CharactersWithSpaces>9339</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en-US</dc:language>
  <cp:lastModifiedBy/>
  <dcterms:modified xsi:type="dcterms:W3CDTF">2022-04-22T11:58:00Z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