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07294" w14:textId="0D114F82" w:rsidR="00100902" w:rsidRPr="00252406" w:rsidRDefault="00100902" w:rsidP="00100902">
      <w:pPr>
        <w:pStyle w:val="Caption"/>
      </w:pPr>
      <w:bookmarkStart w:id="0" w:name="_Ref102467083"/>
      <w:r>
        <w:t>Supplementary file 2</w:t>
      </w:r>
      <w:r>
        <w:t xml:space="preserve">. Anti-Spike antibody level values and characteristics for individuals from </w:t>
      </w:r>
      <w:proofErr w:type="spellStart"/>
      <w:r>
        <w:t>TwinsUK</w:t>
      </w:r>
      <w:proofErr w:type="spellEnd"/>
      <w:r>
        <w:t xml:space="preserve"> sampled in Q2 and Q4 antibody collections. Individuals are stratified by vaccination status at time of sampling. Data shown for individuals sampled at least 4 (2) weeks after first (second or third) vaccination. The antibody level assay range is 0.4 to 250 BAU/mL for Q2 results and 0.4 to 25,000 BAU/mL for Q4 results, with a positive threshold of 0.8 BAU/</w:t>
      </w:r>
      <w:proofErr w:type="spellStart"/>
      <w:r>
        <w:t>mL.</w:t>
      </w:r>
      <w:bookmarkEnd w:id="0"/>
      <w:proofErr w:type="spellEnd"/>
      <w:r>
        <w:t xml:space="preserve"> Categories with fewer than 5 individuals are suppressed.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0"/>
        <w:gridCol w:w="958"/>
        <w:gridCol w:w="1185"/>
        <w:gridCol w:w="958"/>
        <w:gridCol w:w="958"/>
        <w:gridCol w:w="958"/>
        <w:gridCol w:w="1049"/>
        <w:gridCol w:w="1185"/>
        <w:gridCol w:w="958"/>
        <w:gridCol w:w="958"/>
        <w:gridCol w:w="1003"/>
        <w:gridCol w:w="958"/>
      </w:tblGrid>
      <w:tr w:rsidR="00100902" w:rsidRPr="00DF0B85" w14:paraId="006A56D3" w14:textId="77777777" w:rsidTr="00D96DE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7568803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E86C9"/>
            <w:noWrap/>
            <w:vAlign w:val="bottom"/>
            <w:hideMark/>
          </w:tcPr>
          <w:p w14:paraId="450B9FE9" w14:textId="77777777" w:rsidR="00100902" w:rsidRPr="00DF0B85" w:rsidRDefault="00100902" w:rsidP="00D96DEF">
            <w:pPr>
              <w:snapToGrid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</w:pPr>
            <w:proofErr w:type="spellStart"/>
            <w:r w:rsidRPr="00DF0B85"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  <w:t>TwinsUK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8FB1"/>
            <w:noWrap/>
            <w:vAlign w:val="bottom"/>
            <w:hideMark/>
          </w:tcPr>
          <w:p w14:paraId="6A029711" w14:textId="77777777" w:rsidR="00100902" w:rsidRPr="00DF0B85" w:rsidRDefault="00100902" w:rsidP="00D96DEF">
            <w:pPr>
              <w:snapToGrid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  <w:t>ALSPAC</w:t>
            </w:r>
          </w:p>
        </w:tc>
      </w:tr>
      <w:tr w:rsidR="00100902" w:rsidRPr="00DF0B85" w14:paraId="67D73D8D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0A91827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  <w:t>Testing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0B47EB3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  <w:t>Q2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6116D72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  <w:t>Q4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6E6E6"/>
            <w:noWrap/>
            <w:vAlign w:val="bottom"/>
            <w:hideMark/>
          </w:tcPr>
          <w:p w14:paraId="444A0B7D" w14:textId="77777777" w:rsidR="00100902" w:rsidRPr="00DF0B85" w:rsidRDefault="00100902" w:rsidP="00D96DEF">
            <w:pPr>
              <w:snapToGrid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  <w:t>Q2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6E6E6"/>
            <w:noWrap/>
            <w:vAlign w:val="bottom"/>
            <w:hideMark/>
          </w:tcPr>
          <w:p w14:paraId="67A7A1A9" w14:textId="77777777" w:rsidR="00100902" w:rsidRPr="00DF0B85" w:rsidRDefault="00100902" w:rsidP="00D96DEF">
            <w:pPr>
              <w:snapToGrid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  <w:t>Q4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6E6E6"/>
            <w:noWrap/>
            <w:vAlign w:val="bottom"/>
            <w:hideMark/>
          </w:tcPr>
          <w:p w14:paraId="24F1B5C6" w14:textId="77777777" w:rsidR="00100902" w:rsidRPr="00DF0B85" w:rsidRDefault="00100902" w:rsidP="00D96DEF">
            <w:pPr>
              <w:snapToGrid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  <w:t>Q2</w:t>
            </w:r>
          </w:p>
        </w:tc>
      </w:tr>
      <w:tr w:rsidR="00100902" w:rsidRPr="00DF0B85" w14:paraId="47EBB837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4761352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  <w:t>Vaccination status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7740ADF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  <w:t>All results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075FFC8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  <w:t>All results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0866DE3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  <w:t>Not vaccinated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6D67DFC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  <w:t>Single-vaccinated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4500186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  <w:t>Double-vaccinated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2FB4014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  <w:t>Double-vaccinated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27A2CC6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  <w:t>Triple-vaccinated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2B89493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  <w:t>All results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4CC99D3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  <w:t>Not vaccinated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6DA20F1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  <w:t>Single-vaccinated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  <w:hideMark/>
          </w:tcPr>
          <w:p w14:paraId="7D29CEB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pacing w:val="0"/>
                <w:sz w:val="18"/>
                <w:szCs w:val="18"/>
                <w:lang w:eastAsia="en-GB"/>
              </w:rPr>
              <w:t>Double-vaccinated</w:t>
            </w:r>
          </w:p>
        </w:tc>
      </w:tr>
      <w:tr w:rsidR="00100902" w:rsidRPr="00DF0B85" w14:paraId="797B69F7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F45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9533" w14:textId="77777777" w:rsidR="00100902" w:rsidRPr="00DF0B85" w:rsidRDefault="00100902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B433" w14:textId="77777777" w:rsidR="00100902" w:rsidRPr="00DF0B85" w:rsidRDefault="00100902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C6DF" w14:textId="77777777" w:rsidR="00100902" w:rsidRPr="00DF0B85" w:rsidRDefault="00100902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1149" w14:textId="77777777" w:rsidR="00100902" w:rsidRPr="00DF0B85" w:rsidRDefault="00100902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E0CF" w14:textId="77777777" w:rsidR="00100902" w:rsidRPr="00DF0B85" w:rsidRDefault="00100902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1D06" w14:textId="77777777" w:rsidR="00100902" w:rsidRPr="00DF0B85" w:rsidRDefault="00100902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2F05" w14:textId="77777777" w:rsidR="00100902" w:rsidRPr="00DF0B85" w:rsidRDefault="00100902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A35E" w14:textId="77777777" w:rsidR="00100902" w:rsidRPr="00DF0B85" w:rsidRDefault="00100902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0ABC" w14:textId="77777777" w:rsidR="00100902" w:rsidRPr="00DF0B85" w:rsidRDefault="00100902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DA57" w14:textId="77777777" w:rsidR="00100902" w:rsidRPr="00DF0B85" w:rsidRDefault="00100902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01D1" w14:textId="77777777" w:rsidR="00100902" w:rsidRPr="00DF0B85" w:rsidRDefault="00100902" w:rsidP="00D96DEF">
            <w:pPr>
              <w:snapToGrid/>
              <w:spacing w:after="0" w:line="240" w:lineRule="auto"/>
              <w:jc w:val="right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284</w:t>
            </w:r>
          </w:p>
        </w:tc>
      </w:tr>
      <w:tr w:rsidR="00100902" w:rsidRPr="00DF0B85" w14:paraId="4D948259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2E0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Anti-Spike </w:t>
            </w: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antibody level value (BAU/mL): Median (IQR)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B8B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80.78 (18.55, 250.0)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BC6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10403.0 (3510.0, 20224.0)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0A7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0.4 (0.4, 0.4)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462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53.3 (22.72, 121.2)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6A5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250.0 (250.0, 250.0)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3E3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1317.0 (337.0, 5202.5)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5BE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13694.0 (8153.0, 23543.0)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7E8B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58.93 (21.25, 247.5)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867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10.53 (0.4, 48.69)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799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43.42 (17.98, 106.65)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7BF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250.0 (250.0, 250.0)</w:t>
            </w:r>
          </w:p>
        </w:tc>
      </w:tr>
      <w:tr w:rsidR="00100902" w:rsidRPr="00DF0B85" w14:paraId="72C9F94C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7A3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Anti-Spike </w:t>
            </w: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antibody level value (BAU/mL): 5th &amp; 10th percentile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0FFB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0.4, 0.4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EA0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134.6, 401.4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B9D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0.4, 0.4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B99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4.58, 9.59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7DB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152.83, 250.0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C79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73.7, 112.0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048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3446.0, 5036.0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C2D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3.19, 7.28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39E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0.4, 0.4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023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3.2, 6.51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299B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155.61, 250.0</w:t>
            </w:r>
          </w:p>
        </w:tc>
      </w:tr>
      <w:tr w:rsidR="00100902" w:rsidRPr="00DF0B85" w14:paraId="30B09740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C3A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Anti-Spike </w:t>
            </w: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antibody status: Positive,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D9C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3372/3912 (86.2%)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92E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3423/3445 (99.4%)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085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79/330 (23.9%)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12B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1357/1375 (98.7%)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713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745/748 (99.6%)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35F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690/691 (99.9%)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7A5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1936/1937 (99.9%)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B43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1745/1779 (98.1%)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A72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23/36 (63.9%)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27F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1440/1459 (98.7%)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E90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282/284 (99.3%)</w:t>
            </w:r>
          </w:p>
        </w:tc>
      </w:tr>
      <w:tr w:rsidR="00100902" w:rsidRPr="00DF0B85" w14:paraId="07649FD0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51F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Age (years): Median (IQR)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15F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63.0 (49.0, 72.0)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896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63.0 (51.0, 72.0)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2B5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38.0 (31.0, 44.0)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897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63.0 (56.0, 69.0)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9B2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70.0 (56.0, 77.0)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FE9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49.0 (38.0, 59.0)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7F9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69.0 (60.0, 74.0)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74D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60.0 (57.0, 62.0)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343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57.5 (52.75, 62.25)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137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60.0 (57.0, 63.0)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A9F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59.0 (56.0, 61.0)</w:t>
            </w:r>
          </w:p>
        </w:tc>
      </w:tr>
      <w:tr w:rsidR="00100902" w:rsidRPr="00DF0B85" w14:paraId="31F36C81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B1E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Sex: Male,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8FE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518/4255 (12.2%)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D98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447/3574 (12.5%)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A0C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48/330 (14.5%)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F91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178/1375 (12.9%)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B86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88/748 (11.8%)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1BF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103/691 (14.9%)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C1E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225/1937 (11.6%)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69D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451/1779 (25.4%)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B85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8/36 (22.2%)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F43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397/1459 (27.2%)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B40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46/284 (16.2%)</w:t>
            </w:r>
          </w:p>
        </w:tc>
      </w:tr>
      <w:tr w:rsidR="00100902" w:rsidRPr="00DF0B85" w14:paraId="051604B8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6E9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Ethnicity: Other than White,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C65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118/4219 (2.8%)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BA8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96/3536 (2.7%)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3BA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16/329 (4.9%)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96D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29/1368 (2.1%)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84C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19/739 (2.6%)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BBDB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26/686 (3.8%)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9A2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39/1914 (2.0%)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6D1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26/1779 (1.5%)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D74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&lt;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FEF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20/1459 (1.4%)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DFD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5/284 (1.8%)</w:t>
            </w:r>
          </w:p>
        </w:tc>
      </w:tr>
      <w:tr w:rsidR="00100902" w:rsidRPr="00DF0B85" w14:paraId="0CA53001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BBB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Local area deprivation, IMD decile: Median (IQR)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4B0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7.0 (5.0, 9.0)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3D2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7.0 (5.0, 9.0)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E30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7.0 (5.0, 9.0)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65A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8.0 (5.0, 9.0)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A22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7.0 (5.0, 9.0)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1D3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7.0 (5.0, 9.0)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99A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8.0 (5.0, 9.0)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B302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32BB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2279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5803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</w:p>
        </w:tc>
      </w:tr>
      <w:tr w:rsidR="00100902" w:rsidRPr="00DF0B85" w14:paraId="71AA2145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3E4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Local area deprivation, IMD: Most deprived 40% (decile 1-4),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E2B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766/4242 (18.1%)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8E8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640/3564 (18.0%)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659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81/330 (24.5%)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896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214/1371 (15.6%)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F57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124/748 (16.6%)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567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151/690 (21.9%)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8EE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298/1933 (15.4%)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25FC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384/1213 (31.7%)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1097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9/24 (37.5%)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41E1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305/971 (31.4%)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2999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70/218 (32.1%)</w:t>
            </w:r>
          </w:p>
        </w:tc>
      </w:tr>
      <w:tr w:rsidR="00100902" w:rsidRPr="00DF0B85" w14:paraId="3ED12700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4CD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Highest educational attainment</w:t>
            </w: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: NVQ level 3 or lower,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198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1472/3493 (42.1%)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B4D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1253/3025 (41.4%)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C4D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49/224 (21.9%)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949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497/1206 (41.2%)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A50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275/652 (42.2%)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6D9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171/525 (32.6%)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D2E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763/1732 (44.1%)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F53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1176/1694 (69.4%)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A24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30/36 (83.3%)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8E8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936/1388 (67.4%)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B4B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210/270 (77.8%)</w:t>
            </w:r>
          </w:p>
        </w:tc>
      </w:tr>
      <w:tr w:rsidR="00100902" w:rsidRPr="00DF0B85" w14:paraId="1BBD97B7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064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Zygosity: Monozygotic,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1B5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2722/4253 (64.0%)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F0A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2280/3573 (63.8%)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1F8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248/328 (75.6%)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292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883/1375 (64.2%)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9B7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459/748 (61.4%)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4B8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490/689 (71.1%)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047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1170/1937 (60.4%)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05F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339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DCE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A0E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</w:tr>
      <w:tr w:rsidR="00100902" w:rsidRPr="00DF0B85" w14:paraId="705E61F6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057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Weeks since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first vaccination</w:t>
            </w: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: Median (IQR)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C89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10.0 (6.0, 12.0)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60E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42.0 (38.0, 45.0)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66C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-5.0 (-8.0, -3.0)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8B6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8.0 (6.0, 9.0)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CCB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AFCB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EFB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FC3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28D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752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6.0 (5.0, 8.0)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702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</w:tr>
      <w:tr w:rsidR="00100902" w:rsidRPr="00DF0B85" w14:paraId="1AD9CCDE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FE9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First vaccination</w:t>
            </w: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 received: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AZD1222</w:t>
            </w: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F51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2124/3591 (59.1%)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AA1B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1980/3378 (58.6%)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A87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70/275 (25.5%)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FB8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1103/1374 (80.3%)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490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A41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385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D18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F30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E66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1235/1459 (84.6%)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FAF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</w:tr>
      <w:tr w:rsidR="00100902" w:rsidRPr="00DF0B85" w14:paraId="5478B868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332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First vaccination</w:t>
            </w: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 received: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BNT162b2</w:t>
            </w: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EBC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1410/3591 (39.3%)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38B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1336/3378 (39.6%)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542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170/275 (61.8%)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E79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266/1374 (19.4%)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49E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BF5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5A3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0CDB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D51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DC8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224/1459 (15.4%)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1D6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</w:tr>
      <w:tr w:rsidR="00100902" w:rsidRPr="00DF0B85" w14:paraId="22C8B786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4C4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First vaccination</w:t>
            </w: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 received: Other,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A86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57/3591 (1.6%)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D0E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62/3378 (1.8%)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464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35/275 (12.7%)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E96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5/1374 (0.4%)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3B6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C05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FFA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9EE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3AC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266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3C0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</w:tr>
      <w:tr w:rsidR="00100902" w:rsidRPr="00DF0B85" w14:paraId="7E2E7CB2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5C4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Weeks since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second vaccination</w:t>
            </w: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: Median (IQR)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1BE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-1.0 (-4.0, 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60A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32.0 (28.0, 34.0)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BF4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0EF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0EB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3.0 (2.0, 5.0)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8AF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25.0 (20.0, 28.0)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30C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33.0 (31.0, 35.0)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E0B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C2A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1EA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6C5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4.0 (2.0, 6.0)</w:t>
            </w:r>
          </w:p>
        </w:tc>
      </w:tr>
      <w:tr w:rsidR="00100902" w:rsidRPr="00DF0B85" w14:paraId="29DE655A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C2FB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Second vaccination</w:t>
            </w: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 received: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AZD1222</w:t>
            </w: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FD0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1858/3266 (56.9%)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302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1888/3275 (57.6%)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671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C12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19A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212/748 (28.3%)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509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411/691 (59.5%)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8A8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1065/1934 (55.1%)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E0AB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E8B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CA8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C97B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50/284 (17.6%)</w:t>
            </w:r>
          </w:p>
        </w:tc>
      </w:tr>
      <w:tr w:rsidR="00100902" w:rsidRPr="00DF0B85" w14:paraId="6B31ADFF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F63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Second vaccination</w:t>
            </w: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 received: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BNT162b2</w:t>
            </w: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E25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1357/3266 (41.5%)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0FB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1330/3275 (40.6%)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0A6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3E5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2B7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532/748 (71.1%)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B0F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241/691 (34.9%)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096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858/1934 (44.4%)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BE4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D8C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1CA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44B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234/284 (82.4%)</w:t>
            </w:r>
          </w:p>
        </w:tc>
      </w:tr>
      <w:tr w:rsidR="00100902" w:rsidRPr="00DF0B85" w14:paraId="4F8636A5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F75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lastRenderedPageBreak/>
              <w:t>Second vaccination</w:t>
            </w: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 received: Other,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871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51/3266 (1.6%)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758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57/3275 (1.7%)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F07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EE5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C6B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&lt;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F94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39/691 (5.6%)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0B7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11/1934 (0.6%)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9DD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F64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C0B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CCF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</w:tr>
      <w:tr w:rsidR="00100902" w:rsidRPr="00DF0B85" w14:paraId="3BB33847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282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Weeks since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third vaccination</w:t>
            </w: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: Median (IQR)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37F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-28.0 (-30.0, -26.0)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93E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5.0 (3.0, 7.0)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676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782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C15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126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0E4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5.0 (4.0, 8.0)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50A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B33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26B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026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</w:tr>
      <w:tr w:rsidR="00100902" w:rsidRPr="00DF0B85" w14:paraId="2CB57697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CAF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Third vaccination</w:t>
            </w: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 received: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mRNA-1273</w:t>
            </w: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4BE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293/2149 (13.6%)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269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337/2400 (14.0%)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7AF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6F8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974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EF2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C69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203/1903 (10.7%)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580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694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516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FEB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</w:tr>
      <w:tr w:rsidR="00100902" w:rsidRPr="00DF0B85" w14:paraId="5E610A4B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5CF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Third vaccination</w:t>
            </w: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 received: 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BNT162b2</w:t>
            </w: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4EF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1828/2149 (85.1%)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2E6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2026/2400 (84.4%)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E2A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4A0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AF7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1A6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E2A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1677/1903 (88.1%)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E6D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DAB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733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162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</w:tr>
      <w:tr w:rsidR="00100902" w:rsidRPr="00DF0B85" w14:paraId="315EB9E1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D28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Third vaccination</w:t>
            </w: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 received: Other,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A6B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28/2149 (1.3%)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BFF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37/2400 (1.5%)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8DF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4D1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52A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0FC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39F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23/1903 (1.2%)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3EB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2D6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8FE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756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</w:tr>
      <w:tr w:rsidR="00100902" w:rsidRPr="00DF0B85" w14:paraId="01A1F8FF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BA1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SARS-CoV-2 infection status</w:t>
            </w: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 (serology-based) at time of antibody testing: Evidence of natural infection,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E30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891/4190 (21.3%)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A75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977/3561 (27.4%)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6AA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98/330 (29.7%)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7AE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304/1375 (22.1%)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D6A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157/748 (21.0%)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52E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245/691 (35.5%)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558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464/1937 (24.0%)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5F0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187/1757 (10.6%)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9B5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23/36 (63.9%)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C9E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133/1438 (9.2%)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310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31/283 (11.0%)</w:t>
            </w:r>
          </w:p>
        </w:tc>
      </w:tr>
      <w:tr w:rsidR="00100902" w:rsidRPr="00DF0B85" w14:paraId="0602B24C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F02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SARS-CoV-2 infection status</w:t>
            </w: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 (self-reported), Q2: Unsure,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033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93/4092 (2.3%)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645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60/3428 (1.8%)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89D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11/320 (3.4%)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D3D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43/1365 (3.2%)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3F1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9/739 (1.2%)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FFD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12/662 (1.8%)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DAA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30/1882 (1.6%)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7EA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BC4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EF2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3CB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</w:tr>
      <w:tr w:rsidR="00100902" w:rsidRPr="00DF0B85" w14:paraId="3166804C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B15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SARS-CoV-2 infection status</w:t>
            </w: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 (self-reported), Q2: Suspected case,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95D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477/4092 (11.7%)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881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399/3428 (11.6%)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667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35/320 (10.9%)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202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183/1365 (13.4%)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FC0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67/739 (9.1%)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22F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81/662 (12.2%)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F45B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197/1882 (10.5%)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41B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302/1675 (18.0%)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F0A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5/33 (15.2%)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3B7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240/1374 (17.5%)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32CB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57/268 (21.3%)</w:t>
            </w:r>
          </w:p>
        </w:tc>
      </w:tr>
      <w:tr w:rsidR="00100902" w:rsidRPr="00DF0B85" w14:paraId="670E73EE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A25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SARS-CoV-2 infection status</w:t>
            </w: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 (self-reported), Q2: Confirmed case,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254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597/4092 (14.6%)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76B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492/3428 (14.4%)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5D8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57/320 (17.8%)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92E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218/1365 (16.0%)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9A3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112/739 (15.2%)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90C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107/662 (16.2%)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860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256/1882 (13.6%)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41D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40/1675 (2.4%)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B9E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&lt;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F8B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29/1374 (2.1%)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F6EB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11/268 (4.1%)</w:t>
            </w:r>
          </w:p>
        </w:tc>
      </w:tr>
      <w:tr w:rsidR="00100902" w:rsidRPr="00DF0B85" w14:paraId="16FE93E8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542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SARS-CoV-2 infection status</w:t>
            </w: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 (self-reported), Q4: Unsure,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CB6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147/4134 (3.6%)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546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128/3543 (3.6%)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D40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19/330 (5.8%)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091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67/1375 (4.9%)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0E4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18/748 (2.4%)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84F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30/691 (4.3%)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D2A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65/1936 (3.4%)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042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D11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1EE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385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</w:tr>
      <w:tr w:rsidR="00100902" w:rsidRPr="00DF0B85" w14:paraId="77C0789A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F74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SARS-CoV-2 infection status</w:t>
            </w: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 (self-reported), Q4: Suspected case,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7FD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478/4134 (11.6%)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EF7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404/3543 (11.4%)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97B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34/330 (10.3%)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52B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183/1375 (13.3%)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1D0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70/748 (9.4%)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DBB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78/691 (11.3%)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332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204/1936 (10.5%)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145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790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3F2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BE1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</w:tr>
      <w:tr w:rsidR="00100902" w:rsidRPr="00DF0B85" w14:paraId="2DBD7ECB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916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SARS-CoV-2 infection status</w:t>
            </w: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 (self-reported), Q4: Confirmed case,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CDCB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817/4134 (19.8%)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D97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751/3543 (21.2%)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43E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92/330 (27.9%)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2D2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306/1375 (22.3%)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711B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145/748 (19.4%)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E70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202/691 (29.2%)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270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357/1936 (18.4%)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FA7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15D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FA4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447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</w:tr>
      <w:tr w:rsidR="00100902" w:rsidRPr="00DF0B85" w14:paraId="46D4592C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0B5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Anti-Nucleocapsid </w:t>
            </w: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antibody status, Q2: Positive,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AB8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460/3893 (11.8%)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25F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333/2887 (11.5%)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B4E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60/329 (18.2%)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982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156/1368 (11.4%)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EE0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87/743 (11.7%)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335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85/565 (15.0%)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B42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160/1624 (9.9%)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C3B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167/1757 (9.5%)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EA6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&lt;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228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133/1438 (9.2%)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3B0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31/283 (11.0%)</w:t>
            </w:r>
          </w:p>
        </w:tc>
      </w:tr>
      <w:tr w:rsidR="00100902" w:rsidRPr="00DF0B85" w14:paraId="490D68D3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D59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 xml:space="preserve">Anti-Nucleocapsid </w:t>
            </w: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antibody status, Q4: Positive,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A4D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524/2998 (17.5%)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EC0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618/3447 (17.9%)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ADAB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80/290 (27.6%)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41BB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197/1130 (17.4%)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56C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95/602 (15.8%)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2B2B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179/691 (25.9%)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FBC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263/1937 (13.6%)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84AB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4E4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5EC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97A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</w:tr>
      <w:tr w:rsidR="00100902" w:rsidRPr="00DF0B85" w14:paraId="151871A2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3A9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Frailty Index: Frail,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4DA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390/3316 (11.8%)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2D5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312/2854 (10.9%)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8B2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9/195 (4.6%)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A51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111/1138 (9.8%)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831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90/622 (14.5%)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3A1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45/478 (9.4%)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0AB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192/1665 (11.5%)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45E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AD7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5CF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F07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</w:tr>
      <w:tr w:rsidR="00100902" w:rsidRPr="00DF0B85" w14:paraId="694F6F3C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0A3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Frailty Index: Very frail,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0E2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112/3316 (3.4%)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739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91/2854 (3.2%)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382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&lt;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E5AB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35/1138 (3.1%)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9F1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23/622 (3.7%)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457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7/478 (1.5%)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0B4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56/1665 (3.4%)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425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EF3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978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01D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</w:tr>
      <w:tr w:rsidR="00100902" w:rsidRPr="00DF0B85" w14:paraId="4A9BF17D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413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Frailty (PRISMA-7): Frail,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B9F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DEF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B5D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ECD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CCC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90A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4BA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4E1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50/1779 (2.8%)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595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&lt;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278B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40/1459 (2.7%)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C26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10/284 (3.5%)</w:t>
            </w:r>
          </w:p>
        </w:tc>
      </w:tr>
      <w:tr w:rsidR="00100902" w:rsidRPr="00DF0B85" w14:paraId="049D92D3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1CD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Advised on "</w:t>
            </w:r>
            <w:r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Shielded Patient List</w:t>
            </w: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": Yes,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CC3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341/4109 (8.3%)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E8F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279/3530 (7.9%)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584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8/329 (2.4%)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726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82/1374 (6.0%)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D8F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86/748 (11.5%)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556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23/691 (3.3%)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1A3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190/1936 (9.8%)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AD3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67/1754 (3.8%)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8BB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&lt;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0EA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45/1443 (3.1%)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A7C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22/276 (8.0%)</w:t>
            </w:r>
          </w:p>
        </w:tc>
      </w:tr>
      <w:tr w:rsidR="00100902" w:rsidRPr="00DF0B85" w14:paraId="154844D0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57D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Prescribed immunosuppressant medication: Yes,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570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345/2824 (12.2%)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AC0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291/2444 (11.9%)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F4A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9/169 (5.3%)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D89B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117/963 (12.1%)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95E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64/540 (11.9%)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0EA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37/394 (9.4%)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6A8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192/1462 (13.1%)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62B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61B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A18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682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</w:tr>
      <w:tr w:rsidR="00100902" w:rsidRPr="00DF0B85" w14:paraId="4062D72E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8C3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Immunocompromised: Yes,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241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BDA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685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D14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A4C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363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BB1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680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54/1332 (4.1%)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B18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&lt;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4BC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39/1092 (3.6%)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CCD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15/213 (7.0%)</w:t>
            </w:r>
          </w:p>
        </w:tc>
      </w:tr>
      <w:tr w:rsidR="00100902" w:rsidRPr="00DF0B85" w14:paraId="1EBCA604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C46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Self-rated health: Poor, Fair,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2C5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357/4082 (8.7%)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D06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290/3407 (8.5%)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4A2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15/316 (4.7%)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67C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134/1364 (9.8%)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34E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60/737 (8.1%)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2B7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42/656 (6.4%)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0CA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168/1871 (9.0%)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6B1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167/1778 (9.4%)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088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&lt;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30C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137/1459 (9.4%)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422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28/283 (9.9%)</w:t>
            </w:r>
          </w:p>
        </w:tc>
      </w:tr>
      <w:tr w:rsidR="00100902" w:rsidRPr="00DF0B85" w14:paraId="6BD7B483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A4D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BMI: Median (IQR)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DD1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24.75 (22.15, 27.99)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815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24.76 (22.2, 27.98)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8D0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22.72 (20.94, 25.42)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99B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24.86 (22.27, 28.28)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AAF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24.99 (22.23, 28.07)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9DE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23.91 (21.62, 27.58)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7EC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24.87 (22.3, 27.87)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816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25.7 (23.23, 28.7)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B9A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25.63 (23.13, 28.04)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A56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25.71 (23.25, 28.77)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AF5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25.65 (23.02, 28.6)</w:t>
            </w:r>
          </w:p>
        </w:tc>
      </w:tr>
      <w:tr w:rsidR="00100902" w:rsidRPr="00DF0B85" w14:paraId="481E9657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001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Number of selected comorbidities: 1+,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985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1345/3047 (44.1%)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687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1134/2617 (43.3%)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8B0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46/190 (24.2%)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169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452/1056 (42.8%)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606B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288/555 (51.9%)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D73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144/452 (31.9%)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2E5B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717/1506 (47.6%)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21D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387/1289 (30.0%)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10B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6/26 (23.1%)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026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314/1058 (29.7%)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7BD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67/205 (32.7%)</w:t>
            </w:r>
          </w:p>
        </w:tc>
      </w:tr>
      <w:tr w:rsidR="00100902" w:rsidRPr="00DF0B85" w14:paraId="28C7E7D1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654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lastRenderedPageBreak/>
              <w:t>Comorbidity: Anxiety or Stress Disorder: Yes,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BD7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474/3071 (15.4%)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51C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389/2635 (14.8%)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2D2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29/177 (16.4%)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A29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165/1059 (15.6%)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37E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81/576 (14.1%)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340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70/441 (15.9%)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B79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213/1548 (13.8%)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1D8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131/1321 (9.9%)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00C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&lt;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E7F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114/1083 (10.5%)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F89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16/211 (7.6%)</w:t>
            </w:r>
          </w:p>
        </w:tc>
      </w:tr>
      <w:tr w:rsidR="00100902" w:rsidRPr="00DF0B85" w14:paraId="7E2B0791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F56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Comorbidity: Depression: Yes,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086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387/3039 (12.7%)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0F6B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328/2618 (12.5%)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633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22/174 (12.6%)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619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134/1051 (12.7%)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8AF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70/574 (12.2%)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F4E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54/437 (12.4%)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281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180/1533 (11.7%)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440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65/1330 (4.9%)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CCA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&lt;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3C7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55/1092 (5.0%)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AA7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9/211 (4.3%)</w:t>
            </w:r>
          </w:p>
        </w:tc>
      </w:tr>
      <w:tr w:rsidR="00100902" w:rsidRPr="00DF0B85" w14:paraId="7AE6F090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474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Anxiety (HADS) score up to Q2: Median (IQR)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381B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6.0 (3.0, 9.0)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233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6.0 (3.0, 9.0)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28A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7.0 (4.0, 11.0)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7EC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6.0 (3.0, 10.0)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884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6.0 (3.0, 9.0)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73F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7.0 (4.0, 10.0)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ADD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6.0 (3.0, 9.0)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B6A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D7F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5B9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B9A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</w:tr>
      <w:tr w:rsidR="00100902" w:rsidRPr="00DF0B85" w14:paraId="5305897A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CDA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Anxiety (HADS) score up to Q2: 8-10, mild,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7DE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874/4074 (21.5%)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A30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730/3420 (21.3%)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D4C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75/319 (23.5%)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CDB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298/1361 (21.9%)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8D2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153/736 (20.8%)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4EE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143/661 (21.6%)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310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392/1878 (20.9%)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EBB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011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27F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341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</w:tr>
      <w:tr w:rsidR="00100902" w:rsidRPr="00DF0B85" w14:paraId="3ADF0644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FF9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Anxiety (HADS) score up to Q2: 11+, moderate, severe,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F76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752/4074 (18.5%)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296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601/3420 (17.6%)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E98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82/319 (25.7%)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C87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262/1361 (19.3%)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457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120/736 (16.3%)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9D9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137/661 (20.7%)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FFC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276/1878 (14.7%)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3F2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58B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6D9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6FDB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</w:tr>
      <w:tr w:rsidR="00100902" w:rsidRPr="00DF0B85" w14:paraId="3679B3B5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332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Depression (HADS) score up to Q2: Median (IQR)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077B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5.0 (2.0, 8.0)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8E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5.0 (2.0, 7.0)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5FB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5.0 (3.0, 8.0)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D29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5.0 (2.0, 8.0)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906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4.0 (2.0, 7.0)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72B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5.0 (3.0, 8.0)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135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4.0 (2.0, 7.0)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FA6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F65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648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815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</w:tr>
      <w:tr w:rsidR="00100902" w:rsidRPr="00DF0B85" w14:paraId="75D5EF22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FD1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Depression (HADS) score up to Q2: 8-10, mild,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7EF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627/4076 (15.4%)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CB6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511/3419 (14.9%)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24E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54/319 (16.9%)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D25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227/1362 (16.7%)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295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112/736 (15.2%)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273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95/660 (14.4%)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A56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275/1878 (14.6%)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F3A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017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5FB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CFE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</w:tr>
      <w:tr w:rsidR="00100902" w:rsidRPr="00DF0B85" w14:paraId="06D8D3E1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EA0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Depression (HADS) score up to Q2: 11+, moderate, severe,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FAEB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398/4076 (9.8%)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EF6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331/3419 (9.7%)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EB3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36/319 (11.3%)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3C7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151/1362 (11.1%)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ECB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60/736 (8.2%)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A8E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85/660 (12.9%)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8FB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146/1878 (7.8%)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71B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954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8A8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676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</w:tr>
      <w:tr w:rsidR="00100902" w:rsidRPr="00DF0B85" w14:paraId="125F2E21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231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Anxiety (HADS) score up to Q4: Median (IQR)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5C8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7.0 (4.0, 10.0)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867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7.0 (4.0, 10.0)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0C4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8.0 (5.0, 11.0)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989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7.0 (4.0, 10.0)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03E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6.0 (3.0, 9.0)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627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7.0 (5.0, 10.5)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807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6.0 (3.0, 9.0)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036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E8B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0A2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159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</w:tr>
      <w:tr w:rsidR="00100902" w:rsidRPr="00DF0B85" w14:paraId="5136D181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6D8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Anxiety (HADS) score up to Q4: 8-10, mild,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76BD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900/4121 (21.8%)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E7F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776/3541 (21.9%)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7DCB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75/329 (22.8%)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9BC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309/1372 (22.5%)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02A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160/746 (21.4%)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8C1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144/691 (20.8%)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31A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431/1937 (22.3%)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078B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245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8E2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3E0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</w:tr>
      <w:tr w:rsidR="00100902" w:rsidRPr="00DF0B85" w14:paraId="3EC9A4C5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289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Anxiety (HADS) score up to Q4: 11+, moderate, severe,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03D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846/4121 (20.5%)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566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715/3541 (20.2%)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48F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98/329 (29.8%)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0C1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297/1372 (21.6%)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BE8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138/746 (18.5%)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176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173/691 (25.0%)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2DF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327/1937 (16.9%)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75D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1D5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50D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52AE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</w:tr>
      <w:tr w:rsidR="00100902" w:rsidRPr="00DF0B85" w14:paraId="67245BCC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DEF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Depression (HADS) score up to Q4: Median (IQR)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F1C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5.0 (3.0, 8.0)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856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5.0 (3.0, 8.0)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B54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6.0 (3.0, 8.0)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32F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5.0 (3.0, 8.0)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32B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5.0 (3.0, 8.0)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CD2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6.0 (3.0, 8.0)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252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5.0 (3.0, 8.0)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616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239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ADF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FA4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</w:tr>
      <w:tr w:rsidR="00100902" w:rsidRPr="00DF0B85" w14:paraId="083E9204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9CAA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Depression (HADS) score up to Q4: 8-10, mild,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13C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693/4124 (16.8%)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9F7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598/3541 (16.9%)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7598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60/329 (18.2%)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0822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244/1373 (17.8%)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D7D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129/746 (17.3%)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3F7B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106/691 (15.3%)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37BC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331/1937 (17.1%)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104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135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B624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4C2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</w:tr>
      <w:tr w:rsidR="00100902" w:rsidRPr="00DF0B85" w14:paraId="426F38EE" w14:textId="77777777" w:rsidTr="00D96D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58E0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Depression (HADS) score up to Q4: 11+, moderate, severe,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76C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455/4124 (11.0%)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44E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395/3541 (11.2%)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0385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46/329 (14.0%)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F41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175/1373 (12.7%)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1117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67/746 (9.0%)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673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105/691 (15.2%)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63E1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174/1937 (9.0%)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595F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78E9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75F6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26D3" w14:textId="77777777" w:rsidR="00100902" w:rsidRPr="00DF0B85" w:rsidRDefault="00100902" w:rsidP="00D96DEF">
            <w:pPr>
              <w:snapToGrid/>
              <w:spacing w:after="0" w:line="240" w:lineRule="auto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</w:pPr>
            <w:r w:rsidRPr="00DF0B85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en-GB"/>
              </w:rPr>
              <w:t> </w:t>
            </w:r>
          </w:p>
        </w:tc>
      </w:tr>
    </w:tbl>
    <w:p w14:paraId="5226192C" w14:textId="77777777" w:rsidR="008A2F8D" w:rsidRDefault="008A2F8D"/>
    <w:sectPr w:rsidR="008A2F8D" w:rsidSect="001009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02"/>
    <w:rsid w:val="00100902"/>
    <w:rsid w:val="0075068A"/>
    <w:rsid w:val="007633B3"/>
    <w:rsid w:val="008A1FFD"/>
    <w:rsid w:val="008A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7A0EA"/>
  <w15:chartTrackingRefBased/>
  <w15:docId w15:val="{B8030D6C-918F-45DA-A51C-F75F75F0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902"/>
    <w:pPr>
      <w:snapToGrid w:val="0"/>
      <w:spacing w:after="120" w:line="360" w:lineRule="auto"/>
    </w:pPr>
    <w:rPr>
      <w:rFonts w:ascii="Times New Roman" w:hAnsi="Times New Roman" w:cs="Times New Roman (Body CS)"/>
      <w:spacing w:val="-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00902"/>
    <w:pPr>
      <w:spacing w:before="240" w:after="240" w:line="240" w:lineRule="exact"/>
    </w:pPr>
    <w:rPr>
      <w:iCs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1554</Words>
  <Characters>8860</Characters>
  <Application>Microsoft Office Word</Application>
  <DocSecurity>0</DocSecurity>
  <Lines>73</Lines>
  <Paragraphs>20</Paragraphs>
  <ScaleCrop>false</ScaleCrop>
  <Company/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Cheetham, Nathan</dc:creator>
  <cp:keywords/>
  <dc:description/>
  <cp:lastModifiedBy>Cheetham, Nathan</cp:lastModifiedBy>
  <cp:revision>1</cp:revision>
  <dcterms:created xsi:type="dcterms:W3CDTF">2022-11-25T16:20:00Z</dcterms:created>
  <dcterms:modified xsi:type="dcterms:W3CDTF">2022-11-25T16:21:00Z</dcterms:modified>
</cp:coreProperties>
</file>