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A7E7895" w:rsidR="00F102CC" w:rsidRPr="003D5AF6" w:rsidRDefault="009F197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materials generated by the </w:t>
            </w:r>
            <w:proofErr w:type="spellStart"/>
            <w:r>
              <w:rPr>
                <w:rFonts w:ascii="Noto Sans" w:eastAsia="Noto Sans" w:hAnsi="Noto Sans" w:cs="Noto Sans"/>
                <w:bCs/>
                <w:color w:val="434343"/>
                <w:sz w:val="18"/>
                <w:szCs w:val="18"/>
              </w:rPr>
              <w:t>Ploss</w:t>
            </w:r>
            <w:proofErr w:type="spellEnd"/>
            <w:r>
              <w:rPr>
                <w:rFonts w:ascii="Noto Sans" w:eastAsia="Noto Sans" w:hAnsi="Noto Sans" w:cs="Noto Sans"/>
                <w:bCs/>
                <w:color w:val="434343"/>
                <w:sz w:val="18"/>
                <w:szCs w:val="18"/>
              </w:rPr>
              <w:t xml:space="preserve"> lab will be available upon request from the corresponding author.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842B31A" w:rsidR="00F102CC" w:rsidRPr="007B79DF" w:rsidRDefault="00F102CC">
            <w:pPr>
              <w:rPr>
                <w:rFonts w:ascii="Noto Sans" w:eastAsia="Noto Sans" w:hAnsi="Noto Sans" w:cs="Noto Sans"/>
                <w:b/>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8783B13" w:rsidR="00F102CC" w:rsidRPr="003D5AF6" w:rsidRDefault="0028529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provided in the materials and methods section under the subheadings </w:t>
            </w:r>
            <w:r w:rsidRPr="00612F11">
              <w:rPr>
                <w:rFonts w:ascii="Noto Sans" w:eastAsia="Noto Sans" w:hAnsi="Noto Sans" w:cs="Noto Sans"/>
                <w:b/>
                <w:bCs/>
                <w:color w:val="434343"/>
                <w:sz w:val="18"/>
                <w:szCs w:val="18"/>
              </w:rPr>
              <w:t>Immunopurification of HA-tagged proteins</w:t>
            </w:r>
            <w:r>
              <w:rPr>
                <w:rFonts w:ascii="Noto Sans" w:eastAsia="Noto Sans" w:hAnsi="Noto Sans" w:cs="Noto Sans"/>
                <w:b/>
                <w:bCs/>
                <w:color w:val="434343"/>
                <w:sz w:val="18"/>
                <w:szCs w:val="18"/>
              </w:rPr>
              <w:t xml:space="preserve"> </w:t>
            </w:r>
            <w:r>
              <w:rPr>
                <w:rFonts w:ascii="Noto Sans" w:eastAsia="Noto Sans" w:hAnsi="Noto Sans" w:cs="Noto Sans"/>
                <w:color w:val="434343"/>
                <w:sz w:val="18"/>
                <w:szCs w:val="18"/>
              </w:rPr>
              <w:t xml:space="preserve">and </w:t>
            </w:r>
            <w:r w:rsidRPr="00612F11">
              <w:rPr>
                <w:rFonts w:ascii="Noto Sans" w:eastAsia="Noto Sans" w:hAnsi="Noto Sans" w:cs="Noto Sans"/>
                <w:b/>
                <w:bCs/>
                <w:color w:val="434343"/>
                <w:sz w:val="18"/>
                <w:szCs w:val="18"/>
              </w:rPr>
              <w:t>Immunofluorescence and confocal microscopy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DE94B6A" w:rsidR="00F102CC" w:rsidRPr="003D5AF6" w:rsidRDefault="006F4D9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primer sequences </w:t>
            </w:r>
            <w:r w:rsidR="007B79DF">
              <w:rPr>
                <w:rFonts w:ascii="Noto Sans" w:eastAsia="Noto Sans" w:hAnsi="Noto Sans" w:cs="Noto Sans"/>
                <w:bCs/>
                <w:color w:val="434343"/>
                <w:sz w:val="18"/>
                <w:szCs w:val="18"/>
              </w:rPr>
              <w:t xml:space="preserve">are </w:t>
            </w:r>
            <w:r>
              <w:rPr>
                <w:rFonts w:ascii="Noto Sans" w:eastAsia="Noto Sans" w:hAnsi="Noto Sans" w:cs="Noto Sans"/>
                <w:bCs/>
                <w:color w:val="434343"/>
                <w:sz w:val="18"/>
                <w:szCs w:val="18"/>
              </w:rPr>
              <w:t>included in Supplementary table1.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22080E7" w14:textId="677F30A7" w:rsidR="0028529C" w:rsidRPr="0028529C" w:rsidRDefault="007B79DF" w:rsidP="0028529C">
            <w:pPr>
              <w:pStyle w:val="NormalWeb"/>
              <w:spacing w:before="0" w:beforeAutospacing="0" w:after="0" w:afterAutospacing="0"/>
              <w:jc w:val="both"/>
              <w:rPr>
                <w:rFonts w:ascii="Noto Sans" w:hAnsi="Noto Sans" w:cs="Noto Sans"/>
                <w:sz w:val="18"/>
                <w:szCs w:val="18"/>
              </w:rPr>
            </w:pPr>
            <w:r>
              <w:rPr>
                <w:rFonts w:ascii="Noto Sans" w:eastAsia="Noto Sans" w:hAnsi="Noto Sans" w:cs="Noto Sans"/>
                <w:bCs/>
                <w:color w:val="434343"/>
                <w:sz w:val="18"/>
                <w:szCs w:val="18"/>
              </w:rPr>
              <w:t xml:space="preserve">This information is provided in the materials and methods section under the </w:t>
            </w:r>
            <w:r w:rsidR="0028529C">
              <w:rPr>
                <w:rFonts w:ascii="Noto Sans" w:eastAsia="Noto Sans" w:hAnsi="Noto Sans" w:cs="Noto Sans"/>
                <w:bCs/>
                <w:color w:val="434343"/>
                <w:sz w:val="18"/>
                <w:szCs w:val="18"/>
              </w:rPr>
              <w:t xml:space="preserve">subheading </w:t>
            </w:r>
            <w:r w:rsidR="0028529C" w:rsidRPr="0028529C">
              <w:rPr>
                <w:rFonts w:ascii="Noto Sans" w:hAnsi="Noto Sans" w:cs="Noto Sans"/>
                <w:b/>
                <w:bCs/>
                <w:sz w:val="18"/>
                <w:szCs w:val="18"/>
              </w:rPr>
              <w:t>Cell lines and cell culture</w:t>
            </w:r>
            <w:r w:rsidR="0028529C" w:rsidRPr="0028529C">
              <w:rPr>
                <w:rFonts w:ascii="Noto Sans" w:hAnsi="Noto Sans" w:cs="Noto Sans"/>
                <w:sz w:val="18"/>
                <w:szCs w:val="18"/>
              </w:rPr>
              <w:t>.</w:t>
            </w:r>
          </w:p>
          <w:p w14:paraId="142EF030" w14:textId="23FDE4E1" w:rsidR="00F102CC" w:rsidRPr="00612F11" w:rsidRDefault="00F102CC">
            <w:pPr>
              <w:rPr>
                <w:rFonts w:ascii="Noto Sans" w:eastAsia="Noto Sans" w:hAnsi="Noto Sans" w:cs="Noto San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601DB1E" w:rsidR="00F102CC" w:rsidRPr="007B79DF" w:rsidRDefault="007B79D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4001312" w:rsidR="00F102CC" w:rsidRPr="00072BBC" w:rsidRDefault="00072BBC">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B32ED67" w:rsidR="00F102CC" w:rsidRPr="003D5AF6" w:rsidRDefault="00072BBC">
            <w:pP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85192E6" w:rsidR="00F102CC" w:rsidRPr="003D5AF6" w:rsidRDefault="00072BBC">
            <w:pP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F47CD72" w:rsidR="00F102CC" w:rsidRPr="003D5AF6" w:rsidRDefault="00072BBC">
            <w:pPr>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0A19CB5" w:rsidR="00F102CC" w:rsidRDefault="00072BBC">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3057CD5" w:rsidR="00F102CC" w:rsidRPr="003D5AF6" w:rsidRDefault="00072BB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492D03F" w:rsidR="00F102CC" w:rsidRPr="003D5AF6" w:rsidRDefault="00072BB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F4BD029" w:rsidR="00F102CC" w:rsidRPr="003D5AF6" w:rsidRDefault="00072BB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A7D9579" w:rsidR="00F102CC" w:rsidRDefault="00072BB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EDC4854" w:rsidR="00F102CC" w:rsidRPr="003D5AF6" w:rsidRDefault="00072BB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502BEB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3CFA4A5" w:rsidR="00F102CC" w:rsidRPr="003D5AF6" w:rsidRDefault="00072BB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CE125E1" w:rsidR="00F102CC" w:rsidRPr="003D5AF6" w:rsidRDefault="00612F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within the relevant figure legends, 1, 2, 3, and 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29B9ABD" w:rsidR="00F102CC" w:rsidRPr="003D5AF6" w:rsidRDefault="00072B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within the relevant figure legends</w:t>
            </w:r>
            <w:r w:rsidR="00612F11">
              <w:rPr>
                <w:rFonts w:ascii="Noto Sans" w:eastAsia="Noto Sans" w:hAnsi="Noto Sans" w:cs="Noto Sans"/>
                <w:bCs/>
                <w:color w:val="434343"/>
                <w:sz w:val="18"/>
                <w:szCs w:val="18"/>
              </w:rPr>
              <w:t>, 1, 2, 3, and 6</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E4C4779" w:rsidR="00F102CC" w:rsidRPr="00072BBC" w:rsidRDefault="00072BB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2C182A0" w:rsidR="00F102CC" w:rsidRPr="003D5AF6" w:rsidRDefault="00072BB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4BD09FE" w:rsidR="00F102CC" w:rsidRPr="003D5AF6" w:rsidRDefault="00072BB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3353542" w:rsidR="00F102CC" w:rsidRPr="003D5AF6" w:rsidRDefault="00072BB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ECB8A84" w:rsidR="00F102CC" w:rsidRPr="003D5AF6" w:rsidRDefault="00072B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luciferase assays, all data sets were analyzed for outliers via the ROUT method using GraphPad Prism. This information is outlined in relevant figure legends</w:t>
            </w:r>
            <w:r w:rsidR="005859AE">
              <w:rPr>
                <w:rFonts w:ascii="Noto Sans" w:eastAsia="Noto Sans" w:hAnsi="Noto Sans" w:cs="Noto Sans"/>
                <w:bCs/>
                <w:color w:val="434343"/>
                <w:sz w:val="18"/>
                <w:szCs w:val="18"/>
              </w:rPr>
              <w:t xml:space="preserve"> 1, 2, and 3</w:t>
            </w:r>
            <w:r>
              <w:rPr>
                <w:rFonts w:ascii="Noto Sans" w:eastAsia="Noto Sans" w:hAnsi="Noto Sans" w:cs="Noto Sans"/>
                <w:bCs/>
                <w:color w:val="434343"/>
                <w:sz w:val="18"/>
                <w:szCs w:val="18"/>
              </w:rPr>
              <w:t>.</w:t>
            </w:r>
            <w:r w:rsidR="005859AE">
              <w:rPr>
                <w:rFonts w:ascii="Noto Sans" w:eastAsia="Noto Sans" w:hAnsi="Noto Sans" w:cs="Noto Sans"/>
                <w:bCs/>
                <w:color w:val="434343"/>
                <w:sz w:val="18"/>
                <w:szCs w:val="18"/>
              </w:rPr>
              <w:t xml:space="preserve"> ICP-MS data points excluded if not above the water blank control, outlined in figure legend 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5ABA1F" w14:textId="44EC0E7F" w:rsidR="00291B9B" w:rsidRPr="00291B9B" w:rsidRDefault="005859AE" w:rsidP="00291B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luciferase assays, </w:t>
            </w:r>
            <w:r w:rsidRPr="005859AE">
              <w:rPr>
                <w:rFonts w:ascii="Noto Sans" w:eastAsia="Noto Sans" w:hAnsi="Noto Sans" w:cs="Noto Sans"/>
                <w:bCs/>
                <w:color w:val="434343"/>
                <w:sz w:val="18"/>
                <w:szCs w:val="18"/>
              </w:rPr>
              <w:t>One-Way ANOVA</w:t>
            </w:r>
            <w:r>
              <w:rPr>
                <w:rFonts w:ascii="Noto Sans" w:eastAsia="Noto Sans" w:hAnsi="Noto Sans" w:cs="Noto Sans"/>
                <w:bCs/>
                <w:color w:val="434343"/>
                <w:sz w:val="18"/>
                <w:szCs w:val="18"/>
              </w:rPr>
              <w:t xml:space="preserve"> with multiple comparison analysis tests were conducted to determine significance in signal change using WT as a control column. This test was chosen as the relevant test as we have one independent </w:t>
            </w:r>
            <w:proofErr w:type="gramStart"/>
            <w:r>
              <w:rPr>
                <w:rFonts w:ascii="Noto Sans" w:eastAsia="Noto Sans" w:hAnsi="Noto Sans" w:cs="Noto Sans"/>
                <w:bCs/>
                <w:color w:val="434343"/>
                <w:sz w:val="18"/>
                <w:szCs w:val="18"/>
              </w:rPr>
              <w:t>variable</w:t>
            </w:r>
            <w:proofErr w:type="gramEnd"/>
            <w:r>
              <w:rPr>
                <w:rFonts w:ascii="Noto Sans" w:eastAsia="Noto Sans" w:hAnsi="Noto Sans" w:cs="Noto Sans"/>
                <w:bCs/>
                <w:color w:val="434343"/>
                <w:sz w:val="18"/>
                <w:szCs w:val="18"/>
              </w:rPr>
              <w:t xml:space="preserve"> and we are investigating variations within that variable. For ICP-MS data analysis, we used a </w:t>
            </w:r>
            <w:r w:rsidRPr="005859AE">
              <w:rPr>
                <w:rFonts w:ascii="Noto Sans" w:eastAsia="Noto Sans" w:hAnsi="Noto Sans" w:cs="Noto Sans"/>
                <w:bCs/>
                <w:color w:val="434343"/>
                <w:sz w:val="18"/>
                <w:szCs w:val="18"/>
              </w:rPr>
              <w:t>Two-Way ANOVA</w:t>
            </w:r>
            <w:r>
              <w:rPr>
                <w:rFonts w:ascii="Noto Sans" w:eastAsia="Noto Sans" w:hAnsi="Noto Sans" w:cs="Noto Sans"/>
                <w:bCs/>
                <w:color w:val="434343"/>
                <w:sz w:val="18"/>
                <w:szCs w:val="18"/>
              </w:rPr>
              <w:t xml:space="preserve"> with multiple </w:t>
            </w:r>
            <w:r w:rsidR="00291B9B">
              <w:rPr>
                <w:rFonts w:ascii="Noto Sans" w:eastAsia="Noto Sans" w:hAnsi="Noto Sans" w:cs="Noto Sans"/>
                <w:bCs/>
                <w:color w:val="434343"/>
                <w:sz w:val="18"/>
                <w:szCs w:val="18"/>
              </w:rPr>
              <w:t xml:space="preserve">comparisons </w:t>
            </w:r>
            <w:r>
              <w:rPr>
                <w:rFonts w:ascii="Noto Sans" w:eastAsia="Noto Sans" w:hAnsi="Noto Sans" w:cs="Noto Sans"/>
                <w:bCs/>
                <w:color w:val="434343"/>
                <w:sz w:val="18"/>
                <w:szCs w:val="18"/>
              </w:rPr>
              <w:t>analysis</w:t>
            </w:r>
            <w:r w:rsidR="00291B9B">
              <w:rPr>
                <w:rFonts w:ascii="Noto Sans" w:eastAsia="Noto Sans" w:hAnsi="Noto Sans" w:cs="Noto Sans"/>
                <w:bCs/>
                <w:color w:val="434343"/>
                <w:sz w:val="18"/>
                <w:szCs w:val="18"/>
              </w:rPr>
              <w:t xml:space="preserve"> tests to</w:t>
            </w:r>
            <w:r w:rsidR="00291B9B" w:rsidRPr="00291B9B">
              <w:rPr>
                <w:rFonts w:ascii="Noto Sans" w:eastAsia="Noto Sans" w:hAnsi="Noto Sans" w:cs="Noto Sans"/>
                <w:color w:val="434343"/>
                <w:sz w:val="18"/>
                <w:szCs w:val="18"/>
              </w:rPr>
              <w:t xml:space="preserve"> determin</w:t>
            </w:r>
            <w:r w:rsidR="00291B9B">
              <w:rPr>
                <w:rFonts w:ascii="Noto Sans" w:eastAsia="Noto Sans" w:hAnsi="Noto Sans" w:cs="Noto Sans"/>
                <w:color w:val="434343"/>
                <w:sz w:val="18"/>
                <w:szCs w:val="18"/>
              </w:rPr>
              <w:t>e</w:t>
            </w:r>
            <w:r w:rsidR="00291B9B">
              <w:rPr>
                <w:rFonts w:ascii="Noto Sans" w:eastAsia="Noto Sans" w:hAnsi="Noto Sans" w:cs="Noto Sans"/>
                <w:b/>
                <w:bCs/>
                <w:color w:val="434343"/>
                <w:sz w:val="18"/>
                <w:szCs w:val="18"/>
              </w:rPr>
              <w:t xml:space="preserve"> </w:t>
            </w:r>
            <w:r w:rsidR="00291B9B" w:rsidRPr="00291B9B">
              <w:rPr>
                <w:rFonts w:ascii="Noto Sans" w:eastAsia="Noto Sans" w:hAnsi="Noto Sans" w:cs="Noto Sans"/>
                <w:color w:val="434343"/>
                <w:sz w:val="18"/>
                <w:szCs w:val="18"/>
              </w:rPr>
              <w:t>how the mean of a quantitative variable changes according to the levels of two categorical variables</w:t>
            </w:r>
            <w:r w:rsidR="00964D64">
              <w:rPr>
                <w:rFonts w:ascii="Noto Sans" w:eastAsia="Noto Sans" w:hAnsi="Noto Sans" w:cs="Noto Sans"/>
                <w:color w:val="434343"/>
                <w:sz w:val="18"/>
                <w:szCs w:val="18"/>
              </w:rPr>
              <w:t>.</w:t>
            </w:r>
          </w:p>
          <w:p w14:paraId="54E0127B" w14:textId="34A323FC"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CA6A019" w:rsidR="00F102CC" w:rsidRPr="003D5AF6" w:rsidRDefault="0084125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manuscript includes a data availability statement dictating that all source materials were submitted to </w:t>
            </w:r>
            <w:proofErr w:type="spellStart"/>
            <w:r>
              <w:rPr>
                <w:rFonts w:ascii="Noto Sans" w:eastAsia="Noto Sans" w:hAnsi="Noto Sans" w:cs="Noto Sans"/>
                <w:bCs/>
                <w:color w:val="434343"/>
                <w:sz w:val="18"/>
                <w:szCs w:val="18"/>
              </w:rPr>
              <w:t>eLIFE</w:t>
            </w:r>
            <w:proofErr w:type="spellEnd"/>
            <w:r>
              <w:rPr>
                <w:rFonts w:ascii="Noto Sans" w:eastAsia="Noto Sans" w:hAnsi="Noto Sans" w:cs="Noto Sans"/>
                <w:bCs/>
                <w:color w:val="434343"/>
                <w:sz w:val="18"/>
                <w:szCs w:val="18"/>
              </w:rPr>
              <w:t xml:space="preserve"> upon initial manuscript submission. Further, the manuscript includes </w:t>
            </w:r>
            <w:r>
              <w:rPr>
                <w:rFonts w:ascii="Noto Sans" w:eastAsia="Noto Sans" w:hAnsi="Noto Sans" w:cs="Noto Sans"/>
                <w:bCs/>
                <w:color w:val="434343"/>
                <w:sz w:val="18"/>
                <w:szCs w:val="18"/>
              </w:rPr>
              <w:lastRenderedPageBreak/>
              <w:t xml:space="preserve">references to each source data file within each relevant figure legend. These files include raw </w:t>
            </w:r>
            <w:proofErr w:type="spellStart"/>
            <w:r>
              <w:rPr>
                <w:rFonts w:ascii="Noto Sans" w:eastAsia="Noto Sans" w:hAnsi="Noto Sans" w:cs="Noto Sans"/>
                <w:bCs/>
                <w:color w:val="434343"/>
                <w:sz w:val="18"/>
                <w:szCs w:val="18"/>
              </w:rPr>
              <w:t>GLuc</w:t>
            </w:r>
            <w:proofErr w:type="spellEnd"/>
            <w:r>
              <w:rPr>
                <w:rFonts w:ascii="Noto Sans" w:eastAsia="Noto Sans" w:hAnsi="Noto Sans" w:cs="Noto Sans"/>
                <w:bCs/>
                <w:color w:val="434343"/>
                <w:sz w:val="18"/>
                <w:szCs w:val="18"/>
              </w:rPr>
              <w:t xml:space="preserve"> data kinetics for all data sets, unedited western blots, original TIFF images for confocal microscopy, and </w:t>
            </w:r>
            <w:proofErr w:type="spellStart"/>
            <w:r>
              <w:rPr>
                <w:rFonts w:ascii="Noto Sans" w:eastAsia="Noto Sans" w:hAnsi="Noto Sans" w:cs="Noto Sans"/>
                <w:bCs/>
                <w:color w:val="434343"/>
                <w:sz w:val="18"/>
                <w:szCs w:val="18"/>
              </w:rPr>
              <w:t>AlphaFold</w:t>
            </w:r>
            <w:proofErr w:type="spellEnd"/>
            <w:r>
              <w:rPr>
                <w:rFonts w:ascii="Noto Sans" w:eastAsia="Noto Sans" w:hAnsi="Noto Sans" w:cs="Noto Sans"/>
                <w:bCs/>
                <w:color w:val="434343"/>
                <w:sz w:val="18"/>
                <w:szCs w:val="18"/>
              </w:rPr>
              <w:t xml:space="preserve"> predictions.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39EF116" w:rsidR="00F102CC" w:rsidRPr="00964D64" w:rsidRDefault="00F102CC">
            <w:pPr>
              <w:spacing w:line="225" w:lineRule="auto"/>
              <w:rPr>
                <w:rFonts w:ascii="Noto Sans" w:eastAsia="Noto Sans" w:hAnsi="Noto Sans" w:cs="Noto Sans"/>
                <w:b/>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1B95F0A" w:rsidR="00F102CC" w:rsidRPr="003D5AF6" w:rsidRDefault="00964D6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F7FCBB1" w:rsidR="00F102CC" w:rsidRPr="003D5AF6" w:rsidRDefault="00964D6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4B5FC99" w:rsidR="00F102CC" w:rsidRPr="003D5AF6" w:rsidRDefault="00964D6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A8555F" w:rsidR="00F102CC" w:rsidRPr="003D5AF6" w:rsidRDefault="00964D6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8DFE48C" w:rsidR="00F102CC" w:rsidRPr="003D5AF6" w:rsidRDefault="00964D6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04F89D5" w:rsidR="00F102CC" w:rsidRPr="003D5AF6" w:rsidRDefault="00964D6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77F0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lastRenderedPageBreak/>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B75D0" w14:textId="77777777" w:rsidR="00477F0F" w:rsidRDefault="00477F0F">
      <w:r>
        <w:separator/>
      </w:r>
    </w:p>
  </w:endnote>
  <w:endnote w:type="continuationSeparator" w:id="0">
    <w:p w14:paraId="69018D9C" w14:textId="77777777" w:rsidR="00477F0F" w:rsidRDefault="00477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AD1A6" w14:textId="77777777" w:rsidR="00477F0F" w:rsidRDefault="00477F0F">
      <w:r>
        <w:separator/>
      </w:r>
    </w:p>
  </w:footnote>
  <w:footnote w:type="continuationSeparator" w:id="0">
    <w:p w14:paraId="573A7C1A" w14:textId="77777777" w:rsidR="00477F0F" w:rsidRDefault="00477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10466312">
    <w:abstractNumId w:val="2"/>
  </w:num>
  <w:num w:numId="2" w16cid:durableId="1502695743">
    <w:abstractNumId w:val="0"/>
  </w:num>
  <w:num w:numId="3" w16cid:durableId="1329213380">
    <w:abstractNumId w:val="1"/>
  </w:num>
  <w:num w:numId="4" w16cid:durableId="1596934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2BBC"/>
    <w:rsid w:val="0008770A"/>
    <w:rsid w:val="00181B68"/>
    <w:rsid w:val="001B2645"/>
    <w:rsid w:val="001B3BCC"/>
    <w:rsid w:val="002209A8"/>
    <w:rsid w:val="0028529C"/>
    <w:rsid w:val="00291B9B"/>
    <w:rsid w:val="002D6344"/>
    <w:rsid w:val="003D5AF6"/>
    <w:rsid w:val="00427975"/>
    <w:rsid w:val="00477F0F"/>
    <w:rsid w:val="004E2C31"/>
    <w:rsid w:val="005859AE"/>
    <w:rsid w:val="005B0259"/>
    <w:rsid w:val="00612F11"/>
    <w:rsid w:val="006F4D98"/>
    <w:rsid w:val="007054B6"/>
    <w:rsid w:val="007B79DF"/>
    <w:rsid w:val="0084125A"/>
    <w:rsid w:val="00964D64"/>
    <w:rsid w:val="009C7B26"/>
    <w:rsid w:val="009F197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link w:val="NormalWebChar"/>
    <w:uiPriority w:val="99"/>
    <w:unhideWhenUsed/>
    <w:rsid w:val="0028529C"/>
    <w:pPr>
      <w:widowControl/>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WebChar">
    <w:name w:val="Normal (Web) Char"/>
    <w:basedOn w:val="DefaultParagraphFont"/>
    <w:link w:val="NormalWeb"/>
    <w:uiPriority w:val="99"/>
    <w:rsid w:val="0028529C"/>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16255">
      <w:bodyDiv w:val="1"/>
      <w:marLeft w:val="0"/>
      <w:marRight w:val="0"/>
      <w:marTop w:val="0"/>
      <w:marBottom w:val="0"/>
      <w:divBdr>
        <w:top w:val="none" w:sz="0" w:space="0" w:color="auto"/>
        <w:left w:val="none" w:sz="0" w:space="0" w:color="auto"/>
        <w:bottom w:val="none" w:sz="0" w:space="0" w:color="auto"/>
        <w:right w:val="none" w:sz="0" w:space="0" w:color="auto"/>
      </w:divBdr>
    </w:div>
    <w:div w:id="1524051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A. LeDesma</cp:lastModifiedBy>
  <cp:revision>9</cp:revision>
  <dcterms:created xsi:type="dcterms:W3CDTF">2022-05-29T04:59:00Z</dcterms:created>
  <dcterms:modified xsi:type="dcterms:W3CDTF">2022-05-31T16:15:00Z</dcterms:modified>
</cp:coreProperties>
</file>