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3"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20"/>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20"/>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Taxonomic identification; </w:t>
            </w:r>
            <w:r>
              <w:rPr>
                <w:rFonts w:eastAsia="Noto Sans" w:cs="Noto Sans" w:ascii="Noto Sans" w:hAnsi="Noto Sans"/>
                <w:bCs/>
                <w:color w:val="434343"/>
                <w:kern w:val="0"/>
                <w:sz w:val="18"/>
                <w:szCs w:val="18"/>
                <w:lang w:val="en-US" w:eastAsia="en-GB" w:bidi="ar-SA"/>
              </w:rPr>
              <w:t>Table 2.</w:t>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Taxonomic identification; </w:t>
            </w:r>
            <w:r>
              <w:rPr>
                <w:rFonts w:eastAsia="Noto Sans" w:cs="Noto Sans" w:ascii="Noto Sans" w:hAnsi="Noto Sans"/>
                <w:bCs/>
                <w:color w:val="434343"/>
                <w:kern w:val="0"/>
                <w:sz w:val="18"/>
                <w:szCs w:val="18"/>
                <w:lang w:val="en-US" w:eastAsia="en-GB" w:bidi="ar-SA"/>
              </w:rPr>
              <w:t>Table 2.</w:t>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spacing w:lineRule="auto" w:line="220"/>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3"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3"/>
        <w:gridCol w:w="992"/>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Not done</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Quantifying physiological and life-history traits</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Quantifying physiological and life-history traits</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3" w:type="dxa"/>
            <w:tcBorders>
              <w:bottom w:val="single" w:sz="8" w:space="0" w:color="000000"/>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3"/>
        <w:gridCol w:w="3165"/>
        <w:gridCol w:w="977"/>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Methods, Results</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8"/>
        <w:gridCol w:w="3330"/>
        <w:gridCol w:w="857"/>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4870" cy="1905"/>
                <wp:effectExtent l="0" t="0" r="0" b="0"/>
                <wp:docPr id="1" name="Rectangle 1"/>
                <a:graphic xmlns:a="http://schemas.openxmlformats.org/drawingml/2006/main">
                  <a:graphicData uri="http://schemas.microsoft.com/office/word/2010/wordprocessingShape">
                    <wps:wsp>
                      <wps:cNvSpPr/>
                      <wps:spPr>
                        <a:xfrm>
                          <a:off x="0" y="0"/>
                          <a:ext cx="5944320" cy="144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ID="Rectangle 1" fillcolor="#a0a0a0" stroked="f" style="position:absolute;margin-left:0pt;margin-top:-0.15pt;width:468pt;height:0.05pt;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82"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LibreOffice/6.4.7.2$Linux_X86_64 LibreOffice_project/40$Build-2</Application>
  <Pages>5</Pages>
  <Words>1286</Words>
  <Characters>7874</Characters>
  <CharactersWithSpaces>9031</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
  <dcterms:modified xsi:type="dcterms:W3CDTF">2022-06-28T14:48:15Z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