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21757" w14:textId="57F7CF98" w:rsidR="0012045A" w:rsidRDefault="00B356DF">
      <w:r>
        <w:rPr>
          <w:noProof/>
        </w:rPr>
        <w:drawing>
          <wp:inline distT="0" distB="0" distL="0" distR="0" wp14:anchorId="7306402A" wp14:editId="51D88A1C">
            <wp:extent cx="5943600" cy="3085719"/>
            <wp:effectExtent l="0" t="0" r="0" b="635"/>
            <wp:docPr id="28" name="table" descr="Tabl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A0422507-9EF7-74BA-A453-BFC47C2B6C3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table" descr="Table&#10;&#10;Description automatically generated">
                      <a:extLst>
                        <a:ext uri="{FF2B5EF4-FFF2-40B4-BE49-F238E27FC236}">
                          <a16:creationId xmlns:a16="http://schemas.microsoft.com/office/drawing/2014/main" id="{A0422507-9EF7-74BA-A453-BFC47C2B6C3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85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792CB8" w14:textId="77777777" w:rsidR="00B356DF" w:rsidRPr="00743EBA" w:rsidRDefault="00B356DF" w:rsidP="00B356DF">
      <w:pPr>
        <w:pStyle w:val="xmsonormal"/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b/>
          <w:bCs/>
          <w:color w:val="002060"/>
          <w:sz w:val="22"/>
          <w:szCs w:val="22"/>
        </w:rPr>
      </w:pPr>
      <w:r w:rsidRPr="00BD0A36">
        <w:rPr>
          <w:rFonts w:ascii="Arial" w:hAnsi="Arial" w:cs="Arial"/>
          <w:b/>
          <w:bCs/>
          <w:color w:val="002060"/>
          <w:sz w:val="22"/>
          <w:szCs w:val="22"/>
        </w:rPr>
        <w:t>Table. S1</w:t>
      </w:r>
    </w:p>
    <w:p w14:paraId="65B54564" w14:textId="77777777" w:rsidR="00B356DF" w:rsidRDefault="00B356DF" w:rsidP="00B356DF">
      <w:pPr>
        <w:pStyle w:val="xmsonormal"/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 xml:space="preserve">Datasets included in </w:t>
      </w:r>
      <w:proofErr w:type="spellStart"/>
      <w:r>
        <w:rPr>
          <w:rFonts w:ascii="Arial" w:hAnsi="Arial" w:cs="Arial"/>
          <w:color w:val="002060"/>
          <w:sz w:val="22"/>
          <w:szCs w:val="22"/>
        </w:rPr>
        <w:t>iSNAT</w:t>
      </w:r>
      <w:proofErr w:type="spellEnd"/>
      <w:r>
        <w:rPr>
          <w:rFonts w:ascii="Arial" w:hAnsi="Arial" w:cs="Arial"/>
          <w:color w:val="002060"/>
          <w:sz w:val="22"/>
          <w:szCs w:val="22"/>
        </w:rPr>
        <w:t xml:space="preserve">. The table shows newly generated and existing </w:t>
      </w:r>
      <w:proofErr w:type="spellStart"/>
      <w:r w:rsidRPr="00743EBA">
        <w:rPr>
          <w:rFonts w:ascii="Arial" w:hAnsi="Arial" w:cs="Arial"/>
          <w:color w:val="002060"/>
          <w:sz w:val="22"/>
          <w:szCs w:val="22"/>
        </w:rPr>
        <w:t>scRNAseq</w:t>
      </w:r>
      <w:proofErr w:type="spellEnd"/>
      <w:r w:rsidRPr="00743EBA">
        <w:rPr>
          <w:rFonts w:ascii="Arial" w:hAnsi="Arial" w:cs="Arial"/>
          <w:color w:val="002060"/>
          <w:sz w:val="22"/>
          <w:szCs w:val="22"/>
        </w:rPr>
        <w:t xml:space="preserve"> dataset</w:t>
      </w:r>
      <w:r>
        <w:rPr>
          <w:rFonts w:ascii="Arial" w:hAnsi="Arial" w:cs="Arial"/>
          <w:color w:val="002060"/>
          <w:sz w:val="22"/>
          <w:szCs w:val="22"/>
        </w:rPr>
        <w:t xml:space="preserve">s used in this </w:t>
      </w:r>
      <w:proofErr w:type="gramStart"/>
      <w:r>
        <w:rPr>
          <w:rFonts w:ascii="Arial" w:hAnsi="Arial" w:cs="Arial"/>
          <w:color w:val="002060"/>
          <w:sz w:val="22"/>
          <w:szCs w:val="22"/>
        </w:rPr>
        <w:t>study;</w:t>
      </w:r>
      <w:proofErr w:type="gramEnd"/>
      <w:r>
        <w:rPr>
          <w:rFonts w:ascii="Arial" w:hAnsi="Arial" w:cs="Arial"/>
          <w:color w:val="002060"/>
          <w:sz w:val="22"/>
          <w:szCs w:val="22"/>
        </w:rPr>
        <w:t xml:space="preserve"> cell numbers, replicates, statistics on reading depth and sequence saturation.  A total of 157,371 high-quality single cell transcriptomes were analyzed from naïve mouse sciatic nerve, injured sciatic nerve, and PBMC. Some of the 3-day (3d) injured nerves were divided into injury site and distal nerve and sequenced separately.  Abbreviations, SN (sciatic nerve), PBMC (peripheral blood mononuclear cells), UMI (unique molecular identifier). </w:t>
      </w:r>
    </w:p>
    <w:p w14:paraId="58E3DC4C" w14:textId="77777777" w:rsidR="00B356DF" w:rsidRDefault="00B356DF"/>
    <w:sectPr w:rsidR="00B356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6DF"/>
    <w:rsid w:val="0012045A"/>
    <w:rsid w:val="002D7DBD"/>
    <w:rsid w:val="00B35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6EB25"/>
  <w15:chartTrackingRefBased/>
  <w15:docId w15:val="{A203E9E6-6633-4DF4-8A5B-E470CDF0B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B35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484</Characters>
  <Application>Microsoft Office Word</Application>
  <DocSecurity>0</DocSecurity>
  <Lines>4</Lines>
  <Paragraphs>1</Paragraphs>
  <ScaleCrop>false</ScaleCrop>
  <Company>Michigan Medicine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Zhao, Xiaofeng</dc:creator>
  <cp:keywords/>
  <dc:description/>
  <cp:lastModifiedBy>Zhao, Xiaofeng</cp:lastModifiedBy>
  <cp:revision>1</cp:revision>
  <dcterms:created xsi:type="dcterms:W3CDTF">2022-10-20T21:40:00Z</dcterms:created>
  <dcterms:modified xsi:type="dcterms:W3CDTF">2022-10-20T21:41:00Z</dcterms:modified>
</cp:coreProperties>
</file>