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0" w:line="227" w:lineRule="auto"/>
        <w:jc w:val="center"/>
        <w:rPr>
          <w:rFonts w:ascii="Noto Sans" w:cs="Noto Sans" w:eastAsia="Noto Sans" w:hAnsi="Noto Sans"/>
          <w:b w:val="1"/>
          <w:sz w:val="18"/>
          <w:szCs w:val="18"/>
          <w:u w:val="single"/>
        </w:rPr>
      </w:pPr>
      <w:r w:rsidDel="00000000" w:rsidR="00000000" w:rsidRPr="00000000">
        <w:rPr>
          <w:rtl w:val="0"/>
        </w:rPr>
      </w:r>
    </w:p>
    <w:p w:rsidR="00000000" w:rsidDel="00000000" w:rsidP="00000000" w:rsidRDefault="00000000" w:rsidRPr="00000000" w14:paraId="00000002">
      <w:pPr>
        <w:spacing w:before="60" w:line="227" w:lineRule="auto"/>
        <w:jc w:val="center"/>
        <w:rPr>
          <w:rFonts w:ascii="Noto Sans" w:cs="Noto Sans" w:eastAsia="Noto Sans" w:hAnsi="Noto Sans"/>
          <w:b w:val="1"/>
          <w:sz w:val="18"/>
          <w:szCs w:val="18"/>
        </w:rPr>
      </w:pPr>
      <w:r w:rsidDel="00000000" w:rsidR="00000000" w:rsidRPr="00000000">
        <w:rPr>
          <w:rFonts w:ascii="Noto Sans" w:cs="Noto Sans" w:eastAsia="Noto Sans" w:hAnsi="Noto Sans"/>
          <w:b w:val="1"/>
          <w:sz w:val="18"/>
          <w:szCs w:val="18"/>
          <w:u w:val="single"/>
          <w:rtl w:val="0"/>
        </w:rPr>
        <w:t xml:space="preserve">M</w:t>
      </w:r>
      <w:r w:rsidDel="00000000" w:rsidR="00000000" w:rsidRPr="00000000">
        <w:rPr>
          <w:rFonts w:ascii="Noto Sans" w:cs="Noto Sans" w:eastAsia="Noto Sans" w:hAnsi="Noto Sans"/>
          <w:b w:val="1"/>
          <w:sz w:val="18"/>
          <w:szCs w:val="18"/>
          <w:rtl w:val="0"/>
        </w:rPr>
        <w:t xml:space="preserve">aterials </w:t>
      </w:r>
      <w:r w:rsidDel="00000000" w:rsidR="00000000" w:rsidRPr="00000000">
        <w:rPr>
          <w:rFonts w:ascii="Noto Sans" w:cs="Noto Sans" w:eastAsia="Noto Sans" w:hAnsi="Noto Sans"/>
          <w:b w:val="1"/>
          <w:sz w:val="18"/>
          <w:szCs w:val="18"/>
          <w:u w:val="single"/>
          <w:rtl w:val="0"/>
        </w:rPr>
        <w:t xml:space="preserve">D</w:t>
      </w:r>
      <w:r w:rsidDel="00000000" w:rsidR="00000000" w:rsidRPr="00000000">
        <w:rPr>
          <w:rFonts w:ascii="Noto Sans" w:cs="Noto Sans" w:eastAsia="Noto Sans" w:hAnsi="Noto Sans"/>
          <w:b w:val="1"/>
          <w:sz w:val="18"/>
          <w:szCs w:val="18"/>
          <w:rtl w:val="0"/>
        </w:rPr>
        <w:t xml:space="preserve">esign </w:t>
      </w:r>
      <w:r w:rsidDel="00000000" w:rsidR="00000000" w:rsidRPr="00000000">
        <w:rPr>
          <w:rFonts w:ascii="Noto Sans" w:cs="Noto Sans" w:eastAsia="Noto Sans" w:hAnsi="Noto Sans"/>
          <w:b w:val="1"/>
          <w:sz w:val="18"/>
          <w:szCs w:val="18"/>
          <w:u w:val="single"/>
          <w:rtl w:val="0"/>
        </w:rPr>
        <w:t xml:space="preserve">A</w:t>
      </w:r>
      <w:r w:rsidDel="00000000" w:rsidR="00000000" w:rsidRPr="00000000">
        <w:rPr>
          <w:rFonts w:ascii="Noto Sans" w:cs="Noto Sans" w:eastAsia="Noto Sans" w:hAnsi="Noto Sans"/>
          <w:b w:val="1"/>
          <w:sz w:val="18"/>
          <w:szCs w:val="18"/>
          <w:rtl w:val="0"/>
        </w:rPr>
        <w:t xml:space="preserve">nalysis </w:t>
      </w:r>
      <w:r w:rsidDel="00000000" w:rsidR="00000000" w:rsidRPr="00000000">
        <w:rPr>
          <w:rFonts w:ascii="Noto Sans" w:cs="Noto Sans" w:eastAsia="Noto Sans" w:hAnsi="Noto Sans"/>
          <w:b w:val="1"/>
          <w:sz w:val="18"/>
          <w:szCs w:val="18"/>
          <w:u w:val="single"/>
          <w:rtl w:val="0"/>
        </w:rPr>
        <w:t xml:space="preserve">R</w:t>
      </w:r>
      <w:r w:rsidDel="00000000" w:rsidR="00000000" w:rsidRPr="00000000">
        <w:rPr>
          <w:rFonts w:ascii="Noto Sans" w:cs="Noto Sans" w:eastAsia="Noto Sans" w:hAnsi="Noto Sans"/>
          <w:b w:val="1"/>
          <w:sz w:val="18"/>
          <w:szCs w:val="18"/>
          <w:rtl w:val="0"/>
        </w:rPr>
        <w:t xml:space="preserve">eporting (MDAR)</w:t>
      </w:r>
    </w:p>
    <w:p w:rsidR="00000000" w:rsidDel="00000000" w:rsidP="00000000" w:rsidRDefault="00000000" w:rsidRPr="00000000" w14:paraId="00000003">
      <w:pPr>
        <w:spacing w:before="60" w:line="227" w:lineRule="auto"/>
        <w:jc w:val="center"/>
        <w:rPr>
          <w:rFonts w:ascii="Noto Sans" w:cs="Noto Sans" w:eastAsia="Noto Sans" w:hAnsi="Noto Sans"/>
          <w:b w:val="1"/>
          <w:sz w:val="18"/>
          <w:szCs w:val="18"/>
        </w:rPr>
      </w:pPr>
      <w:r w:rsidDel="00000000" w:rsidR="00000000" w:rsidRPr="00000000">
        <w:rPr>
          <w:rFonts w:ascii="Noto Sans" w:cs="Noto Sans" w:eastAsia="Noto Sans" w:hAnsi="Noto Sans"/>
          <w:b w:val="1"/>
          <w:sz w:val="18"/>
          <w:szCs w:val="18"/>
          <w:rtl w:val="0"/>
        </w:rPr>
        <w:t xml:space="preserve">Checklist for Authors</w:t>
      </w:r>
    </w:p>
    <w:p w:rsidR="00000000" w:rsidDel="00000000" w:rsidP="00000000" w:rsidRDefault="00000000" w:rsidRPr="00000000" w14:paraId="00000004">
      <w:pPr>
        <w:rPr>
          <w:rFonts w:ascii="Noto Sans" w:cs="Noto Sans" w:eastAsia="Noto Sans" w:hAnsi="Noto Sans"/>
          <w:sz w:val="18"/>
          <w:szCs w:val="18"/>
        </w:rPr>
      </w:pPr>
      <w:r w:rsidDel="00000000" w:rsidR="00000000" w:rsidRPr="00000000">
        <w:rPr>
          <w:rtl w:val="0"/>
        </w:rPr>
      </w:r>
    </w:p>
    <w:p w:rsidR="00000000" w:rsidDel="00000000" w:rsidP="00000000" w:rsidRDefault="00000000" w:rsidRPr="00000000" w14:paraId="00000005">
      <w:pPr>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The </w:t>
      </w:r>
      <w:hyperlink r:id="rId7">
        <w:r w:rsidDel="00000000" w:rsidR="00000000" w:rsidRPr="00000000">
          <w:rPr>
            <w:rFonts w:ascii="Noto Sans" w:cs="Noto Sans" w:eastAsia="Noto Sans" w:hAnsi="Noto Sans"/>
            <w:color w:val="1155cc"/>
            <w:sz w:val="18"/>
            <w:szCs w:val="18"/>
            <w:u w:val="single"/>
            <w:rtl w:val="0"/>
          </w:rPr>
          <w:t xml:space="preserve">MDAR framework</w:t>
        </w:r>
      </w:hyperlink>
      <w:r w:rsidDel="00000000" w:rsidR="00000000" w:rsidRPr="00000000">
        <w:rPr>
          <w:rFonts w:ascii="Noto Sans" w:cs="Noto Sans" w:eastAsia="Noto Sans" w:hAnsi="Noto Sans"/>
          <w:sz w:val="18"/>
          <w:szCs w:val="18"/>
          <w:rtl w:val="0"/>
        </w:rPr>
        <w:t xml:space="preserve"> establishes a minimum set of requirements in transparent reporting mainly applicable to studies in the life sciences.</w:t>
      </w:r>
    </w:p>
    <w:p w:rsidR="00000000" w:rsidDel="00000000" w:rsidP="00000000" w:rsidRDefault="00000000" w:rsidRPr="00000000" w14:paraId="00000006">
      <w:pPr>
        <w:rPr>
          <w:rFonts w:ascii="Noto Sans" w:cs="Noto Sans" w:eastAsia="Noto Sans" w:hAnsi="Noto Sans"/>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rPr>
          <w:rFonts w:ascii="Noto Sans" w:cs="Noto Sans" w:eastAsia="Noto Sans" w:hAnsi="Noto Sans"/>
          <w:sz w:val="18"/>
          <w:szCs w:val="18"/>
        </w:rPr>
      </w:pPr>
      <w:r w:rsidDel="00000000" w:rsidR="00000000" w:rsidRPr="00000000">
        <w:rPr>
          <w:rFonts w:ascii="Noto Sans" w:cs="Noto Sans" w:eastAsia="Noto Sans" w:hAnsi="Noto Sans"/>
          <w:i w:val="1"/>
          <w:sz w:val="18"/>
          <w:szCs w:val="18"/>
          <w:rtl w:val="0"/>
        </w:rPr>
        <w:t xml:space="preserve">eLife</w:t>
      </w:r>
      <w:r w:rsidDel="00000000" w:rsidR="00000000" w:rsidRPr="00000000">
        <w:rPr>
          <w:rFonts w:ascii="Noto Sans" w:cs="Noto Sans" w:eastAsia="Noto Sans" w:hAnsi="Noto Sans"/>
          <w:sz w:val="18"/>
          <w:szCs w:val="18"/>
          <w:rtl w:val="0"/>
        </w:rPr>
        <w:t xml:space="preserve"> asks authors to </w:t>
      </w:r>
      <w:r w:rsidDel="00000000" w:rsidR="00000000" w:rsidRPr="00000000">
        <w:rPr>
          <w:rFonts w:ascii="Noto Sans" w:cs="Noto Sans" w:eastAsia="Noto Sans" w:hAnsi="Noto Sans"/>
          <w:b w:val="1"/>
          <w:sz w:val="18"/>
          <w:szCs w:val="18"/>
          <w:rtl w:val="0"/>
        </w:rPr>
        <w:t xml:space="preserve">provide detailed information within their article</w:t>
      </w:r>
      <w:r w:rsidDel="00000000" w:rsidR="00000000" w:rsidRPr="00000000">
        <w:rPr>
          <w:rFonts w:ascii="Noto Sans" w:cs="Noto Sans" w:eastAsia="Noto Sans" w:hAnsi="Noto Sans"/>
          <w:sz w:val="18"/>
          <w:szCs w:val="18"/>
          <w:rtl w:val="0"/>
        </w:rPr>
        <w:t xml:space="preserve"> to facilitate the interpretation and replication of their work. Authors can also upload supporting materials to comply with relevant reporting guidelines for health-related research (see </w:t>
      </w:r>
      <w:hyperlink r:id="rId8">
        <w:r w:rsidDel="00000000" w:rsidR="00000000" w:rsidRPr="00000000">
          <w:rPr>
            <w:rFonts w:ascii="Noto Sans" w:cs="Noto Sans" w:eastAsia="Noto Sans" w:hAnsi="Noto Sans"/>
            <w:color w:val="1155cc"/>
            <w:sz w:val="18"/>
            <w:szCs w:val="18"/>
            <w:u w:val="single"/>
            <w:rtl w:val="0"/>
          </w:rPr>
          <w:t xml:space="preserve">EQUATOR Network</w:t>
        </w:r>
      </w:hyperlink>
      <w:r w:rsidDel="00000000" w:rsidR="00000000" w:rsidRPr="00000000">
        <w:rPr>
          <w:rFonts w:ascii="Noto Sans" w:cs="Noto Sans" w:eastAsia="Noto Sans" w:hAnsi="Noto Sans"/>
          <w:sz w:val="18"/>
          <w:szCs w:val="18"/>
          <w:rtl w:val="0"/>
        </w:rPr>
        <w:t xml:space="preserve">), life science research (see the </w:t>
      </w:r>
      <w:hyperlink r:id="rId9">
        <w:r w:rsidDel="00000000" w:rsidR="00000000" w:rsidRPr="00000000">
          <w:rPr>
            <w:rFonts w:ascii="Noto Sans" w:cs="Noto Sans" w:eastAsia="Noto Sans" w:hAnsi="Noto Sans"/>
            <w:color w:val="1155cc"/>
            <w:sz w:val="18"/>
            <w:szCs w:val="18"/>
            <w:u w:val="single"/>
            <w:rtl w:val="0"/>
          </w:rPr>
          <w:t xml:space="preserve">BioSharing Information Resource</w:t>
        </w:r>
      </w:hyperlink>
      <w:r w:rsidDel="00000000" w:rsidR="00000000" w:rsidRPr="00000000">
        <w:rPr>
          <w:rFonts w:ascii="Noto Sans" w:cs="Noto Sans" w:eastAsia="Noto Sans" w:hAnsi="Noto Sans"/>
          <w:sz w:val="18"/>
          <w:szCs w:val="18"/>
          <w:rtl w:val="0"/>
        </w:rPr>
        <w:t xml:space="preserve">), or animal research (see the </w:t>
      </w:r>
      <w:hyperlink r:id="rId10">
        <w:r w:rsidDel="00000000" w:rsidR="00000000" w:rsidRPr="00000000">
          <w:rPr>
            <w:rFonts w:ascii="Noto Sans" w:cs="Noto Sans" w:eastAsia="Noto Sans" w:hAnsi="Noto Sans"/>
            <w:color w:val="1155cc"/>
            <w:sz w:val="18"/>
            <w:szCs w:val="18"/>
            <w:u w:val="single"/>
            <w:rtl w:val="0"/>
          </w:rPr>
          <w:t xml:space="preserve">ARRIVE Guidelines</w:t>
        </w:r>
      </w:hyperlink>
      <w:r w:rsidDel="00000000" w:rsidR="00000000" w:rsidRPr="00000000">
        <w:rPr>
          <w:rFonts w:ascii="Noto Sans" w:cs="Noto Sans" w:eastAsia="Noto Sans" w:hAnsi="Noto Sans"/>
          <w:sz w:val="18"/>
          <w:szCs w:val="18"/>
          <w:rtl w:val="0"/>
        </w:rPr>
        <w:t xml:space="preserve"> and the </w:t>
      </w:r>
      <w:hyperlink r:id="rId11">
        <w:r w:rsidDel="00000000" w:rsidR="00000000" w:rsidRPr="00000000">
          <w:rPr>
            <w:rFonts w:ascii="Noto Sans" w:cs="Noto Sans" w:eastAsia="Noto Sans" w:hAnsi="Noto Sans"/>
            <w:color w:val="1155cc"/>
            <w:sz w:val="18"/>
            <w:szCs w:val="18"/>
            <w:u w:val="single"/>
            <w:rtl w:val="0"/>
          </w:rPr>
          <w:t xml:space="preserve">STRANGE Framework</w:t>
        </w:r>
      </w:hyperlink>
      <w:r w:rsidDel="00000000" w:rsidR="00000000" w:rsidRPr="00000000">
        <w:rPr>
          <w:rFonts w:ascii="Noto Sans" w:cs="Noto Sans" w:eastAsia="Noto Sans" w:hAnsi="Noto Sans"/>
          <w:sz w:val="18"/>
          <w:szCs w:val="18"/>
          <w:rtl w:val="0"/>
        </w:rPr>
        <w:t xml:space="preserve">; for details, see </w:t>
      </w:r>
      <w:r w:rsidDel="00000000" w:rsidR="00000000" w:rsidRPr="00000000">
        <w:rPr>
          <w:rFonts w:ascii="Noto Sans" w:cs="Noto Sans" w:eastAsia="Noto Sans" w:hAnsi="Noto Sans"/>
          <w:i w:val="1"/>
          <w:sz w:val="18"/>
          <w:szCs w:val="18"/>
          <w:rtl w:val="0"/>
        </w:rPr>
        <w:t xml:space="preserve">eLife</w:t>
      </w:r>
      <w:r w:rsidDel="00000000" w:rsidR="00000000" w:rsidRPr="00000000">
        <w:rPr>
          <w:rFonts w:ascii="Noto Sans" w:cs="Noto Sans" w:eastAsia="Noto Sans" w:hAnsi="Noto Sans"/>
          <w:sz w:val="18"/>
          <w:szCs w:val="18"/>
          <w:rtl w:val="0"/>
        </w:rPr>
        <w:t xml:space="preserve">’s </w:t>
      </w:r>
      <w:hyperlink r:id="rId12">
        <w:r w:rsidDel="00000000" w:rsidR="00000000" w:rsidRPr="00000000">
          <w:rPr>
            <w:rFonts w:ascii="Noto Sans" w:cs="Noto Sans" w:eastAsia="Noto Sans" w:hAnsi="Noto Sans"/>
            <w:color w:val="1155cc"/>
            <w:sz w:val="18"/>
            <w:szCs w:val="18"/>
            <w:u w:val="single"/>
            <w:rtl w:val="0"/>
          </w:rPr>
          <w:t xml:space="preserve">Journal Policies</w:t>
        </w:r>
      </w:hyperlink>
      <w:r w:rsidDel="00000000" w:rsidR="00000000" w:rsidRPr="00000000">
        <w:rPr>
          <w:rFonts w:ascii="Noto Sans" w:cs="Noto Sans" w:eastAsia="Noto Sans" w:hAnsi="Noto Sans"/>
          <w:sz w:val="18"/>
          <w:szCs w:val="18"/>
          <w:rtl w:val="0"/>
        </w:rPr>
        <w:t xml:space="preserve">). Where applicable, authors should refer to any relevant reporting standards materials in this form.</w:t>
      </w:r>
    </w:p>
    <w:p w:rsidR="00000000" w:rsidDel="00000000" w:rsidP="00000000" w:rsidRDefault="00000000" w:rsidRPr="00000000" w14:paraId="00000008">
      <w:pPr>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09">
      <w:pPr>
        <w:spacing w:before="60" w:line="227"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all that apply, please note </w:t>
      </w:r>
      <w:r w:rsidDel="00000000" w:rsidR="00000000" w:rsidRPr="00000000">
        <w:rPr>
          <w:rFonts w:ascii="Noto Sans" w:cs="Noto Sans" w:eastAsia="Noto Sans" w:hAnsi="Noto Sans"/>
          <w:b w:val="1"/>
          <w:color w:val="434343"/>
          <w:sz w:val="18"/>
          <w:szCs w:val="18"/>
          <w:rtl w:val="0"/>
        </w:rPr>
        <w:t xml:space="preserve">where in the article </w:t>
      </w:r>
      <w:r w:rsidDel="00000000" w:rsidR="00000000" w:rsidRPr="00000000">
        <w:rPr>
          <w:rFonts w:ascii="Noto Sans" w:cs="Noto Sans" w:eastAsia="Noto Sans" w:hAnsi="Noto Sans"/>
          <w:color w:val="434343"/>
          <w:sz w:val="18"/>
          <w:szCs w:val="18"/>
          <w:rtl w:val="0"/>
        </w:rPr>
        <w:t xml:space="preserve">the information is provided. Please note that we also collect information about data availability and ethics in the submission form.</w:t>
      </w:r>
    </w:p>
    <w:p w:rsidR="00000000" w:rsidDel="00000000" w:rsidP="00000000" w:rsidRDefault="00000000" w:rsidRPr="00000000" w14:paraId="0000000A">
      <w:pPr>
        <w:spacing w:before="60" w:line="227" w:lineRule="auto"/>
        <w:rPr>
          <w:rFonts w:ascii="Noto Sans" w:cs="Noto Sans" w:eastAsia="Noto Sans" w:hAnsi="Noto Sans"/>
          <w:b w:val="1"/>
          <w:color w:val="434343"/>
          <w:sz w:val="18"/>
          <w:szCs w:val="18"/>
          <w:u w:val="single"/>
        </w:rPr>
      </w:pPr>
      <w:r w:rsidDel="00000000" w:rsidR="00000000" w:rsidRPr="00000000">
        <w:rPr>
          <w:rtl w:val="0"/>
        </w:rPr>
      </w:r>
    </w:p>
    <w:p w:rsidR="00000000" w:rsidDel="00000000" w:rsidP="00000000" w:rsidRDefault="00000000" w:rsidRPr="00000000" w14:paraId="0000000B">
      <w:pPr>
        <w:spacing w:before="60"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Materials:</w:t>
      </w:r>
    </w:p>
    <w:p w:rsidR="00000000" w:rsidDel="00000000" w:rsidP="00000000" w:rsidRDefault="00000000" w:rsidRPr="00000000" w14:paraId="0000000C">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1"/>
        <w:tblW w:w="972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3075"/>
        <w:gridCol w:w="1095"/>
        <w:tblGridChange w:id="0">
          <w:tblGrid>
            <w:gridCol w:w="5550"/>
            <w:gridCol w:w="3075"/>
            <w:gridCol w:w="109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Newly created materials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manuscript includes a dedicated "materials availability statement" providing transparent disclosure about availability of newly created materials including details on how materials can be accessed and describing any restrictions on access.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1">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line="225" w:lineRule="auto"/>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line="225" w:lineRule="auto"/>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Antibodies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commercial reagents, provide supplier name, catalogue number and</w:t>
            </w:r>
            <w:hyperlink r:id="rId13">
              <w:r w:rsidDel="00000000" w:rsidR="00000000" w:rsidRPr="00000000">
                <w:rPr>
                  <w:rFonts w:ascii="Noto Sans" w:cs="Noto Sans" w:eastAsia="Noto Sans" w:hAnsi="Noto Sans"/>
                  <w:color w:val="434343"/>
                  <w:sz w:val="18"/>
                  <w:szCs w:val="18"/>
                  <w:rtl w:val="0"/>
                </w:rPr>
                <w:t xml:space="preserve"> </w:t>
              </w:r>
            </w:hyperlink>
            <w:hyperlink r:id="rId14">
              <w:r w:rsidDel="00000000" w:rsidR="00000000" w:rsidRPr="00000000">
                <w:rPr>
                  <w:rFonts w:ascii="Noto Sans" w:cs="Noto Sans" w:eastAsia="Noto Sans" w:hAnsi="Noto Sans"/>
                  <w:color w:val="1155cc"/>
                  <w:sz w:val="18"/>
                  <w:szCs w:val="18"/>
                  <w:u w:val="single"/>
                  <w:rtl w:val="0"/>
                </w:rPr>
                <w:t xml:space="preserve">RRID</w:t>
              </w:r>
            </w:hyperlink>
            <w:r w:rsidDel="00000000" w:rsidR="00000000" w:rsidRPr="00000000">
              <w:rPr>
                <w:rFonts w:ascii="Noto Sans" w:cs="Noto Sans" w:eastAsia="Noto Sans" w:hAnsi="Noto Sans"/>
                <w:color w:val="434343"/>
                <w:sz w:val="18"/>
                <w:szCs w:val="18"/>
                <w:rtl w:val="0"/>
              </w:rPr>
              <w:t xml:space="preserve">, if available.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A">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D">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E">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F">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DNA and RNA sequences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7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Short novel DNA or RNA including primers, probes: Sequences should be included or deposited in a public repository.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8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rPr>
                <w:rFonts w:ascii="Noto Sans" w:cs="Noto Sans" w:eastAsia="Noto Sans" w:hAnsi="Noto Sans"/>
                <w:b w:val="1"/>
                <w:color w:val="434343"/>
                <w:sz w:val="18"/>
                <w:szCs w:val="18"/>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Cell materials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Cell lines: Provide species information, strain.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Primary cultures: Provide species, strain, sex of origin, genetic modification status.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1">
            <w:pPr>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2">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3">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animals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Laboratory animals or Model organisms: Provide species, strain, sex, age, genetic modification status.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66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Animal observed in or captured from the field: Provide species, sex, and age where possible.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E">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F">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0">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Plants and microbes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Plants: provide species and strain, ecotype and cultivar where relevant, unique accession number if available, and source (including location for collected wild specimens).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57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Microbes: provide species and strain, unique accession number if available, and source.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line="225" w:lineRule="auto"/>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A">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Human research participants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or state if these demographics were not collected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7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collected and within the bounds of privacy constraints report on age, sex, gender and ethnicity for all study participants.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52">
      <w:pPr>
        <w:spacing w:before="80" w:line="227" w:lineRule="auto"/>
        <w:rPr>
          <w:rFonts w:ascii="Noto Sans" w:cs="Noto Sans" w:eastAsia="Noto Sans" w:hAnsi="Noto Sans"/>
          <w:b w:val="1"/>
          <w:color w:val="434343"/>
          <w:sz w:val="18"/>
          <w:szCs w:val="18"/>
          <w:u w:val="single"/>
        </w:rPr>
      </w:pPr>
      <w:r w:rsidDel="00000000" w:rsidR="00000000" w:rsidRPr="00000000">
        <w:rPr>
          <w:rtl w:val="0"/>
        </w:rPr>
      </w:r>
    </w:p>
    <w:p w:rsidR="00000000" w:rsidDel="00000000" w:rsidP="00000000" w:rsidRDefault="00000000" w:rsidRPr="00000000" w14:paraId="00000053">
      <w:pPr>
        <w:spacing w:before="80" w:line="227" w:lineRule="auto"/>
        <w:rPr>
          <w:rFonts w:ascii="Noto Sans" w:cs="Noto Sans" w:eastAsia="Noto Sans" w:hAnsi="Noto Sans"/>
          <w:b w:val="1"/>
          <w:color w:val="434343"/>
          <w:sz w:val="18"/>
          <w:szCs w:val="18"/>
        </w:rPr>
      </w:pPr>
      <w:bookmarkStart w:colFirst="0" w:colLast="0" w:name="_heading=h.30j0zll" w:id="1"/>
      <w:bookmarkEnd w:id="1"/>
      <w:r w:rsidDel="00000000" w:rsidR="00000000" w:rsidRPr="00000000">
        <w:rPr>
          <w:rFonts w:ascii="Noto Sans" w:cs="Noto Sans" w:eastAsia="Noto Sans" w:hAnsi="Noto Sans"/>
          <w:b w:val="1"/>
          <w:color w:val="434343"/>
          <w:sz w:val="18"/>
          <w:szCs w:val="18"/>
          <w:rtl w:val="0"/>
        </w:rPr>
        <w:t xml:space="preserve">Design:</w:t>
      </w:r>
    </w:p>
    <w:p w:rsidR="00000000" w:rsidDel="00000000" w:rsidP="00000000" w:rsidRDefault="00000000" w:rsidRPr="00000000" w14:paraId="00000054">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2"/>
        <w:tblW w:w="969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3105"/>
        <w:gridCol w:w="990"/>
        <w:tblGridChange w:id="0">
          <w:tblGrid>
            <w:gridCol w:w="5595"/>
            <w:gridCol w:w="3105"/>
            <w:gridCol w:w="9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Study protocol</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the study protocol has been pre-registered, provide DOI. For clinical trials, provide the trial registration number OR cite DOI.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B">
            <w:pPr>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C">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D">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E">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Laboratory protocol</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Provide DOI OR other citation details if detailed step-by-step protocols are available.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4">
            <w:pPr>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gridSpan w:val="3"/>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study design (statistics details)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A">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For in vivo studies: State whether and how the following have been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If it could have been done, but was not, write “not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34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size determination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6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Randomisation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7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Blinding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9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Inclusion/exclusion criteria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9">
            <w:pPr>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A">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C">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Sample definition and in-laboratory replication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State number of times the experiment was replicated in the laboratory</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3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Define whether data describe technical or biological replicates</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5">
            <w:pPr>
              <w:rPr>
                <w:rFonts w:ascii="Noto Sans" w:cs="Noto Sans" w:eastAsia="Noto Sans" w:hAnsi="Noto Sans"/>
                <w:b w:val="1"/>
                <w:color w:val="434343"/>
                <w:sz w:val="18"/>
                <w:szCs w:val="18"/>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6">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7">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Ethics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8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human participants: State details of authority granting ethics approval (IRB or equivalent committee(s), provide reference number for </w:t>
            </w:r>
            <w:r w:rsidDel="00000000" w:rsidR="00000000" w:rsidRPr="00000000">
              <w:rPr>
                <w:rFonts w:ascii="Noto Sans" w:cs="Noto Sans" w:eastAsia="Noto Sans" w:hAnsi="Noto Sans"/>
                <w:color w:val="434343"/>
                <w:sz w:val="18"/>
                <w:szCs w:val="18"/>
                <w:rtl w:val="0"/>
              </w:rPr>
              <w:t xml:space="preserve">approval</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rPr>
                <w:rFonts w:ascii="Noto Sans" w:cs="Noto Sans" w:eastAsia="Noto Sans" w:hAnsi="Noto Sans"/>
                <w:sz w:val="18"/>
                <w:szCs w:val="18"/>
              </w:rPr>
            </w:pPr>
            <w:r w:rsidDel="00000000" w:rsidR="00000000" w:rsidRPr="00000000">
              <w:rPr>
                <w:rFonts w:ascii="Noto Sans" w:cs="Noto Sans" w:eastAsia="Noto Sans" w:hAnsi="Noto Sans"/>
                <w:color w:val="434343"/>
                <w:sz w:val="18"/>
                <w:szCs w:val="18"/>
                <w:rtl w:val="0"/>
              </w:rPr>
              <w:t xml:space="preserve">“</w:t>
            </w:r>
            <w:r w:rsidDel="00000000" w:rsidR="00000000" w:rsidRPr="00000000">
              <w:rPr>
                <w:rFonts w:ascii="Noto Sans" w:cs="Noto Sans" w:eastAsia="Noto Sans" w:hAnsi="Noto Sans"/>
                <w:sz w:val="18"/>
                <w:szCs w:val="18"/>
                <w:rtl w:val="0"/>
              </w:rPr>
              <w:t xml:space="preserve">Ethics approval and consent to participate”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experimental animals: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88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specimen and field samples: State if relevant permits obtained, provide details of authority approving study; if none were required, explain why.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4">
            <w:pPr>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7">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Dual Use Research of Concern (DURC)</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w:t>
            </w:r>
            <w:r w:rsidDel="00000000" w:rsidR="00000000" w:rsidRPr="00000000">
              <w:rPr>
                <w:rFonts w:ascii="Noto Sans" w:cs="Noto Sans" w:eastAsia="Noto Sans" w:hAnsi="Noto Sans"/>
                <w:color w:val="434343"/>
                <w:sz w:val="18"/>
                <w:szCs w:val="18"/>
                <w:highlight w:val="white"/>
                <w:rtl w:val="0"/>
              </w:rPr>
              <w:t xml:space="preserve"> study is subject to dual use research of concern regulations, state </w:t>
            </w:r>
            <w:r w:rsidDel="00000000" w:rsidR="00000000" w:rsidRPr="00000000">
              <w:rPr>
                <w:rFonts w:ascii="Noto Sans" w:cs="Noto Sans" w:eastAsia="Noto Sans" w:hAnsi="Noto Sans"/>
                <w:color w:val="434343"/>
                <w:sz w:val="18"/>
                <w:szCs w:val="18"/>
                <w:rtl w:val="0"/>
              </w:rPr>
              <w:t xml:space="preserve">the authority granting approval and reference number for the regulatory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9D">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9E">
      <w:pPr>
        <w:spacing w:before="60"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Analysis:</w:t>
      </w:r>
    </w:p>
    <w:p w:rsidR="00000000" w:rsidDel="00000000" w:rsidP="00000000" w:rsidRDefault="00000000" w:rsidRPr="00000000" w14:paraId="0000009F">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3"/>
        <w:tblW w:w="97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3165"/>
        <w:gridCol w:w="975"/>
        <w:tblGridChange w:id="0">
          <w:tblGrid>
            <w:gridCol w:w="5565"/>
            <w:gridCol w:w="3165"/>
            <w:gridCol w:w="97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Attrition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Describe whether exclusion criteria were pre-established. Report if sample or data points were omitted from analysis. If yes, report if this was due to attrition or intentional exclusion and provide justification. </w:t>
            </w:r>
          </w:p>
          <w:p w:rsidR="00000000" w:rsidDel="00000000" w:rsidP="00000000" w:rsidRDefault="00000000" w:rsidRPr="00000000" w14:paraId="000000A4">
            <w:pPr>
              <w:rPr>
                <w:rFonts w:ascii="Noto Sans" w:cs="Noto Sans" w:eastAsia="Noto Sans" w:hAnsi="Noto Sans"/>
                <w:color w:val="434343"/>
                <w:sz w:val="18"/>
                <w:szCs w:val="18"/>
              </w:rPr>
            </w:pPr>
            <w:r w:rsidDel="00000000" w:rsidR="00000000" w:rsidRPr="00000000">
              <w:rPr>
                <w:rtl w:val="0"/>
              </w:rPr>
            </w:r>
          </w:p>
          <w:p w:rsidR="00000000" w:rsidDel="00000000" w:rsidP="00000000" w:rsidRDefault="00000000" w:rsidRPr="00000000" w14:paraId="000000A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the PCAWG data, we followed the pre-established whitelist. For the HMF data, we included primary samples from each tumour.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“Methods: Curating samples”</w:t>
            </w:r>
          </w:p>
          <w:p w:rsidR="00000000" w:rsidDel="00000000" w:rsidP="00000000" w:rsidRDefault="00000000" w:rsidRPr="00000000" w14:paraId="000000A7">
            <w:pPr>
              <w:rPr>
                <w:rFonts w:ascii="Noto Sans" w:cs="Noto Sans" w:eastAsia="Noto Sans" w:hAnsi="Noto Sans"/>
                <w:sz w:val="18"/>
                <w:szCs w:val="18"/>
              </w:rPr>
            </w:pPr>
            <w:r w:rsidDel="00000000" w:rsidR="00000000" w:rsidRPr="00000000">
              <w:rPr>
                <w:rtl w:val="0"/>
              </w:rPr>
            </w:r>
          </w:p>
          <w:p w:rsidR="00000000" w:rsidDel="00000000" w:rsidP="00000000" w:rsidRDefault="00000000" w:rsidRPr="00000000" w14:paraId="000000A8">
            <w:pPr>
              <w:rPr>
                <w:rFonts w:ascii="Noto Sans" w:cs="Noto Sans" w:eastAsia="Noto Sans" w:hAnsi="Noto Sans"/>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9">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A">
            <w:pPr>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B">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C">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Statistics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1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Describe statistical tests used and justify choice of tests.</w:t>
            </w:r>
          </w:p>
          <w:p w:rsidR="00000000" w:rsidDel="00000000" w:rsidP="00000000" w:rsidRDefault="00000000" w:rsidRPr="00000000" w14:paraId="000000B1">
            <w:pPr>
              <w:rPr>
                <w:rFonts w:ascii="Noto Sans" w:cs="Noto Sans" w:eastAsia="Noto Sans" w:hAnsi="Noto Sans"/>
                <w:color w:val="434343"/>
                <w:sz w:val="18"/>
                <w:szCs w:val="18"/>
              </w:rPr>
            </w:pPr>
            <w:r w:rsidDel="00000000" w:rsidR="00000000" w:rsidRPr="00000000">
              <w:rPr>
                <w:rtl w:val="0"/>
              </w:rPr>
            </w:r>
          </w:p>
          <w:p w:rsidR="00000000" w:rsidDel="00000000" w:rsidP="00000000" w:rsidRDefault="00000000" w:rsidRPr="00000000" w14:paraId="000000B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Lasso regression: Used to select predictive features and develop predictive models. The LASSO regression (as opposed to elastic net or ridge) was selected to achieve a sparse set of associated features that could be readily interpreted. </w:t>
            </w:r>
          </w:p>
          <w:p w:rsidR="00000000" w:rsidDel="00000000" w:rsidP="00000000" w:rsidRDefault="00000000" w:rsidRPr="00000000" w14:paraId="000000B3">
            <w:pPr>
              <w:rPr>
                <w:rFonts w:ascii="Noto Sans" w:cs="Noto Sans" w:eastAsia="Noto Sans" w:hAnsi="Noto Sans"/>
                <w:color w:val="434343"/>
                <w:sz w:val="18"/>
                <w:szCs w:val="18"/>
              </w:rPr>
            </w:pPr>
            <w:r w:rsidDel="00000000" w:rsidR="00000000" w:rsidRPr="00000000">
              <w:rPr>
                <w:rtl w:val="0"/>
              </w:rPr>
            </w:r>
          </w:p>
          <w:p w:rsidR="00000000" w:rsidDel="00000000" w:rsidP="00000000" w:rsidRDefault="00000000" w:rsidRPr="00000000" w14:paraId="000000B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Permutation test: Used to non-parametrically evaluate the statistical significance of the predictive performance of each predictive model</w:t>
            </w:r>
          </w:p>
          <w:p w:rsidR="00000000" w:rsidDel="00000000" w:rsidP="00000000" w:rsidRDefault="00000000" w:rsidRPr="00000000" w14:paraId="000000B5">
            <w:pPr>
              <w:rPr>
                <w:rFonts w:ascii="Noto Sans" w:cs="Noto Sans" w:eastAsia="Noto Sans" w:hAnsi="Noto Sans"/>
                <w:color w:val="434343"/>
                <w:sz w:val="18"/>
                <w:szCs w:val="18"/>
              </w:rPr>
            </w:pPr>
            <w:r w:rsidDel="00000000" w:rsidR="00000000" w:rsidRPr="00000000">
              <w:rPr>
                <w:rtl w:val="0"/>
              </w:rPr>
            </w:r>
          </w:p>
          <w:p w:rsidR="00000000" w:rsidDel="00000000" w:rsidP="00000000" w:rsidRDefault="00000000" w:rsidRPr="00000000" w14:paraId="000000B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Wilcoxon rank-sum test: Used throughout when comparing counts of mutations in a particular pattern, between mutants and non-mutants. </w:t>
            </w:r>
          </w:p>
          <w:p w:rsidR="00000000" w:rsidDel="00000000" w:rsidP="00000000" w:rsidRDefault="00000000" w:rsidRPr="00000000" w14:paraId="000000B7">
            <w:pPr>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B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Fisher’s exact test: Tests for co-occurrence of mutations in two genes.</w:t>
            </w:r>
          </w:p>
          <w:p w:rsidR="00000000" w:rsidDel="00000000" w:rsidP="00000000" w:rsidRDefault="00000000" w:rsidRPr="00000000" w14:paraId="000000B9">
            <w:pPr>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rPr>
                <w:rFonts w:ascii="Noto Sans" w:cs="Noto Sans" w:eastAsia="Noto Sans" w:hAnsi="Noto Sans"/>
                <w:sz w:val="18"/>
                <w:szCs w:val="18"/>
              </w:rPr>
            </w:pPr>
            <w:r w:rsidDel="00000000" w:rsidR="00000000" w:rsidRPr="00000000">
              <w:rPr>
                <w:rFonts w:ascii="Noto Sans" w:cs="Noto Sans" w:eastAsia="Noto Sans" w:hAnsi="Noto Sans"/>
                <w:color w:val="434343"/>
                <w:sz w:val="18"/>
                <w:szCs w:val="18"/>
                <w:rtl w:val="0"/>
              </w:rPr>
              <w:t xml:space="preserve">Lasso: </w:t>
            </w:r>
            <w:r w:rsidDel="00000000" w:rsidR="00000000" w:rsidRPr="00000000">
              <w:rPr>
                <w:rFonts w:ascii="Noto Sans" w:cs="Noto Sans" w:eastAsia="Noto Sans" w:hAnsi="Noto Sans"/>
                <w:sz w:val="18"/>
                <w:szCs w:val="18"/>
                <w:rtl w:val="0"/>
              </w:rPr>
              <w:t xml:space="preserve">“Generating models using LASSO regression”</w:t>
            </w:r>
          </w:p>
          <w:p w:rsidR="00000000" w:rsidDel="00000000" w:rsidP="00000000" w:rsidRDefault="00000000" w:rsidRPr="00000000" w14:paraId="000000BB">
            <w:pPr>
              <w:rPr>
                <w:rFonts w:ascii="Noto Sans" w:cs="Noto Sans" w:eastAsia="Noto Sans" w:hAnsi="Noto Sans"/>
                <w:sz w:val="18"/>
                <w:szCs w:val="18"/>
              </w:rPr>
            </w:pPr>
            <w:r w:rsidDel="00000000" w:rsidR="00000000" w:rsidRPr="00000000">
              <w:rPr>
                <w:rtl w:val="0"/>
              </w:rPr>
            </w:r>
          </w:p>
          <w:p w:rsidR="00000000" w:rsidDel="00000000" w:rsidP="00000000" w:rsidRDefault="00000000" w:rsidRPr="00000000" w14:paraId="000000BC">
            <w:pPr>
              <w:rPr>
                <w:rFonts w:ascii="Noto Sans" w:cs="Noto Sans" w:eastAsia="Noto Sans" w:hAnsi="Noto Sans"/>
                <w:sz w:val="18"/>
                <w:szCs w:val="18"/>
              </w:rPr>
            </w:pPr>
            <w:r w:rsidDel="00000000" w:rsidR="00000000" w:rsidRPr="00000000">
              <w:rPr>
                <w:rFonts w:ascii="Noto Sans" w:cs="Noto Sans" w:eastAsia="Noto Sans" w:hAnsi="Noto Sans"/>
                <w:color w:val="434343"/>
                <w:sz w:val="18"/>
                <w:szCs w:val="18"/>
                <w:rtl w:val="0"/>
              </w:rPr>
              <w:t xml:space="preserve">Permutation test: </w:t>
            </w:r>
            <w:r w:rsidDel="00000000" w:rsidR="00000000" w:rsidRPr="00000000">
              <w:rPr>
                <w:rFonts w:ascii="Noto Sans" w:cs="Noto Sans" w:eastAsia="Noto Sans" w:hAnsi="Noto Sans"/>
                <w:sz w:val="18"/>
                <w:szCs w:val="18"/>
                <w:rtl w:val="0"/>
              </w:rPr>
              <w:t xml:space="preserve">“Model selection”</w:t>
            </w:r>
          </w:p>
          <w:p w:rsidR="00000000" w:rsidDel="00000000" w:rsidP="00000000" w:rsidRDefault="00000000" w:rsidRPr="00000000" w14:paraId="000000BD">
            <w:pPr>
              <w:rPr>
                <w:rFonts w:ascii="Noto Sans" w:cs="Noto Sans" w:eastAsia="Noto Sans" w:hAnsi="Noto Sans"/>
                <w:sz w:val="18"/>
                <w:szCs w:val="18"/>
              </w:rPr>
            </w:pPr>
            <w:r w:rsidDel="00000000" w:rsidR="00000000" w:rsidRPr="00000000">
              <w:rPr>
                <w:rtl w:val="0"/>
              </w:rPr>
            </w:r>
          </w:p>
          <w:p w:rsidR="00000000" w:rsidDel="00000000" w:rsidP="00000000" w:rsidRDefault="00000000" w:rsidRPr="00000000" w14:paraId="000000BE">
            <w:pPr>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Wilcoxon rank-sum test: </w:t>
              <w:br w:type="textWrapping"/>
              <w:t xml:space="preserve">”TP53 deficiencies associate with increased numbers of structural variants”; “Predictive model for SMARCA4-d in cancer of unknown primary” ; “Predictive model for HERC2-d in metastatic skin cancer”; Figure 4; Figure 6. </w:t>
            </w:r>
          </w:p>
          <w:p w:rsidR="00000000" w:rsidDel="00000000" w:rsidP="00000000" w:rsidRDefault="00000000" w:rsidRPr="00000000" w14:paraId="000000BF">
            <w:pPr>
              <w:rPr>
                <w:rFonts w:ascii="Noto Sans" w:cs="Noto Sans" w:eastAsia="Noto Sans" w:hAnsi="Noto Sans"/>
                <w:sz w:val="18"/>
                <w:szCs w:val="18"/>
              </w:rPr>
            </w:pPr>
            <w:r w:rsidDel="00000000" w:rsidR="00000000" w:rsidRPr="00000000">
              <w:rPr>
                <w:rtl w:val="0"/>
              </w:rPr>
            </w:r>
          </w:p>
          <w:p w:rsidR="00000000" w:rsidDel="00000000" w:rsidP="00000000" w:rsidRDefault="00000000" w:rsidRPr="00000000" w14:paraId="000000C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Fisher’s exact test: </w:t>
            </w:r>
          </w:p>
          <w:p w:rsidR="00000000" w:rsidDel="00000000" w:rsidP="00000000" w:rsidRDefault="00000000" w:rsidRPr="00000000" w14:paraId="000000C1">
            <w:pPr>
              <w:rPr>
                <w:rFonts w:ascii="Noto Sans" w:cs="Noto Sans" w:eastAsia="Noto Sans" w:hAnsi="Noto Sans"/>
                <w:sz w:val="18"/>
                <w:szCs w:val="18"/>
              </w:rPr>
            </w:pPr>
            <w:r w:rsidDel="00000000" w:rsidR="00000000" w:rsidRPr="00000000">
              <w:rPr>
                <w:rFonts w:ascii="Noto Sans" w:cs="Noto Sans" w:eastAsia="Noto Sans" w:hAnsi="Noto Sans"/>
                <w:color w:val="434343"/>
                <w:sz w:val="18"/>
                <w:szCs w:val="18"/>
                <w:rtl w:val="0"/>
              </w:rPr>
              <w:t xml:space="preserve">“</w:t>
            </w:r>
            <w:r w:rsidDel="00000000" w:rsidR="00000000" w:rsidRPr="00000000">
              <w:rPr>
                <w:rFonts w:ascii="Noto Sans" w:cs="Noto Sans" w:eastAsia="Noto Sans" w:hAnsi="Noto Sans"/>
                <w:color w:val="000000"/>
                <w:sz w:val="18"/>
                <w:szCs w:val="18"/>
                <w:rtl w:val="0"/>
              </w:rPr>
              <w:t xml:space="preserve">Predictive model for </w:t>
            </w:r>
            <w:r w:rsidDel="00000000" w:rsidR="00000000" w:rsidRPr="00000000">
              <w:rPr>
                <w:rFonts w:ascii="Noto Sans" w:cs="Noto Sans" w:eastAsia="Noto Sans" w:hAnsi="Noto Sans"/>
                <w:i w:val="1"/>
                <w:color w:val="000000"/>
                <w:sz w:val="18"/>
                <w:szCs w:val="18"/>
                <w:rtl w:val="0"/>
              </w:rPr>
              <w:t xml:space="preserve">HERC2-d</w:t>
            </w:r>
            <w:r w:rsidDel="00000000" w:rsidR="00000000" w:rsidRPr="00000000">
              <w:rPr>
                <w:rFonts w:ascii="Noto Sans" w:cs="Noto Sans" w:eastAsia="Noto Sans" w:hAnsi="Noto Sans"/>
                <w:color w:val="000000"/>
                <w:sz w:val="18"/>
                <w:szCs w:val="18"/>
                <w:rtl w:val="0"/>
              </w:rPr>
              <w:t xml:space="preserve"> in metastatic skin cancer</w:t>
            </w:r>
            <w:r w:rsidDel="00000000" w:rsidR="00000000" w:rsidRPr="00000000">
              <w:rPr>
                <w:rFonts w:ascii="Noto Sans" w:cs="Noto Sans" w:eastAsia="Noto Sans" w:hAnsi="Noto Sans"/>
                <w:sz w:val="18"/>
                <w:szCs w:val="18"/>
                <w:rtl w:val="0"/>
              </w:rPr>
              <w:t xml:space="preserve">”; “</w:t>
            </w:r>
            <w:r w:rsidDel="00000000" w:rsidR="00000000" w:rsidRPr="00000000">
              <w:rPr>
                <w:rFonts w:ascii="Noto Sans" w:cs="Noto Sans" w:eastAsia="Noto Sans" w:hAnsi="Noto Sans"/>
                <w:color w:val="000000"/>
                <w:sz w:val="18"/>
                <w:szCs w:val="18"/>
                <w:rtl w:val="0"/>
              </w:rPr>
              <w:t xml:space="preserve">Predictive models of </w:t>
            </w:r>
            <w:r w:rsidDel="00000000" w:rsidR="00000000" w:rsidRPr="00000000">
              <w:rPr>
                <w:rFonts w:ascii="Noto Sans" w:cs="Noto Sans" w:eastAsia="Noto Sans" w:hAnsi="Noto Sans"/>
                <w:i w:val="1"/>
                <w:color w:val="000000"/>
                <w:sz w:val="18"/>
                <w:szCs w:val="18"/>
                <w:rtl w:val="0"/>
              </w:rPr>
              <w:t xml:space="preserve">ATRX</w:t>
            </w:r>
            <w:r w:rsidDel="00000000" w:rsidR="00000000" w:rsidRPr="00000000">
              <w:rPr>
                <w:rFonts w:ascii="Noto Sans" w:cs="Noto Sans" w:eastAsia="Noto Sans" w:hAnsi="Noto Sans"/>
                <w:color w:val="000000"/>
                <w:sz w:val="18"/>
                <w:szCs w:val="18"/>
                <w:rtl w:val="0"/>
              </w:rPr>
              <w:t xml:space="preserve">-d and </w:t>
            </w:r>
            <w:r w:rsidDel="00000000" w:rsidR="00000000" w:rsidRPr="00000000">
              <w:rPr>
                <w:rFonts w:ascii="Noto Sans" w:cs="Noto Sans" w:eastAsia="Noto Sans" w:hAnsi="Noto Sans"/>
                <w:i w:val="1"/>
                <w:color w:val="000000"/>
                <w:sz w:val="18"/>
                <w:szCs w:val="18"/>
                <w:rtl w:val="0"/>
              </w:rPr>
              <w:t xml:space="preserve">IDH1</w:t>
            </w:r>
            <w:r w:rsidDel="00000000" w:rsidR="00000000" w:rsidRPr="00000000">
              <w:rPr>
                <w:rFonts w:ascii="Noto Sans" w:cs="Noto Sans" w:eastAsia="Noto Sans" w:hAnsi="Noto Sans"/>
                <w:color w:val="000000"/>
                <w:sz w:val="18"/>
                <w:szCs w:val="18"/>
                <w:rtl w:val="0"/>
              </w:rPr>
              <w:t xml:space="preserve">-d</w:t>
            </w:r>
            <w:r w:rsidDel="00000000" w:rsidR="00000000" w:rsidRPr="00000000">
              <w:rPr>
                <w:rFonts w:ascii="Noto Sans" w:cs="Noto Sans" w:eastAsia="Noto Sans" w:hAnsi="Noto Sans"/>
                <w:i w:val="1"/>
                <w:color w:val="000000"/>
                <w:sz w:val="18"/>
                <w:szCs w:val="18"/>
                <w:rtl w:val="0"/>
              </w:rPr>
              <w:t xml:space="preserve"> </w:t>
            </w:r>
            <w:r w:rsidDel="00000000" w:rsidR="00000000" w:rsidRPr="00000000">
              <w:rPr>
                <w:rFonts w:ascii="Noto Sans" w:cs="Noto Sans" w:eastAsia="Noto Sans" w:hAnsi="Noto Sans"/>
                <w:color w:val="000000"/>
                <w:sz w:val="18"/>
                <w:szCs w:val="18"/>
                <w:rtl w:val="0"/>
              </w:rPr>
              <w:t xml:space="preserve">in CNS cancers</w:t>
            </w:r>
            <w:r w:rsidDel="00000000" w:rsidR="00000000" w:rsidRPr="00000000">
              <w:rPr>
                <w:rFonts w:ascii="Noto Sans" w:cs="Noto Sans" w:eastAsia="Noto Sans" w:hAnsi="Noto Sans"/>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2">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3">
            <w:pPr>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4">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5">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2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newly created and reused datasets, the manuscript includes a data availability statement that provides details for access (or notes restrictions on access).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rPr>
                <w:sz w:val="18"/>
                <w:szCs w:val="18"/>
              </w:rPr>
            </w:pPr>
            <w:r w:rsidDel="00000000" w:rsidR="00000000" w:rsidRPr="00000000">
              <w:rPr>
                <w:rFonts w:ascii="Noto Sans" w:cs="Noto Sans" w:eastAsia="Noto Sans" w:hAnsi="Noto Sans"/>
                <w:color w:val="434343"/>
                <w:sz w:val="18"/>
                <w:szCs w:val="18"/>
                <w:rtl w:val="0"/>
              </w:rPr>
              <w:t xml:space="preserve">”</w:t>
            </w:r>
            <w:r w:rsidDel="00000000" w:rsidR="00000000" w:rsidRPr="00000000">
              <w:rPr>
                <w:rFonts w:ascii="Arial" w:cs="Arial" w:eastAsia="Arial" w:hAnsi="Arial"/>
                <w:color w:val="000000"/>
                <w:sz w:val="18"/>
                <w:szCs w:val="18"/>
                <w:rtl w:val="0"/>
              </w:rPr>
              <w:t xml:space="preserve">Availability of Data and Materials</w:t>
            </w:r>
            <w:r w:rsidDel="00000000" w:rsidR="00000000" w:rsidRPr="00000000">
              <w:rPr>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When newly created datasets are publicly available, provide accession number in repository OR DOI and licensing details where available.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r>
        <w:trPr>
          <w:cantSplit w:val="0"/>
          <w:trHeight w:val="70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F">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If reused data is publicly available provide accession number in repository OR DOI, OR URL, OR citation.</w:t>
            </w:r>
          </w:p>
          <w:p w:rsidR="00000000" w:rsidDel="00000000" w:rsidP="00000000" w:rsidRDefault="00000000" w:rsidRPr="00000000" w14:paraId="000000D0">
            <w:pPr>
              <w:rPr>
                <w:rFonts w:ascii="Noto Sans" w:cs="Noto Sans" w:eastAsia="Noto Sans" w:hAnsi="Noto Sans"/>
                <w:color w:val="434343"/>
                <w:sz w:val="18"/>
                <w:szCs w:val="18"/>
                <w:highlight w:val="white"/>
              </w:rPr>
            </w:pPr>
            <w:r w:rsidDel="00000000" w:rsidR="00000000" w:rsidRPr="00000000">
              <w:rPr>
                <w:rtl w:val="0"/>
              </w:rPr>
            </w:r>
          </w:p>
          <w:p w:rsidR="00000000" w:rsidDel="00000000" w:rsidP="00000000" w:rsidRDefault="00000000" w:rsidRPr="00000000" w14:paraId="000000D1">
            <w:pPr>
              <w:rPr>
                <w:sz w:val="18"/>
                <w:szCs w:val="18"/>
              </w:rPr>
            </w:pPr>
            <w:r w:rsidDel="00000000" w:rsidR="00000000" w:rsidRPr="00000000">
              <w:rPr>
                <w:sz w:val="18"/>
                <w:szCs w:val="18"/>
                <w:rtl w:val="0"/>
              </w:rPr>
              <w:t xml:space="preserve">The public parts of the PCAWG data set is available at </w:t>
            </w:r>
            <w:hyperlink r:id="rId15">
              <w:r w:rsidDel="00000000" w:rsidR="00000000" w:rsidRPr="00000000">
                <w:rPr>
                  <w:rFonts w:ascii="Arial" w:cs="Arial" w:eastAsia="Arial" w:hAnsi="Arial"/>
                  <w:color w:val="1155cc"/>
                  <w:sz w:val="18"/>
                  <w:szCs w:val="18"/>
                  <w:u w:val="single"/>
                  <w:rtl w:val="0"/>
                </w:rPr>
                <w:t xml:space="preserve">https://dcc.icgc.org/releases/PCAWG</w:t>
              </w:r>
            </w:hyperlink>
            <w:r w:rsidDel="00000000" w:rsidR="00000000" w:rsidRPr="00000000">
              <w:rPr>
                <w:sz w:val="18"/>
                <w:szCs w:val="18"/>
                <w:rtl w:val="0"/>
              </w:rPr>
              <w:t xml:space="preserve">, whereas controlled files may be accessed through gbGaP and DACO, as instructed on this site </w:t>
            </w:r>
            <w:hyperlink r:id="rId16">
              <w:r w:rsidDel="00000000" w:rsidR="00000000" w:rsidRPr="00000000">
                <w:rPr>
                  <w:rFonts w:ascii="Arial" w:cs="Arial" w:eastAsia="Arial" w:hAnsi="Arial"/>
                  <w:color w:val="1155cc"/>
                  <w:sz w:val="18"/>
                  <w:szCs w:val="18"/>
                  <w:u w:val="single"/>
                  <w:rtl w:val="0"/>
                </w:rPr>
                <w:t xml:space="preserve">https://docs.icgc.org/pcawg/data/</w:t>
              </w:r>
            </w:hyperlink>
            <w:r w:rsidDel="00000000" w:rsidR="00000000" w:rsidRPr="00000000">
              <w:rPr>
                <w:sz w:val="18"/>
                <w:szCs w:val="18"/>
                <w:rtl w:val="0"/>
              </w:rPr>
              <w:t xml:space="preserve">. </w:t>
            </w:r>
          </w:p>
          <w:p w:rsidR="00000000" w:rsidDel="00000000" w:rsidP="00000000" w:rsidRDefault="00000000" w:rsidRPr="00000000" w14:paraId="000000D2">
            <w:pPr>
              <w:rPr>
                <w:sz w:val="18"/>
                <w:szCs w:val="18"/>
              </w:rPr>
            </w:pPr>
            <w:r w:rsidDel="00000000" w:rsidR="00000000" w:rsidRPr="00000000">
              <w:rPr>
                <w:sz w:val="18"/>
                <w:szCs w:val="18"/>
                <w:rtl w:val="0"/>
              </w:rPr>
              <w:t xml:space="preserve">The ICGC study ID of the project is EGAS00001001692. </w:t>
            </w:r>
          </w:p>
          <w:p w:rsidR="00000000" w:rsidDel="00000000" w:rsidP="00000000" w:rsidRDefault="00000000" w:rsidRPr="00000000" w14:paraId="000000D3">
            <w:pPr>
              <w:rPr>
                <w:sz w:val="18"/>
                <w:szCs w:val="18"/>
              </w:rPr>
            </w:pPr>
            <w:r w:rsidDel="00000000" w:rsidR="00000000" w:rsidRPr="00000000">
              <w:rPr>
                <w:sz w:val="18"/>
                <w:szCs w:val="18"/>
                <w:rtl w:val="0"/>
              </w:rPr>
              <w:br w:type="textWrapping"/>
              <w:t xml:space="preserve">The HMF data used in this project may be found by accession code DR-044 and can be obtained upon request at the Hartwig Medical Foundation (</w:t>
            </w:r>
            <w:hyperlink r:id="rId17">
              <w:r w:rsidDel="00000000" w:rsidR="00000000" w:rsidRPr="00000000">
                <w:rPr>
                  <w:rFonts w:ascii="Arial" w:cs="Arial" w:eastAsia="Arial" w:hAnsi="Arial"/>
                  <w:color w:val="1155cc"/>
                  <w:sz w:val="18"/>
                  <w:szCs w:val="18"/>
                  <w:u w:val="single"/>
                  <w:rtl w:val="0"/>
                </w:rPr>
                <w:t xml:space="preserve">https://www.hartwigmedicalfoundation.nl/en</w:t>
              </w:r>
            </w:hyperlink>
            <w:r w:rsidDel="00000000" w:rsidR="00000000" w:rsidRPr="00000000">
              <w:rPr>
                <w:sz w:val="18"/>
                <w:szCs w:val="18"/>
                <w:rtl w:val="0"/>
              </w:rPr>
              <w:t xml:space="preserve">).</w:t>
            </w:r>
          </w:p>
          <w:p w:rsidR="00000000" w:rsidDel="00000000" w:rsidP="00000000" w:rsidRDefault="00000000" w:rsidRPr="00000000" w14:paraId="000000D4">
            <w:pPr>
              <w:rPr>
                <w:rFonts w:ascii="Noto Sans" w:cs="Noto Sans" w:eastAsia="Noto Sans" w:hAnsi="Noto Sans"/>
                <w:color w:val="434343"/>
                <w:sz w:val="18"/>
                <w:szCs w:val="18"/>
                <w:highlight w:val="white"/>
              </w:rPr>
            </w:pPr>
            <w:r w:rsidDel="00000000" w:rsidR="00000000" w:rsidRPr="00000000">
              <w:rPr>
                <w:rtl w:val="0"/>
              </w:rPr>
            </w:r>
          </w:p>
          <w:p w:rsidR="00000000" w:rsidDel="00000000" w:rsidP="00000000" w:rsidRDefault="00000000" w:rsidRPr="00000000" w14:paraId="000000D5">
            <w:pPr>
              <w:rPr>
                <w:rFonts w:ascii="Noto Sans" w:cs="Noto Sans" w:eastAsia="Noto Sans" w:hAnsi="Noto Sans"/>
                <w:color w:val="434343"/>
                <w:sz w:val="18"/>
                <w:szCs w:val="18"/>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t>
            </w:r>
            <w:r w:rsidDel="00000000" w:rsidR="00000000" w:rsidRPr="00000000">
              <w:rPr>
                <w:rFonts w:ascii="Arial" w:cs="Arial" w:eastAsia="Arial" w:hAnsi="Arial"/>
                <w:color w:val="000000"/>
                <w:sz w:val="18"/>
                <w:szCs w:val="18"/>
                <w:rtl w:val="0"/>
              </w:rPr>
              <w:t xml:space="preserve">Availability of Data and Materials</w:t>
            </w:r>
            <w:r w:rsidDel="00000000" w:rsidR="00000000" w:rsidRPr="00000000">
              <w:rPr>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8">
            <w:pPr>
              <w:rPr>
                <w:rFonts w:ascii="Noto Sans" w:cs="Noto Sans" w:eastAsia="Noto Sans" w:hAnsi="Noto Sans"/>
                <w:b w:val="1"/>
                <w:color w:val="434343"/>
                <w:sz w:val="18"/>
                <w:szCs w:val="18"/>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9">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DA">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B">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34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any computer code/software/mathematical algorithms essential for replicating the main findings of the study, whether newly generated or re-used, the manuscript includes a data availability statement that provides details for access or notes restrictions.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0">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Where newly generated code is publicly available, provide accession number in repository, OR DOI OR URL and licensing details where available. State any restrictions on code availability or accessibility.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4">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rtl w:val="0"/>
              </w:rPr>
              <w:t xml:space="preserve">If reused code is </w:t>
            </w:r>
            <w:r w:rsidDel="00000000" w:rsidR="00000000" w:rsidRPr="00000000">
              <w:rPr>
                <w:rFonts w:ascii="Noto Sans" w:cs="Noto Sans" w:eastAsia="Noto Sans" w:hAnsi="Noto Sans"/>
                <w:color w:val="434343"/>
                <w:sz w:val="18"/>
                <w:szCs w:val="18"/>
                <w:highlight w:val="white"/>
                <w:rtl w:val="0"/>
              </w:rPr>
              <w:t xml:space="preserve">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”Mutational patterns of single base substitutions, indels and structural variants” (citation of Signature Tools Lib)</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6">
            <w:pPr>
              <w:spacing w:line="225" w:lineRule="auto"/>
              <w:rPr>
                <w:rFonts w:ascii="Noto Sans" w:cs="Noto Sans" w:eastAsia="Noto Sans" w:hAnsi="Noto Sans"/>
                <w:color w:val="434343"/>
                <w:sz w:val="18"/>
                <w:szCs w:val="18"/>
              </w:rPr>
            </w:pPr>
            <w:r w:rsidDel="00000000" w:rsidR="00000000" w:rsidRPr="00000000">
              <w:rPr>
                <w:rtl w:val="0"/>
              </w:rPr>
            </w:r>
          </w:p>
        </w:tc>
      </w:tr>
    </w:tbl>
    <w:p w:rsidR="00000000" w:rsidDel="00000000" w:rsidP="00000000" w:rsidRDefault="00000000" w:rsidRPr="00000000" w14:paraId="000000E7">
      <w:pPr>
        <w:spacing w:before="60" w:line="227" w:lineRule="auto"/>
        <w:rPr>
          <w:rFonts w:ascii="Noto Sans" w:cs="Noto Sans" w:eastAsia="Noto Sans" w:hAnsi="Noto Sans"/>
          <w:b w:val="1"/>
          <w:color w:val="434343"/>
          <w:sz w:val="18"/>
          <w:szCs w:val="18"/>
          <w:u w:val="single"/>
        </w:rPr>
      </w:pPr>
      <w:r w:rsidDel="00000000" w:rsidR="00000000" w:rsidRPr="00000000">
        <w:rPr>
          <w:rtl w:val="0"/>
        </w:rPr>
      </w:r>
    </w:p>
    <w:p w:rsidR="00000000" w:rsidDel="00000000" w:rsidP="00000000" w:rsidRDefault="00000000" w:rsidRPr="00000000" w14:paraId="000000E8">
      <w:pPr>
        <w:spacing w:before="60" w:line="227" w:lineRule="auto"/>
        <w:rPr>
          <w:rFonts w:ascii="Noto Sans" w:cs="Noto Sans" w:eastAsia="Noto Sans" w:hAnsi="Noto Sans"/>
          <w:b w:val="1"/>
          <w:color w:val="434343"/>
          <w:sz w:val="18"/>
          <w:szCs w:val="18"/>
        </w:rPr>
      </w:pPr>
      <w:bookmarkStart w:colFirst="0" w:colLast="0" w:name="_heading=h.1fob9te" w:id="2"/>
      <w:bookmarkEnd w:id="2"/>
      <w:r w:rsidDel="00000000" w:rsidR="00000000" w:rsidRPr="00000000">
        <w:rPr>
          <w:rFonts w:ascii="Noto Sans" w:cs="Noto Sans" w:eastAsia="Noto Sans" w:hAnsi="Noto Sans"/>
          <w:b w:val="1"/>
          <w:color w:val="434343"/>
          <w:sz w:val="18"/>
          <w:szCs w:val="18"/>
          <w:rtl w:val="0"/>
        </w:rPr>
        <w:t xml:space="preserve">Reporting:</w:t>
      </w:r>
    </w:p>
    <w:p w:rsidR="00000000" w:rsidDel="00000000" w:rsidP="00000000" w:rsidRDefault="00000000" w:rsidRPr="00000000" w14:paraId="000000E9">
      <w:pPr>
        <w:spacing w:before="80" w:line="227"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MDAR framework recommends adoption of discipline-specific guidelines, established and endorsed through community initiatives.</w:t>
      </w:r>
    </w:p>
    <w:p w:rsidR="00000000" w:rsidDel="00000000" w:rsidP="00000000" w:rsidRDefault="00000000" w:rsidRPr="00000000" w14:paraId="000000EA">
      <w:pPr>
        <w:spacing w:line="227" w:lineRule="auto"/>
        <w:ind w:left="46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4"/>
        <w:tblW w:w="96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3330"/>
        <w:gridCol w:w="855"/>
        <w:tblGridChange w:id="0">
          <w:tblGrid>
            <w:gridCol w:w="5490"/>
            <w:gridCol w:w="3330"/>
            <w:gridCol w:w="8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E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Adherence to community standards</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E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E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State if relevant guidelines (e.g., ICMJE, MIBBI, ARRIVE, STRANGE) have been followed, and whether a checklist (e.g., CONSORT, PRISMA, ARRIVE) is provided with the manuscript.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F">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X</w:t>
            </w:r>
          </w:p>
        </w:tc>
      </w:tr>
    </w:tbl>
    <w:p w:rsidR="00000000" w:rsidDel="00000000" w:rsidP="00000000" w:rsidRDefault="00000000" w:rsidRPr="00000000" w14:paraId="000000F1">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F2">
      <w:pPr>
        <w:spacing w:before="80" w:lineRule="auto"/>
        <w:rPr>
          <w:rFonts w:ascii="Noto Sans" w:cs="Noto Sans" w:eastAsia="Noto Sans" w:hAnsi="Noto Sans"/>
          <w:sz w:val="18"/>
          <w:szCs w:val="18"/>
        </w:rPr>
      </w:pPr>
      <w:bookmarkStart w:colFirst="0" w:colLast="0" w:name="_heading=h.3znysh7"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rPr>
          <w:rFonts w:ascii="Noto Sans" w:cs="Noto Sans" w:eastAsia="Noto Sans" w:hAnsi="Noto Sans"/>
          <w:sz w:val="18"/>
          <w:szCs w:val="18"/>
        </w:rPr>
      </w:pPr>
      <w:r w:rsidDel="00000000" w:rsidR="00000000" w:rsidRPr="00000000">
        <w:rPr>
          <w:rtl w:val="0"/>
        </w:rPr>
      </w:r>
    </w:p>
    <w:p w:rsidR="00000000" w:rsidDel="00000000" w:rsidP="00000000" w:rsidRDefault="00000000" w:rsidRPr="00000000" w14:paraId="000000F4">
      <w:pPr>
        <w:rPr>
          <w:rFonts w:ascii="Noto Sans" w:cs="Noto Sans" w:eastAsia="Noto Sans" w:hAnsi="Noto Sans"/>
          <w:color w:val="ff0000"/>
          <w:sz w:val="18"/>
          <w:szCs w:val="18"/>
        </w:rPr>
      </w:pPr>
      <w:r w:rsidDel="00000000" w:rsidR="00000000" w:rsidRPr="00000000">
        <w:rPr>
          <w:rFonts w:ascii="Noto Sans" w:cs="Noto Sans" w:eastAsia="Noto Sans" w:hAnsi="Noto Sans"/>
          <w:sz w:val="18"/>
          <w:szCs w:val="18"/>
          <w:rtl w:val="0"/>
        </w:rPr>
        <w:t xml:space="preserve">* We provide the following guidance regarding transparent reporting and statistics; we also refer authors to </w:t>
      </w:r>
      <w:hyperlink r:id="rId18">
        <w:r w:rsidDel="00000000" w:rsidR="00000000" w:rsidRPr="00000000">
          <w:rPr>
            <w:rFonts w:ascii="Noto Sans" w:cs="Noto Sans" w:eastAsia="Noto Sans" w:hAnsi="Noto Sans"/>
            <w:color w:val="1155cc"/>
            <w:sz w:val="18"/>
            <w:szCs w:val="18"/>
            <w:u w:val="single"/>
            <w:rtl w:val="0"/>
          </w:rPr>
          <w:t xml:space="preserve">Ten common statistical mistakes to watch out for when writing or reviewing a manuscript</w:t>
        </w:r>
      </w:hyperlink>
      <w:r w:rsidDel="00000000" w:rsidR="00000000" w:rsidRPr="00000000">
        <w:rPr>
          <w:rFonts w:ascii="Noto Sans" w:cs="Noto Sans" w:eastAsia="Noto Sans" w:hAnsi="Noto Sans"/>
          <w:sz w:val="18"/>
          <w:szCs w:val="18"/>
          <w:rtl w:val="0"/>
        </w:rPr>
        <w:t xml:space="preserve">.</w:t>
      </w:r>
      <w:r w:rsidDel="00000000" w:rsidR="00000000" w:rsidRPr="00000000">
        <w:rPr>
          <w:rtl w:val="0"/>
        </w:rPr>
      </w:r>
    </w:p>
    <w:p w:rsidR="00000000" w:rsidDel="00000000" w:rsidP="00000000" w:rsidRDefault="00000000" w:rsidRPr="00000000" w14:paraId="000000F5">
      <w:pPr>
        <w:rPr>
          <w:rFonts w:ascii="Noto Sans" w:cs="Noto Sans" w:eastAsia="Noto Sans" w:hAnsi="Noto Sans"/>
          <w:sz w:val="18"/>
          <w:szCs w:val="18"/>
        </w:rPr>
      </w:pPr>
      <w:r w:rsidDel="00000000" w:rsidR="00000000" w:rsidRPr="00000000">
        <w:rPr>
          <w:rtl w:val="0"/>
        </w:rPr>
      </w:r>
    </w:p>
    <w:p w:rsidR="00000000" w:rsidDel="00000000" w:rsidP="00000000" w:rsidRDefault="00000000" w:rsidRPr="00000000" w14:paraId="000000F6">
      <w:pPr>
        <w:rPr>
          <w:rFonts w:ascii="Noto Sans" w:cs="Noto Sans" w:eastAsia="Noto Sans" w:hAnsi="Noto Sans"/>
          <w:b w:val="1"/>
          <w:sz w:val="18"/>
          <w:szCs w:val="18"/>
        </w:rPr>
      </w:pPr>
      <w:r w:rsidDel="00000000" w:rsidR="00000000" w:rsidRPr="00000000">
        <w:rPr>
          <w:rFonts w:ascii="Noto Sans" w:cs="Noto Sans" w:eastAsia="Noto Sans" w:hAnsi="Noto Sans"/>
          <w:b w:val="1"/>
          <w:sz w:val="18"/>
          <w:szCs w:val="18"/>
          <w:rtl w:val="0"/>
        </w:rPr>
        <w:t xml:space="preserve">Sample-size estimation</w:t>
      </w:r>
    </w:p>
    <w:p w:rsidR="00000000" w:rsidDel="00000000" w:rsidP="00000000" w:rsidRDefault="00000000" w:rsidRPr="00000000" w14:paraId="000000F7">
      <w:pPr>
        <w:numPr>
          <w:ilvl w:val="0"/>
          <w:numId w:val="2"/>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You should state whether an appropriate sample size was computed when the study was being designed</w:t>
      </w:r>
    </w:p>
    <w:p w:rsidR="00000000" w:rsidDel="00000000" w:rsidP="00000000" w:rsidRDefault="00000000" w:rsidRPr="00000000" w14:paraId="000000F8">
      <w:pPr>
        <w:numPr>
          <w:ilvl w:val="0"/>
          <w:numId w:val="2"/>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You should state the statistical method of sample size computation and any required assumptions</w:t>
      </w:r>
    </w:p>
    <w:p w:rsidR="00000000" w:rsidDel="00000000" w:rsidP="00000000" w:rsidRDefault="00000000" w:rsidRPr="00000000" w14:paraId="000000F9">
      <w:pPr>
        <w:numPr>
          <w:ilvl w:val="0"/>
          <w:numId w:val="2"/>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If no explicit power analysis was used, you should describe how you decided what sample (replicate) size (number) to use</w:t>
      </w:r>
    </w:p>
    <w:p w:rsidR="00000000" w:rsidDel="00000000" w:rsidP="00000000" w:rsidRDefault="00000000" w:rsidRPr="00000000" w14:paraId="000000FA">
      <w:pPr>
        <w:rPr>
          <w:rFonts w:ascii="Noto Sans" w:cs="Noto Sans" w:eastAsia="Noto Sans" w:hAnsi="Noto Sans"/>
          <w:sz w:val="18"/>
          <w:szCs w:val="18"/>
        </w:rPr>
      </w:pPr>
      <w:r w:rsidDel="00000000" w:rsidR="00000000" w:rsidRPr="00000000">
        <w:rPr>
          <w:rtl w:val="0"/>
        </w:rPr>
      </w:r>
    </w:p>
    <w:p w:rsidR="00000000" w:rsidDel="00000000" w:rsidP="00000000" w:rsidRDefault="00000000" w:rsidRPr="00000000" w14:paraId="000000FB">
      <w:pPr>
        <w:rPr>
          <w:rFonts w:ascii="Noto Sans" w:cs="Noto Sans" w:eastAsia="Noto Sans" w:hAnsi="Noto Sans"/>
          <w:b w:val="1"/>
          <w:sz w:val="18"/>
          <w:szCs w:val="18"/>
        </w:rPr>
      </w:pPr>
      <w:r w:rsidDel="00000000" w:rsidR="00000000" w:rsidRPr="00000000">
        <w:rPr>
          <w:rFonts w:ascii="Noto Sans" w:cs="Noto Sans" w:eastAsia="Noto Sans" w:hAnsi="Noto Sans"/>
          <w:b w:val="1"/>
          <w:sz w:val="18"/>
          <w:szCs w:val="18"/>
          <w:rtl w:val="0"/>
        </w:rPr>
        <w:t xml:space="preserve">Replicates</w:t>
      </w:r>
    </w:p>
    <w:p w:rsidR="00000000" w:rsidDel="00000000" w:rsidP="00000000" w:rsidRDefault="00000000" w:rsidRPr="00000000" w14:paraId="000000FC">
      <w:pPr>
        <w:numPr>
          <w:ilvl w:val="0"/>
          <w:numId w:val="4"/>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You should report how often each experiment was performed</w:t>
      </w:r>
    </w:p>
    <w:p w:rsidR="00000000" w:rsidDel="00000000" w:rsidP="00000000" w:rsidRDefault="00000000" w:rsidRPr="00000000" w14:paraId="000000FD">
      <w:pPr>
        <w:numPr>
          <w:ilvl w:val="0"/>
          <w:numId w:val="4"/>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You should include a definition of biological versus technical replication</w:t>
      </w:r>
    </w:p>
    <w:p w:rsidR="00000000" w:rsidDel="00000000" w:rsidP="00000000" w:rsidRDefault="00000000" w:rsidRPr="00000000" w14:paraId="000000FE">
      <w:pPr>
        <w:numPr>
          <w:ilvl w:val="0"/>
          <w:numId w:val="4"/>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FF">
      <w:pPr>
        <w:numPr>
          <w:ilvl w:val="0"/>
          <w:numId w:val="4"/>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If you encountered any outliers, you should describe how these were handled</w:t>
      </w:r>
    </w:p>
    <w:p w:rsidR="00000000" w:rsidDel="00000000" w:rsidP="00000000" w:rsidRDefault="00000000" w:rsidRPr="00000000" w14:paraId="00000100">
      <w:pPr>
        <w:numPr>
          <w:ilvl w:val="0"/>
          <w:numId w:val="4"/>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Criteria for exclusion/inclusion of data should be clearly stated</w:t>
      </w:r>
    </w:p>
    <w:p w:rsidR="00000000" w:rsidDel="00000000" w:rsidP="00000000" w:rsidRDefault="00000000" w:rsidRPr="00000000" w14:paraId="00000101">
      <w:pPr>
        <w:numPr>
          <w:ilvl w:val="0"/>
          <w:numId w:val="4"/>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102">
      <w:pPr>
        <w:rPr>
          <w:rFonts w:ascii="Noto Sans" w:cs="Noto Sans" w:eastAsia="Noto Sans" w:hAnsi="Noto Sans"/>
          <w:sz w:val="18"/>
          <w:szCs w:val="18"/>
        </w:rPr>
      </w:pPr>
      <w:r w:rsidDel="00000000" w:rsidR="00000000" w:rsidRPr="00000000">
        <w:rPr>
          <w:rtl w:val="0"/>
        </w:rPr>
      </w:r>
    </w:p>
    <w:p w:rsidR="00000000" w:rsidDel="00000000" w:rsidP="00000000" w:rsidRDefault="00000000" w:rsidRPr="00000000" w14:paraId="00000103">
      <w:pPr>
        <w:rPr>
          <w:rFonts w:ascii="Noto Sans" w:cs="Noto Sans" w:eastAsia="Noto Sans" w:hAnsi="Noto Sans"/>
          <w:b w:val="1"/>
          <w:sz w:val="18"/>
          <w:szCs w:val="18"/>
        </w:rPr>
      </w:pPr>
      <w:r w:rsidDel="00000000" w:rsidR="00000000" w:rsidRPr="00000000">
        <w:rPr>
          <w:rFonts w:ascii="Noto Sans" w:cs="Noto Sans" w:eastAsia="Noto Sans" w:hAnsi="Noto Sans"/>
          <w:b w:val="1"/>
          <w:sz w:val="18"/>
          <w:szCs w:val="18"/>
          <w:rtl w:val="0"/>
        </w:rPr>
        <w:t xml:space="preserve">Statistical reporting</w:t>
      </w:r>
    </w:p>
    <w:p w:rsidR="00000000" w:rsidDel="00000000" w:rsidP="00000000" w:rsidRDefault="00000000" w:rsidRPr="00000000" w14:paraId="00000104">
      <w:pPr>
        <w:numPr>
          <w:ilvl w:val="0"/>
          <w:numId w:val="3"/>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Statistical analysis methods should be described and justified</w:t>
      </w:r>
    </w:p>
    <w:p w:rsidR="00000000" w:rsidDel="00000000" w:rsidP="00000000" w:rsidRDefault="00000000" w:rsidRPr="00000000" w14:paraId="00000105">
      <w:pPr>
        <w:numPr>
          <w:ilvl w:val="0"/>
          <w:numId w:val="3"/>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Raw data should be presented in figures whenever informative to do so (typically when N per group is less than 10)</w:t>
      </w:r>
    </w:p>
    <w:p w:rsidR="00000000" w:rsidDel="00000000" w:rsidP="00000000" w:rsidRDefault="00000000" w:rsidRPr="00000000" w14:paraId="00000106">
      <w:pPr>
        <w:numPr>
          <w:ilvl w:val="0"/>
          <w:numId w:val="3"/>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107">
      <w:pPr>
        <w:numPr>
          <w:ilvl w:val="0"/>
          <w:numId w:val="3"/>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108">
      <w:pPr>
        <w:rPr>
          <w:rFonts w:ascii="Noto Sans" w:cs="Noto Sans" w:eastAsia="Noto Sans" w:hAnsi="Noto Sans"/>
          <w:sz w:val="18"/>
          <w:szCs w:val="18"/>
        </w:rPr>
      </w:pPr>
      <w:r w:rsidDel="00000000" w:rsidR="00000000" w:rsidRPr="00000000">
        <w:rPr>
          <w:rtl w:val="0"/>
        </w:rPr>
      </w:r>
    </w:p>
    <w:p w:rsidR="00000000" w:rsidDel="00000000" w:rsidP="00000000" w:rsidRDefault="00000000" w:rsidRPr="00000000" w14:paraId="00000109">
      <w:pPr>
        <w:rPr>
          <w:rFonts w:ascii="Noto Sans" w:cs="Noto Sans" w:eastAsia="Noto Sans" w:hAnsi="Noto Sans"/>
          <w:b w:val="1"/>
          <w:sz w:val="18"/>
          <w:szCs w:val="18"/>
        </w:rPr>
      </w:pPr>
      <w:r w:rsidDel="00000000" w:rsidR="00000000" w:rsidRPr="00000000">
        <w:rPr>
          <w:rFonts w:ascii="Noto Sans" w:cs="Noto Sans" w:eastAsia="Noto Sans" w:hAnsi="Noto Sans"/>
          <w:b w:val="1"/>
          <w:sz w:val="18"/>
          <w:szCs w:val="18"/>
          <w:rtl w:val="0"/>
        </w:rPr>
        <w:t xml:space="preserve">Group allocation</w:t>
      </w:r>
    </w:p>
    <w:p w:rsidR="00000000" w:rsidDel="00000000" w:rsidP="00000000" w:rsidRDefault="00000000" w:rsidRPr="00000000" w14:paraId="0000010A">
      <w:pPr>
        <w:numPr>
          <w:ilvl w:val="0"/>
          <w:numId w:val="1"/>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10B">
      <w:pPr>
        <w:numPr>
          <w:ilvl w:val="0"/>
          <w:numId w:val="1"/>
        </w:numPr>
        <w:ind w:left="720" w:hanging="360"/>
        <w:rPr>
          <w:rFonts w:ascii="Noto Sans" w:cs="Noto Sans" w:eastAsia="Noto Sans" w:hAnsi="Noto Sans"/>
          <w:sz w:val="18"/>
          <w:szCs w:val="18"/>
        </w:rPr>
      </w:pPr>
      <w:r w:rsidDel="00000000" w:rsidR="00000000" w:rsidRPr="00000000">
        <w:rPr>
          <w:rFonts w:ascii="Noto Sans" w:cs="Noto Sans" w:eastAsia="Noto Sans" w:hAnsi="Noto Sans"/>
          <w:sz w:val="18"/>
          <w:szCs w:val="18"/>
          <w:rtl w:val="0"/>
        </w:rPr>
        <w:t xml:space="preserve">Indicate if masking was used during group allocation, data collection and/or data analysis</w:t>
      </w:r>
    </w:p>
    <w:sectPr>
      <w:headerReference r:id="rId19" w:type="default"/>
      <w:headerReference r:id="rId20" w:type="first"/>
      <w:footerReference r:id="rId21" w:type="default"/>
      <w:pgSz w:h="16840" w:w="11910" w:orient="portrait"/>
      <w:pgMar w:bottom="280" w:top="1360" w:left="1040" w:right="12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o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1295400" cy="447675"/>
          <wp:effectExtent b="0" l="0" r="0" t="0"/>
          <wp:docPr descr="A picture containing text, clipart&#10;&#10;Description automatically generated" id="6"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295400" cy="4476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3506679</wp:posOffset>
          </wp:positionH>
          <wp:positionV relativeFrom="paragraph">
            <wp:posOffset>-443901</wp:posOffset>
          </wp:positionV>
          <wp:extent cx="3390900" cy="1038225"/>
          <wp:effectExtent b="0" l="0" r="0" t="0"/>
          <wp:wrapSquare wrapText="bothSides" distB="0" distT="0" distL="114300" distR="114300"/>
          <wp:docPr descr="A picture containing background pattern&#10;&#10;Description automatically generated" id="5" name="image2.jpg"/>
          <a:graphic>
            <a:graphicData uri="http://schemas.openxmlformats.org/drawingml/2006/picture">
              <pic:pic>
                <pic:nvPicPr>
                  <pic:cNvPr descr="A picture containing background pattern&#10;&#10;Description automatically generated" id="0" name="image2.jpg"/>
                  <pic:cNvPicPr preferRelativeResize="0"/>
                </pic:nvPicPr>
                <pic:blipFill>
                  <a:blip r:embed="rId2"/>
                  <a:srcRect b="0" l="55162" r="0" t="0"/>
                  <a:stretch>
                    <a:fillRect/>
                  </a:stretch>
                </pic:blipFill>
                <pic:spPr>
                  <a:xfrm>
                    <a:off x="0" y="0"/>
                    <a:ext cx="3390900" cy="103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D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C1366"/>
    <w:pPr>
      <w:widowControl w:val="1"/>
    </w:pPr>
    <w:rPr>
      <w:rFonts w:ascii="Times New Roman" w:cs="Times New Roman" w:eastAsia="Times New Roman" w:hAnsi="Times New Roman"/>
      <w:sz w:val="24"/>
      <w:szCs w:val="24"/>
      <w:lang w:val="en-DK"/>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val="1"/>
    <w:rsid w:val="004E2C31"/>
    <w:pPr>
      <w:tabs>
        <w:tab w:val="center" w:pos="4513"/>
        <w:tab w:val="right" w:pos="9026"/>
      </w:tabs>
    </w:pPr>
  </w:style>
  <w:style w:type="character" w:styleId="FooterChar" w:customStyle="1">
    <w:name w:val="Footer Char"/>
    <w:basedOn w:val="DefaultParagraphFont"/>
    <w:link w:val="Footer"/>
    <w:uiPriority w:val="99"/>
    <w:rsid w:val="004E2C31"/>
  </w:style>
  <w:style w:type="paragraph" w:styleId="NormalWeb">
    <w:name w:val="Normal (Web)"/>
    <w:basedOn w:val="Normal"/>
    <w:uiPriority w:val="99"/>
    <w:unhideWhenUsed w:val="1"/>
    <w:rsid w:val="00272290"/>
    <w:pPr>
      <w:spacing w:after="100" w:afterAutospacing="1" w:before="100" w:beforeAutospacing="1"/>
    </w:pPr>
  </w:style>
  <w:style w:type="character" w:styleId="CommentReference">
    <w:name w:val="annotation reference"/>
    <w:basedOn w:val="DefaultParagraphFont"/>
    <w:uiPriority w:val="99"/>
    <w:semiHidden w:val="1"/>
    <w:unhideWhenUsed w:val="1"/>
    <w:rsid w:val="00272290"/>
    <w:rPr>
      <w:sz w:val="16"/>
      <w:szCs w:val="16"/>
    </w:rPr>
  </w:style>
  <w:style w:type="paragraph" w:styleId="CommentText">
    <w:name w:val="annotation text"/>
    <w:basedOn w:val="Normal"/>
    <w:link w:val="CommentTextChar"/>
    <w:uiPriority w:val="99"/>
    <w:semiHidden w:val="1"/>
    <w:unhideWhenUsed w:val="1"/>
    <w:rsid w:val="00272290"/>
    <w:rPr>
      <w:sz w:val="20"/>
      <w:szCs w:val="20"/>
    </w:rPr>
  </w:style>
  <w:style w:type="character" w:styleId="CommentTextChar" w:customStyle="1">
    <w:name w:val="Comment Text Char"/>
    <w:basedOn w:val="DefaultParagraphFont"/>
    <w:link w:val="CommentText"/>
    <w:uiPriority w:val="99"/>
    <w:semiHidden w:val="1"/>
    <w:rsid w:val="00272290"/>
    <w:rPr>
      <w:sz w:val="20"/>
      <w:szCs w:val="20"/>
    </w:rPr>
  </w:style>
  <w:style w:type="paragraph" w:styleId="CommentSubject">
    <w:name w:val="annotation subject"/>
    <w:basedOn w:val="CommentText"/>
    <w:next w:val="CommentText"/>
    <w:link w:val="CommentSubjectChar"/>
    <w:uiPriority w:val="99"/>
    <w:semiHidden w:val="1"/>
    <w:unhideWhenUsed w:val="1"/>
    <w:rsid w:val="00272290"/>
    <w:rPr>
      <w:b w:val="1"/>
      <w:bCs w:val="1"/>
    </w:rPr>
  </w:style>
  <w:style w:type="character" w:styleId="CommentSubjectChar" w:customStyle="1">
    <w:name w:val="Comment Subject Char"/>
    <w:basedOn w:val="CommentTextChar"/>
    <w:link w:val="CommentSubject"/>
    <w:uiPriority w:val="99"/>
    <w:semiHidden w:val="1"/>
    <w:rsid w:val="00272290"/>
    <w:rPr>
      <w:b w:val="1"/>
      <w:bCs w:val="1"/>
      <w:sz w:val="20"/>
      <w:szCs w:val="20"/>
    </w:rPr>
  </w:style>
  <w:style w:type="character" w:styleId="Hyperlink">
    <w:name w:val="Hyperlink"/>
    <w:basedOn w:val="DefaultParagraphFont"/>
    <w:uiPriority w:val="99"/>
    <w:semiHidden w:val="1"/>
    <w:unhideWhenUsed w:val="1"/>
    <w:rsid w:val="00272290"/>
    <w:rPr>
      <w:color w:val="0000ff"/>
      <w:u w:val="single"/>
    </w:rPr>
  </w:style>
  <w:style w:type="character" w:styleId="FollowedHyperlink">
    <w:name w:val="FollowedHyperlink"/>
    <w:basedOn w:val="DefaultParagraphFont"/>
    <w:uiPriority w:val="99"/>
    <w:semiHidden w:val="1"/>
    <w:unhideWhenUsed w:val="1"/>
    <w:rsid w:val="007C1366"/>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doi.org/10.1038/d41586-020-01751-5" TargetMode="External"/><Relationship Id="rId10" Type="http://schemas.openxmlformats.org/officeDocument/2006/relationships/hyperlink" Target="http://www.plosbiology.org/article/info:doi/10.1371/journal.pbio.1000412" TargetMode="External"/><Relationship Id="rId21" Type="http://schemas.openxmlformats.org/officeDocument/2006/relationships/footer" Target="footer1.xml"/><Relationship Id="rId13" Type="http://schemas.openxmlformats.org/officeDocument/2006/relationships/hyperlink" Target="https://scicrunch.org/resources" TargetMode="External"/><Relationship Id="rId12" Type="http://schemas.openxmlformats.org/officeDocument/2006/relationships/hyperlink" Target="https://reviewer.elifesciences.org/author-guide/journal-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osharing.org/" TargetMode="External"/><Relationship Id="rId15" Type="http://schemas.openxmlformats.org/officeDocument/2006/relationships/hyperlink" Target="https://dcc.icgc.org/releases/PCAWG" TargetMode="External"/><Relationship Id="rId14" Type="http://schemas.openxmlformats.org/officeDocument/2006/relationships/hyperlink" Target="https://scicrunch.org/resources" TargetMode="External"/><Relationship Id="rId17" Type="http://schemas.openxmlformats.org/officeDocument/2006/relationships/hyperlink" Target="https://www.hartwigmedicalfoundation.nl/en" TargetMode="External"/><Relationship Id="rId16" Type="http://schemas.openxmlformats.org/officeDocument/2006/relationships/hyperlink" Target="https://docs.icgc.org/pcawg/data/"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yperlink" Target="https://doi.org/10.7554/eLife.48175" TargetMode="Externa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2VJaPA2a/Q6N30XlCiI7s9CerA==">AMUW2mWrLEY6FGMlIvY/dt/bsmyCz7nZf3yGZBs6rPN4TiBA0i97bgpWv1CFCyWJtztMEIqzXHbU9KxqLjpFFogUDM+8gBX4Fqosj1sAo8rjGZxCSGKD5qGPRshFgWbm6Lt5F/CHYuGTdEU8iMKgs46pJwDCWEfswhVAmrKr28Xa9bcdd1/Epi0=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cp:coreProperties>
</file>