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6FA9" w14:textId="2D84E3B2" w:rsidR="00602B3A" w:rsidRPr="00602B3A" w:rsidRDefault="00602B3A" w:rsidP="00602B3A">
      <w:pPr>
        <w:pStyle w:val="TableandFigureTitles"/>
        <w:rPr>
          <w:szCs w:val="20"/>
        </w:rPr>
      </w:pPr>
      <w:r w:rsidRPr="00602B3A">
        <w:rPr>
          <w:szCs w:val="20"/>
        </w:rPr>
        <w:t xml:space="preserve">Supplementary Table 2. </w:t>
      </w:r>
      <w:r w:rsidRPr="00602B3A">
        <w:rPr>
          <w:b w:val="0"/>
          <w:bCs/>
          <w:szCs w:val="20"/>
        </w:rPr>
        <w:t xml:space="preserve">Characteristics of included systematic reviews </w:t>
      </w:r>
      <w:r w:rsidRPr="00602B3A">
        <w:rPr>
          <w:rStyle w:val="Heading2Char"/>
          <w:rFonts w:ascii="Helvetica" w:hAnsi="Helvetica"/>
          <w:b w:val="0"/>
          <w:bCs/>
          <w:color w:val="000000" w:themeColor="text1"/>
          <w:sz w:val="20"/>
          <w:szCs w:val="20"/>
        </w:rPr>
        <w:t>on the association between time to cancer diagnosis and treatment and clinical outcomes</w:t>
      </w:r>
      <w:r w:rsidRPr="00602B3A">
        <w:rPr>
          <w:b w:val="0"/>
          <w:bCs/>
          <w:szCs w:val="20"/>
        </w:rPr>
        <w:t xml:space="preserve"> 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2554"/>
        <w:gridCol w:w="3820"/>
        <w:gridCol w:w="1276"/>
        <w:gridCol w:w="1417"/>
        <w:gridCol w:w="1560"/>
        <w:gridCol w:w="4110"/>
      </w:tblGrid>
      <w:tr w:rsidR="00602B3A" w:rsidRPr="008A1F4C" w14:paraId="10E95AEC" w14:textId="77777777" w:rsidTr="000C660B">
        <w:trPr>
          <w:trHeight w:val="58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A40E" w14:textId="77777777" w:rsidR="00602B3A" w:rsidRPr="008A1F4C" w:rsidRDefault="00602B3A" w:rsidP="000C660B">
            <w:pPr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First author (year)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51B9" w14:textId="77777777" w:rsidR="00602B3A" w:rsidRPr="008A1F4C" w:rsidRDefault="00602B3A" w:rsidP="000C660B">
            <w:pPr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Databases searched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1F97" w14:textId="77777777" w:rsidR="00602B3A" w:rsidRPr="008A1F4C" w:rsidRDefault="00602B3A" w:rsidP="000C660B">
            <w:pPr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Number of hits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C796" w14:textId="77777777" w:rsidR="00602B3A" w:rsidRPr="008A1F4C" w:rsidRDefault="00602B3A" w:rsidP="000C660B">
            <w:pPr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Number of included studies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9643" w14:textId="77777777" w:rsidR="00602B3A" w:rsidRPr="008A1F4C" w:rsidRDefault="00602B3A" w:rsidP="000C660B">
            <w:pPr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Total Number of participants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8133" w14:textId="77777777" w:rsidR="00602B3A" w:rsidRPr="008A1F4C" w:rsidRDefault="00602B3A" w:rsidP="000C660B">
            <w:pPr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Countries in which studies were conducted</w:t>
            </w:r>
          </w:p>
        </w:tc>
      </w:tr>
      <w:tr w:rsidR="00602B3A" w:rsidRPr="008A1F4C" w14:paraId="3AE8A094" w14:textId="77777777" w:rsidTr="000C660B">
        <w:trPr>
          <w:trHeight w:val="3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B798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A1F4C">
              <w:rPr>
                <w:color w:val="000000" w:themeColor="text1"/>
                <w:sz w:val="18"/>
                <w:szCs w:val="18"/>
              </w:rPr>
              <w:t>Brasme</w:t>
            </w:r>
            <w:proofErr w:type="spellEnd"/>
            <w:r w:rsidRPr="008A1F4C">
              <w:rPr>
                <w:color w:val="000000" w:themeColor="text1"/>
                <w:sz w:val="18"/>
                <w:szCs w:val="18"/>
              </w:rPr>
              <w:t xml:space="preserve"> (2012) </w:t>
            </w:r>
            <w:r>
              <w:rPr>
                <w:noProof/>
                <w:color w:val="000000" w:themeColor="text1"/>
                <w:sz w:val="18"/>
                <w:szCs w:val="18"/>
              </w:rPr>
              <w:t>(28)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3455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EMBASE, Science Citation Index, Google Scholar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9339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6,412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AC3B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0197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22,619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D37F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</w:tr>
      <w:tr w:rsidR="00602B3A" w:rsidRPr="008A1F4C" w14:paraId="54953690" w14:textId="77777777" w:rsidTr="000C660B">
        <w:trPr>
          <w:trHeight w:val="173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27C2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van den Bergh (2013) </w:t>
            </w:r>
            <w:r>
              <w:rPr>
                <w:noProof/>
                <w:color w:val="000000" w:themeColor="text1"/>
                <w:sz w:val="18"/>
                <w:szCs w:val="18"/>
              </w:rPr>
              <w:t>(24)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F6BA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PubMed and EMBASE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E85A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4,950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BA08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AFFA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34,517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F964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</w:tr>
      <w:tr w:rsidR="00602B3A" w:rsidRPr="008A1F4C" w14:paraId="4398DA05" w14:textId="77777777" w:rsidTr="000C660B">
        <w:trPr>
          <w:trHeight w:val="17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05DB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A1F4C">
              <w:rPr>
                <w:color w:val="000000" w:themeColor="text1"/>
                <w:sz w:val="18"/>
                <w:szCs w:val="18"/>
              </w:rPr>
              <w:t>Doubeni</w:t>
            </w:r>
            <w:proofErr w:type="spellEnd"/>
            <w:r w:rsidRPr="008A1F4C">
              <w:rPr>
                <w:color w:val="000000" w:themeColor="text1"/>
                <w:sz w:val="18"/>
                <w:szCs w:val="18"/>
              </w:rPr>
              <w:t xml:space="preserve"> (2018) </w:t>
            </w:r>
            <w:r>
              <w:rPr>
                <w:noProof/>
                <w:color w:val="000000" w:themeColor="text1"/>
                <w:sz w:val="18"/>
                <w:szCs w:val="18"/>
              </w:rPr>
              <w:t>(30)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90B3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MEDLINE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23D5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4,979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5F26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F431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77,035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EF44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Canada, France, USA</w:t>
            </w:r>
          </w:p>
        </w:tc>
      </w:tr>
      <w:tr w:rsidR="00602B3A" w:rsidRPr="008A1F4C" w14:paraId="52777F6C" w14:textId="77777777" w:rsidTr="000C660B">
        <w:trPr>
          <w:trHeight w:val="16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D53F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Foster (2013) </w:t>
            </w:r>
            <w:r>
              <w:rPr>
                <w:noProof/>
                <w:color w:val="000000" w:themeColor="text1"/>
                <w:sz w:val="18"/>
                <w:szCs w:val="18"/>
              </w:rPr>
              <w:t>(26)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AD27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MEDLINE, EMBASE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6DCA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2,111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8FD7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DA16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2,628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5390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</w:tr>
      <w:tr w:rsidR="00602B3A" w:rsidRPr="008A1F4C" w14:paraId="5622EF0D" w14:textId="77777777" w:rsidTr="000C660B">
        <w:trPr>
          <w:trHeight w:val="69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3058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A1F4C">
              <w:rPr>
                <w:color w:val="000000" w:themeColor="text1"/>
                <w:sz w:val="18"/>
                <w:szCs w:val="18"/>
              </w:rPr>
              <w:t>Lethaby</w:t>
            </w:r>
            <w:proofErr w:type="spellEnd"/>
            <w:r w:rsidRPr="008A1F4C">
              <w:rPr>
                <w:color w:val="000000" w:themeColor="text1"/>
                <w:sz w:val="18"/>
                <w:szCs w:val="18"/>
              </w:rPr>
              <w:t xml:space="preserve"> (2013) </w:t>
            </w:r>
            <w:r>
              <w:rPr>
                <w:noProof/>
                <w:color w:val="000000" w:themeColor="text1"/>
                <w:sz w:val="18"/>
                <w:szCs w:val="18"/>
              </w:rPr>
              <w:t>(29)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7F33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Medline, EMBASE, EMBASE Classic, Centre for Reviews and Dissemination databases, Cochrane Library, Medline In-Process, Other Non-Indexed Citations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C28F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1,665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CBAD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A2FC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11,016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7031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France, Denmark, Israel, UK, Japan, Switzerland, Germany, Canada, USA, China, Brazil, Belgium, Italy, Hong Kong, Singapore, Turkey, South Africa, Nigeria, Sweden</w:t>
            </w:r>
          </w:p>
        </w:tc>
      </w:tr>
      <w:tr w:rsidR="00602B3A" w:rsidRPr="008A1F4C" w14:paraId="40643518" w14:textId="77777777" w:rsidTr="000C660B">
        <w:trPr>
          <w:trHeight w:val="69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AB1B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Neal (2015) </w:t>
            </w:r>
            <w:r>
              <w:rPr>
                <w:noProof/>
                <w:color w:val="000000" w:themeColor="text1"/>
                <w:sz w:val="18"/>
                <w:szCs w:val="18"/>
              </w:rPr>
              <w:t>(20)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D511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MEDLINE, MEDLINE in-process, EMBASE, Cumulative Index to Nursing and Allied Health Literature, </w:t>
            </w:r>
            <w:proofErr w:type="spellStart"/>
            <w:r w:rsidRPr="008A1F4C">
              <w:rPr>
                <w:color w:val="000000" w:themeColor="text1"/>
                <w:sz w:val="18"/>
                <w:szCs w:val="18"/>
              </w:rPr>
              <w:t>PsychINFO</w:t>
            </w:r>
            <w:proofErr w:type="spellEnd"/>
            <w:r w:rsidRPr="008A1F4C">
              <w:rPr>
                <w:color w:val="000000" w:themeColor="text1"/>
                <w:sz w:val="18"/>
                <w:szCs w:val="18"/>
              </w:rPr>
              <w:t>, Cochrane Central Register of Controlled Trials, Database of Abstracts of Reviews of Effects, Cochrane Database of Systematic Reviews, Health Technology Assessment Database, NHS Economic Evaluation database.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D819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193,077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18A5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1216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401,706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ACE8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UK, Italy, Spain, Netherlands, Denmark, Finland, France, Norway, Switzerland, Sweden, Germany, Poland, Austria, Belgium, Romania, Greece, Denmark, India, Japan, China, Hong Kong, Malaysia, South Korea, USA, Canada, Brazil, Turkey, Israel, Australia, New Zealand, Saudi Arabia, Libya, South Africa</w:t>
            </w:r>
          </w:p>
        </w:tc>
      </w:tr>
      <w:tr w:rsidR="00602B3A" w:rsidRPr="001909FF" w14:paraId="0907794F" w14:textId="77777777" w:rsidTr="000C660B">
        <w:trPr>
          <w:trHeight w:val="63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BA60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A1F4C">
              <w:rPr>
                <w:color w:val="000000" w:themeColor="text1"/>
                <w:sz w:val="18"/>
                <w:szCs w:val="18"/>
              </w:rPr>
              <w:t>Graboyes</w:t>
            </w:r>
            <w:proofErr w:type="spellEnd"/>
            <w:r w:rsidRPr="008A1F4C">
              <w:rPr>
                <w:color w:val="000000" w:themeColor="text1"/>
                <w:sz w:val="18"/>
                <w:szCs w:val="18"/>
              </w:rPr>
              <w:t xml:space="preserve"> (2018) </w:t>
            </w:r>
            <w:r>
              <w:rPr>
                <w:noProof/>
                <w:color w:val="000000" w:themeColor="text1"/>
                <w:sz w:val="18"/>
                <w:szCs w:val="18"/>
              </w:rPr>
              <w:t>(23)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DAD9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PubMed, EMBASE, Cumulative Index to Nursing and Allied Health Literature, Cochrane Library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BF33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F7D9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FE18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DCC0" w14:textId="77777777" w:rsidR="00602B3A" w:rsidRPr="00F503EC" w:rsidRDefault="00602B3A" w:rsidP="000C660B">
            <w:pPr>
              <w:contextualSpacing/>
              <w:rPr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00F503EC">
              <w:rPr>
                <w:color w:val="000000" w:themeColor="text1"/>
                <w:sz w:val="18"/>
                <w:szCs w:val="18"/>
                <w:lang w:val="es-ES"/>
              </w:rPr>
              <w:t>Netherlands</w:t>
            </w:r>
            <w:proofErr w:type="spellEnd"/>
            <w:r w:rsidRPr="00F503EC">
              <w:rPr>
                <w:color w:val="000000" w:themeColor="text1"/>
                <w:sz w:val="18"/>
                <w:szCs w:val="18"/>
                <w:lang w:val="es-ES"/>
              </w:rPr>
              <w:t xml:space="preserve">, USA, </w:t>
            </w:r>
            <w:proofErr w:type="spellStart"/>
            <w:r w:rsidRPr="00F503EC">
              <w:rPr>
                <w:color w:val="000000" w:themeColor="text1"/>
                <w:sz w:val="18"/>
                <w:szCs w:val="18"/>
                <w:lang w:val="es-ES"/>
              </w:rPr>
              <w:t>Canada</w:t>
            </w:r>
            <w:proofErr w:type="spellEnd"/>
            <w:r w:rsidRPr="00F503EC">
              <w:rPr>
                <w:color w:val="000000" w:themeColor="text1"/>
                <w:sz w:val="18"/>
                <w:szCs w:val="18"/>
                <w:lang w:val="es-ES"/>
              </w:rPr>
              <w:t xml:space="preserve">, South </w:t>
            </w:r>
            <w:proofErr w:type="spellStart"/>
            <w:r w:rsidRPr="00F503EC">
              <w:rPr>
                <w:color w:val="000000" w:themeColor="text1"/>
                <w:sz w:val="18"/>
                <w:szCs w:val="18"/>
                <w:lang w:val="es-ES"/>
              </w:rPr>
              <w:t>Korea</w:t>
            </w:r>
            <w:proofErr w:type="spellEnd"/>
          </w:p>
        </w:tc>
      </w:tr>
      <w:tr w:rsidR="00602B3A" w:rsidRPr="001909FF" w14:paraId="651E9020" w14:textId="77777777" w:rsidTr="000C660B">
        <w:trPr>
          <w:trHeight w:val="6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9114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Hansen (2018) </w:t>
            </w:r>
            <w:r>
              <w:rPr>
                <w:noProof/>
                <w:color w:val="000000" w:themeColor="text1"/>
                <w:sz w:val="18"/>
                <w:szCs w:val="18"/>
              </w:rPr>
              <w:t>(22)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B41B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PubMed, EMBASE, Cumulative Index to Nursing and Allied Health Literature, Cochrane Library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7C26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3,259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9FE3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9863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13,514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EE66" w14:textId="77777777" w:rsidR="00602B3A" w:rsidRPr="00F503EC" w:rsidRDefault="00602B3A" w:rsidP="000C660B">
            <w:pPr>
              <w:contextualSpacing/>
              <w:rPr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00F503EC">
              <w:rPr>
                <w:color w:val="000000" w:themeColor="text1"/>
                <w:sz w:val="18"/>
                <w:szCs w:val="18"/>
                <w:lang w:val="es-ES"/>
              </w:rPr>
              <w:t>Denmark</w:t>
            </w:r>
            <w:proofErr w:type="spellEnd"/>
            <w:r w:rsidRPr="00F503EC">
              <w:rPr>
                <w:color w:val="000000" w:themeColor="text1"/>
                <w:sz w:val="18"/>
                <w:szCs w:val="18"/>
                <w:lang w:val="es-ES"/>
              </w:rPr>
              <w:t xml:space="preserve">, USA, </w:t>
            </w:r>
            <w:proofErr w:type="spellStart"/>
            <w:r w:rsidRPr="00F503EC">
              <w:rPr>
                <w:color w:val="000000" w:themeColor="text1"/>
                <w:sz w:val="18"/>
                <w:szCs w:val="18"/>
                <w:lang w:val="es-ES"/>
              </w:rPr>
              <w:t>Canada</w:t>
            </w:r>
            <w:proofErr w:type="spellEnd"/>
            <w:r w:rsidRPr="00F503EC">
              <w:rPr>
                <w:color w:val="000000" w:themeColor="text1"/>
                <w:sz w:val="18"/>
                <w:szCs w:val="18"/>
                <w:lang w:val="es-ES"/>
              </w:rPr>
              <w:t xml:space="preserve">, South </w:t>
            </w:r>
            <w:proofErr w:type="spellStart"/>
            <w:r w:rsidRPr="00F503EC">
              <w:rPr>
                <w:color w:val="000000" w:themeColor="text1"/>
                <w:sz w:val="18"/>
                <w:szCs w:val="18"/>
                <w:lang w:val="es-ES"/>
              </w:rPr>
              <w:t>Korea</w:t>
            </w:r>
            <w:proofErr w:type="spellEnd"/>
          </w:p>
        </w:tc>
      </w:tr>
      <w:tr w:rsidR="00602B3A" w:rsidRPr="001909FF" w14:paraId="598CF53A" w14:textId="77777777" w:rsidTr="000C660B">
        <w:trPr>
          <w:trHeight w:val="638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09FE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A1F4C">
              <w:rPr>
                <w:color w:val="000000" w:themeColor="text1"/>
                <w:sz w:val="18"/>
                <w:szCs w:val="18"/>
              </w:rPr>
              <w:t>Mattosinho</w:t>
            </w:r>
            <w:proofErr w:type="spellEnd"/>
            <w:r w:rsidRPr="008A1F4C">
              <w:rPr>
                <w:color w:val="000000" w:themeColor="text1"/>
                <w:sz w:val="18"/>
                <w:szCs w:val="18"/>
              </w:rPr>
              <w:t xml:space="preserve"> (2019) </w:t>
            </w:r>
            <w:r>
              <w:rPr>
                <w:noProof/>
                <w:color w:val="000000" w:themeColor="text1"/>
                <w:sz w:val="18"/>
                <w:szCs w:val="18"/>
              </w:rPr>
              <w:t>(27)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4477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  <w:lang w:val="pt-BR"/>
              </w:rPr>
            </w:pPr>
            <w:proofErr w:type="spellStart"/>
            <w:r w:rsidRPr="008A1F4C">
              <w:rPr>
                <w:color w:val="000000" w:themeColor="text1"/>
                <w:sz w:val="18"/>
                <w:szCs w:val="18"/>
                <w:lang w:val="pt-BR"/>
              </w:rPr>
              <w:t>PubMed</w:t>
            </w:r>
            <w:proofErr w:type="spellEnd"/>
            <w:r w:rsidRPr="008A1F4C">
              <w:rPr>
                <w:color w:val="000000" w:themeColor="text1"/>
                <w:sz w:val="18"/>
                <w:szCs w:val="18"/>
                <w:lang w:val="pt-BR"/>
              </w:rPr>
              <w:t xml:space="preserve">/MEDLINE, Literatura Latino-Americana e do Caribe em Ciências da Saúde, </w:t>
            </w:r>
            <w:proofErr w:type="spellStart"/>
            <w:r w:rsidRPr="008A1F4C">
              <w:rPr>
                <w:color w:val="000000" w:themeColor="text1"/>
                <w:sz w:val="18"/>
                <w:szCs w:val="18"/>
                <w:lang w:val="pt-BR"/>
              </w:rPr>
              <w:t>Scientific</w:t>
            </w:r>
            <w:proofErr w:type="spellEnd"/>
            <w:r w:rsidRPr="008A1F4C">
              <w:rPr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A1F4C">
              <w:rPr>
                <w:color w:val="000000" w:themeColor="text1"/>
                <w:sz w:val="18"/>
                <w:szCs w:val="18"/>
                <w:lang w:val="pt-BR"/>
              </w:rPr>
              <w:t>Electronic</w:t>
            </w:r>
            <w:proofErr w:type="spellEnd"/>
            <w:r w:rsidRPr="008A1F4C">
              <w:rPr>
                <w:color w:val="000000" w:themeColor="text1"/>
                <w:sz w:val="18"/>
                <w:szCs w:val="18"/>
                <w:lang w:val="pt-BR"/>
              </w:rPr>
              <w:t xml:space="preserve"> Library Online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7859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D68E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F8E6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1,560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7E61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  <w:lang w:val="es-419"/>
              </w:rPr>
            </w:pPr>
            <w:r w:rsidRPr="008A1F4C">
              <w:rPr>
                <w:color w:val="000000" w:themeColor="text1"/>
                <w:sz w:val="18"/>
                <w:szCs w:val="18"/>
                <w:lang w:val="es-419"/>
              </w:rPr>
              <w:t>Brazil, Honduras, Chile, Argentina, Pero, México</w:t>
            </w:r>
          </w:p>
        </w:tc>
      </w:tr>
      <w:tr w:rsidR="00602B3A" w:rsidRPr="008A1F4C" w14:paraId="5EF045F1" w14:textId="77777777" w:rsidTr="000C660B">
        <w:trPr>
          <w:trHeight w:val="223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8F6F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Warren (2019) </w:t>
            </w:r>
            <w:r>
              <w:rPr>
                <w:noProof/>
                <w:color w:val="000000" w:themeColor="text1"/>
                <w:sz w:val="18"/>
                <w:szCs w:val="18"/>
              </w:rPr>
              <w:t>(25)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60B4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PubMed, EMBASE, MEDLINE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A8E4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575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01F5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C04A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30,298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97C6" w14:textId="77777777" w:rsidR="00602B3A" w:rsidRPr="008A1F4C" w:rsidRDefault="00602B3A" w:rsidP="000C660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</w:tr>
    </w:tbl>
    <w:p w14:paraId="42B82589" w14:textId="77777777" w:rsidR="00602B3A" w:rsidRPr="008A1F4C" w:rsidRDefault="00602B3A" w:rsidP="00602B3A">
      <w:pPr>
        <w:rPr>
          <w:b/>
          <w:bCs/>
          <w:color w:val="000000" w:themeColor="text1"/>
          <w:sz w:val="20"/>
          <w:szCs w:val="20"/>
        </w:rPr>
      </w:pPr>
    </w:p>
    <w:p w14:paraId="09F1E3DC" w14:textId="77777777" w:rsidR="00687B43" w:rsidRDefault="00687B43"/>
    <w:sectPr w:rsidR="00687B43" w:rsidSect="00602B3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3A"/>
    <w:rsid w:val="00037DE6"/>
    <w:rsid w:val="000A6FAA"/>
    <w:rsid w:val="00116E99"/>
    <w:rsid w:val="001301EE"/>
    <w:rsid w:val="00133ABA"/>
    <w:rsid w:val="00160B04"/>
    <w:rsid w:val="001733DB"/>
    <w:rsid w:val="002175E5"/>
    <w:rsid w:val="00230B81"/>
    <w:rsid w:val="00257005"/>
    <w:rsid w:val="00267ECF"/>
    <w:rsid w:val="0028161E"/>
    <w:rsid w:val="002C38CB"/>
    <w:rsid w:val="002F4C7A"/>
    <w:rsid w:val="003279E9"/>
    <w:rsid w:val="0033334A"/>
    <w:rsid w:val="003342F5"/>
    <w:rsid w:val="00346679"/>
    <w:rsid w:val="00350F96"/>
    <w:rsid w:val="003C4C13"/>
    <w:rsid w:val="003E41E3"/>
    <w:rsid w:val="004C3854"/>
    <w:rsid w:val="004C5EF3"/>
    <w:rsid w:val="00556BC6"/>
    <w:rsid w:val="0057468C"/>
    <w:rsid w:val="005E48D4"/>
    <w:rsid w:val="00602B3A"/>
    <w:rsid w:val="006466F2"/>
    <w:rsid w:val="00655E9A"/>
    <w:rsid w:val="00687B43"/>
    <w:rsid w:val="006E1545"/>
    <w:rsid w:val="00706565"/>
    <w:rsid w:val="00745A26"/>
    <w:rsid w:val="00802AD0"/>
    <w:rsid w:val="0084144C"/>
    <w:rsid w:val="008D6B2B"/>
    <w:rsid w:val="008E53A1"/>
    <w:rsid w:val="00945B96"/>
    <w:rsid w:val="009B1EF0"/>
    <w:rsid w:val="009D1C02"/>
    <w:rsid w:val="009E0827"/>
    <w:rsid w:val="009E66A6"/>
    <w:rsid w:val="009F77A1"/>
    <w:rsid w:val="00A87462"/>
    <w:rsid w:val="00AA1953"/>
    <w:rsid w:val="00AB14A8"/>
    <w:rsid w:val="00AC274A"/>
    <w:rsid w:val="00AC7B52"/>
    <w:rsid w:val="00B027B9"/>
    <w:rsid w:val="00B0581E"/>
    <w:rsid w:val="00B82C37"/>
    <w:rsid w:val="00B95CA5"/>
    <w:rsid w:val="00C86807"/>
    <w:rsid w:val="00D30F2E"/>
    <w:rsid w:val="00D90F54"/>
    <w:rsid w:val="00D922DA"/>
    <w:rsid w:val="00DC6FFF"/>
    <w:rsid w:val="00E80614"/>
    <w:rsid w:val="00F26C54"/>
    <w:rsid w:val="00F60825"/>
    <w:rsid w:val="00FA4A22"/>
    <w:rsid w:val="00F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8C482"/>
  <w15:chartTrackingRefBased/>
  <w15:docId w15:val="{5A376D4C-D054-1943-A488-49AE598D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3A"/>
    <w:rPr>
      <w:rFonts w:ascii="Helvetica" w:eastAsia="Times New Roman" w:hAnsi="Helvetica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B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B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2B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andFigureTitles">
    <w:name w:val="Table and Figure Titles"/>
    <w:basedOn w:val="Heading1"/>
    <w:qFormat/>
    <w:rsid w:val="00602B3A"/>
    <w:rPr>
      <w:rFonts w:ascii="Helvetica" w:hAnsi="Helvetica"/>
      <w:b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0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Rae Tope, Miss</dc:creator>
  <cp:keywords/>
  <dc:description/>
  <cp:lastModifiedBy>Parker Rae Tope, Miss</cp:lastModifiedBy>
  <cp:revision>1</cp:revision>
  <dcterms:created xsi:type="dcterms:W3CDTF">2022-12-14T14:00:00Z</dcterms:created>
  <dcterms:modified xsi:type="dcterms:W3CDTF">2022-12-14T14:01:00Z</dcterms:modified>
</cp:coreProperties>
</file>