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30F0" w14:textId="55AEC3E1" w:rsidR="00D25DE9" w:rsidRDefault="00D25DE9" w:rsidP="00D25DE9">
      <w:pPr>
        <w:pStyle w:val="Heading2"/>
      </w:pPr>
      <w:r w:rsidRPr="00206750">
        <w:t xml:space="preserve">Figure </w:t>
      </w:r>
      <w:r>
        <w:t>3</w:t>
      </w:r>
      <w:r w:rsidRPr="00206750">
        <w:t>—</w:t>
      </w:r>
      <w:r w:rsidR="00FD460A" w:rsidRPr="00FD460A">
        <w:t xml:space="preserve"> </w:t>
      </w:r>
      <w:r w:rsidR="00FD460A">
        <w:t>source</w:t>
      </w:r>
      <w:r w:rsidR="00FD460A" w:rsidRPr="00206750">
        <w:t xml:space="preserve"> </w:t>
      </w:r>
      <w:r w:rsidR="00FD460A">
        <w:t>data</w:t>
      </w:r>
      <w:r w:rsidRPr="00206750">
        <w:t xml:space="preserve"> </w:t>
      </w:r>
      <w:r>
        <w:t>1. Parameters used in the simulations.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75"/>
        <w:gridCol w:w="4227"/>
        <w:gridCol w:w="2268"/>
        <w:gridCol w:w="1170"/>
      </w:tblGrid>
      <w:tr w:rsidR="00D25DE9" w:rsidRPr="00B81996" w14:paraId="28211AFC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4546F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81996">
              <w:rPr>
                <w:rFonts w:ascii="Calibri" w:hAnsi="Calibri"/>
                <w:b/>
              </w:rPr>
              <w:t>Parameters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7F9B8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81996">
              <w:rPr>
                <w:rFonts w:ascii="Calibri" w:hAnsi="Calibri"/>
                <w:b/>
              </w:rPr>
              <w:t>Definitions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3E80D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81996">
              <w:rPr>
                <w:rFonts w:ascii="Calibri" w:hAnsi="Calibri"/>
                <w:b/>
              </w:rPr>
              <w:t>Value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A1D40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B81996">
              <w:rPr>
                <w:rFonts w:ascii="Calibri" w:hAnsi="Calibri"/>
                <w:b/>
              </w:rPr>
              <w:t>Note</w:t>
            </w:r>
          </w:p>
        </w:tc>
      </w:tr>
      <w:tr w:rsidR="00D25DE9" w:rsidRPr="00B81996" w14:paraId="554A39AD" w14:textId="77777777" w:rsidTr="00461E4D">
        <w:trPr>
          <w:trHeight w:val="170"/>
        </w:trPr>
        <w:tc>
          <w:tcPr>
            <w:tcW w:w="9240" w:type="dxa"/>
            <w:gridSpan w:val="4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FD68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Individual Immune responses</w:t>
            </w:r>
          </w:p>
        </w:tc>
      </w:tr>
      <w:tr w:rsidR="00D25DE9" w:rsidRPr="00B81996" w14:paraId="3A5CEAD9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72D9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AFE0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Mean log titers of long-term (i.e., broad range) boosting to an infected strain.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CAF7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2.02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2E1D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4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467435CB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5848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86A4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Mean log titers of short-term (i.e., narrow range) boosting to an infected strain.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1C2C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2.69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6840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4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12369D4F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7EB7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27BF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Duration in years to determine the decrease of cross-reactions for long-term (i.e., broad range) boosting.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8835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1/0.130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071D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4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7963EAEB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94E6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140B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Duration in years to determine the decrease of cross-reactions for short-term (i.e., narrow range) boosting.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D7B2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1/0.031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7824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4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554C98C9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4484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m:oMathPara>
              <m:oMath>
                <m: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3B44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Duration in years for the decay of short-term (i.e., narrow range) boosting.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8C33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1/0.79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5AF8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4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7F0A3CA8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35CD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m:oMathPara>
              <m:oMath>
                <m: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F10F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Parameter to determine the antigenic seniority.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A265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BD48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Assumption</w:t>
            </w:r>
          </w:p>
        </w:tc>
      </w:tr>
      <w:tr w:rsidR="00D25DE9" w:rsidRPr="00B81996" w14:paraId="77AD878C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0080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m:oMathPara>
              <m:oMath>
                <m:r>
                  <w:rPr>
                    <w:rFonts w:ascii="Cambria Math" w:hAnsi="Cambria Math"/>
                  </w:rPr>
                  <m:t>ρ</m:t>
                </m:r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17ED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Rate of changes in antigenic distance per year.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A860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0.778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5D70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3</w:t>
            </w:r>
            <w:r w:rsidRPr="00B81996">
              <w:rPr>
                <w:rFonts w:ascii="Calibri" w:hAnsi="Calibri"/>
              </w:rPr>
              <w:t>)).</w:t>
            </w:r>
          </w:p>
        </w:tc>
      </w:tr>
      <w:tr w:rsidR="00D25DE9" w:rsidRPr="00B81996" w14:paraId="4CF857FA" w14:textId="77777777" w:rsidTr="00461E4D">
        <w:trPr>
          <w:trHeight w:val="170"/>
        </w:trPr>
        <w:tc>
          <w:tcPr>
            <w:tcW w:w="9240" w:type="dxa"/>
            <w:gridSpan w:val="4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FB59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  <w:b/>
              </w:rPr>
            </w:pPr>
            <w:r w:rsidRPr="00B81996">
              <w:rPr>
                <w:rFonts w:ascii="Calibri" w:hAnsi="Calibri"/>
              </w:rPr>
              <w:t>Immunity-dependent protection</w:t>
            </w:r>
          </w:p>
        </w:tc>
      </w:tr>
      <w:tr w:rsidR="00D25DE9" w:rsidRPr="00B81996" w14:paraId="2905B39D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F912" w14:textId="77777777" w:rsidR="00D25DE9" w:rsidRPr="00B81996" w:rsidRDefault="00D25DE9" w:rsidP="00461E4D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70CEB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Scale parameter of the titer-dependent protection.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6412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2.1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D212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37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3EC7644B" w14:textId="77777777" w:rsidTr="00461E4D">
        <w:trPr>
          <w:trHeight w:val="1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54EA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50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8EC4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Log titer with 50% probability of protection from infection.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D568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3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FFAE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Ref ((</w:t>
            </w:r>
            <w:r w:rsidRPr="00B81996">
              <w:rPr>
                <w:rFonts w:ascii="Calibri" w:hAnsi="Calibri"/>
                <w:i/>
              </w:rPr>
              <w:t>37</w:t>
            </w:r>
            <w:r w:rsidRPr="00B81996">
              <w:rPr>
                <w:rFonts w:ascii="Calibri" w:hAnsi="Calibri"/>
              </w:rPr>
              <w:t>))</w:t>
            </w:r>
          </w:p>
        </w:tc>
      </w:tr>
      <w:tr w:rsidR="00D25DE9" w:rsidRPr="00B81996" w14:paraId="1FEFAFF0" w14:textId="77777777" w:rsidTr="00461E4D">
        <w:trPr>
          <w:trHeight w:val="170"/>
        </w:trPr>
        <w:tc>
          <w:tcPr>
            <w:tcW w:w="9240" w:type="dxa"/>
            <w:gridSpan w:val="4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5FED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Population-level circulation</w:t>
            </w:r>
          </w:p>
        </w:tc>
      </w:tr>
      <w:tr w:rsidR="00D25DE9" w:rsidRPr="00B81996" w14:paraId="779E29A8" w14:textId="77777777" w:rsidTr="00461E4D">
        <w:trPr>
          <w:trHeight w:val="170"/>
        </w:trPr>
        <w:tc>
          <w:tcPr>
            <w:tcW w:w="1575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3D71" w14:textId="77777777" w:rsidR="00D25DE9" w:rsidRPr="00B81996" w:rsidRDefault="004E02B9" w:rsidP="00461E4D">
            <w:pPr>
              <w:spacing w:line="24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227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EBD2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A(H3N2) activity in year t.</w:t>
            </w:r>
          </w:p>
        </w:tc>
        <w:tc>
          <w:tcPr>
            <w:tcW w:w="2268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B3FA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 xml:space="preserve">a) a constant of </w:t>
            </w:r>
            <w:proofErr w:type="gramStart"/>
            <w:r w:rsidRPr="00B81996">
              <w:rPr>
                <w:rFonts w:ascii="Calibri" w:hAnsi="Calibri"/>
              </w:rPr>
              <w:t>0.2;</w:t>
            </w:r>
            <w:proofErr w:type="gramEnd"/>
            <w:r w:rsidRPr="00B81996">
              <w:rPr>
                <w:rFonts w:ascii="Calibri" w:hAnsi="Calibri"/>
              </w:rPr>
              <w:t xml:space="preserve"> </w:t>
            </w:r>
          </w:p>
          <w:p w14:paraId="1C364BC0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b) random, Uniform (0, 0.2); c) cyclic with a 5-year periodicity and maximum activity of 0.2</w:t>
            </w:r>
          </w:p>
        </w:tc>
        <w:tc>
          <w:tcPr>
            <w:tcW w:w="117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B4A0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Assumption.</w:t>
            </w:r>
          </w:p>
          <w:p w14:paraId="519260F3" w14:textId="77777777" w:rsidR="00D25DE9" w:rsidRPr="00B81996" w:rsidRDefault="00D25DE9" w:rsidP="00461E4D">
            <w:pPr>
              <w:spacing w:line="240" w:lineRule="auto"/>
              <w:rPr>
                <w:rFonts w:ascii="Calibri" w:hAnsi="Calibri"/>
              </w:rPr>
            </w:pPr>
            <w:r w:rsidRPr="00B81996">
              <w:rPr>
                <w:rFonts w:ascii="Calibri" w:hAnsi="Calibri"/>
              </w:rPr>
              <w:t>Equation 11</w:t>
            </w:r>
          </w:p>
        </w:tc>
      </w:tr>
    </w:tbl>
    <w:p w14:paraId="09B11B01" w14:textId="71E26A1E" w:rsidR="00D25DE9" w:rsidRDefault="00D25DE9" w:rsidP="00D25DE9">
      <w:pPr>
        <w:rPr>
          <w:rFonts w:ascii="Calibri" w:hAnsi="Calibri"/>
        </w:rPr>
      </w:pPr>
    </w:p>
    <w:sectPr w:rsidR="00D2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E9"/>
    <w:rsid w:val="00087665"/>
    <w:rsid w:val="00120380"/>
    <w:rsid w:val="001205D0"/>
    <w:rsid w:val="00176761"/>
    <w:rsid w:val="00193AF2"/>
    <w:rsid w:val="002125C8"/>
    <w:rsid w:val="00230D15"/>
    <w:rsid w:val="00241F3B"/>
    <w:rsid w:val="00263A02"/>
    <w:rsid w:val="00294593"/>
    <w:rsid w:val="00295CB8"/>
    <w:rsid w:val="002A7C8B"/>
    <w:rsid w:val="00314382"/>
    <w:rsid w:val="0033125E"/>
    <w:rsid w:val="003830DB"/>
    <w:rsid w:val="003A0464"/>
    <w:rsid w:val="003F3389"/>
    <w:rsid w:val="0042339D"/>
    <w:rsid w:val="00426E96"/>
    <w:rsid w:val="00444F4D"/>
    <w:rsid w:val="004D0440"/>
    <w:rsid w:val="004E02B9"/>
    <w:rsid w:val="004E20DA"/>
    <w:rsid w:val="004F7EB4"/>
    <w:rsid w:val="005208EC"/>
    <w:rsid w:val="0058196B"/>
    <w:rsid w:val="006619CE"/>
    <w:rsid w:val="006C1899"/>
    <w:rsid w:val="006D0D79"/>
    <w:rsid w:val="00711C6A"/>
    <w:rsid w:val="00743BC7"/>
    <w:rsid w:val="009C7C8B"/>
    <w:rsid w:val="009D4293"/>
    <w:rsid w:val="009E5BA3"/>
    <w:rsid w:val="00A22F6E"/>
    <w:rsid w:val="00A5028C"/>
    <w:rsid w:val="00A911F5"/>
    <w:rsid w:val="00A9712F"/>
    <w:rsid w:val="00AE0A6C"/>
    <w:rsid w:val="00B213B9"/>
    <w:rsid w:val="00B62FE9"/>
    <w:rsid w:val="00B95B6A"/>
    <w:rsid w:val="00BC70DC"/>
    <w:rsid w:val="00C00B2E"/>
    <w:rsid w:val="00C07F3C"/>
    <w:rsid w:val="00C27AD3"/>
    <w:rsid w:val="00C70E67"/>
    <w:rsid w:val="00C955C5"/>
    <w:rsid w:val="00CA4E81"/>
    <w:rsid w:val="00D01781"/>
    <w:rsid w:val="00D25DE9"/>
    <w:rsid w:val="00D56297"/>
    <w:rsid w:val="00DA6D67"/>
    <w:rsid w:val="00DB129E"/>
    <w:rsid w:val="00DC3007"/>
    <w:rsid w:val="00E034FB"/>
    <w:rsid w:val="00E11A13"/>
    <w:rsid w:val="00E47A38"/>
    <w:rsid w:val="00EC6744"/>
    <w:rsid w:val="00F715D3"/>
    <w:rsid w:val="00F826C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E1DA5"/>
  <w15:chartTrackingRefBased/>
  <w15:docId w15:val="{E85F965A-2286-E045-904D-20354CDE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E9"/>
    <w:pPr>
      <w:spacing w:line="360" w:lineRule="auto"/>
    </w:pPr>
    <w:rPr>
      <w:rFonts w:asciiTheme="majorHAnsi" w:eastAsia="Calibri" w:hAnsiTheme="majorHAnsi" w:cs="Calibri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DE9"/>
    <w:pPr>
      <w:keepNext/>
      <w:keepLines/>
      <w:spacing w:before="40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DE9"/>
    <w:pPr>
      <w:keepNext/>
      <w:keepLines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E9"/>
    <w:rPr>
      <w:rFonts w:asciiTheme="majorHAnsi" w:eastAsia="Calibri" w:hAnsiTheme="majorHAnsi" w:cs="Calibri"/>
      <w:b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25DE9"/>
    <w:rPr>
      <w:rFonts w:asciiTheme="majorHAnsi" w:eastAsia="Calibri" w:hAnsiTheme="majorHAnsi" w:cs="Calibri"/>
      <w:b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>HKU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Bingyi</dc:creator>
  <cp:keywords/>
  <dc:description/>
  <cp:lastModifiedBy>Bingyi Yang</cp:lastModifiedBy>
  <cp:revision>9</cp:revision>
  <dcterms:created xsi:type="dcterms:W3CDTF">2022-11-09T09:00:00Z</dcterms:created>
  <dcterms:modified xsi:type="dcterms:W3CDTF">2022-11-10T15:23:00Z</dcterms:modified>
</cp:coreProperties>
</file>