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23" w:before="60" w:after="0"/>
        <w:jc w:val="center"/>
        <w:rPr>
          <w:rFonts w:ascii="Noto Sans" w:hAnsi="Noto Sans" w:eastAsia="Noto Sans" w:cs="Noto Sans"/>
          <w:b/>
          <w:b/>
          <w:sz w:val="26"/>
          <w:szCs w:val="26"/>
          <w:u w:val="single"/>
        </w:rPr>
      </w:pPr>
      <w:r>
        <w:rPr>
          <w:rFonts w:eastAsia="Noto Sans" w:cs="Noto Sans" w:ascii="Noto Sans" w:hAnsi="Noto Sans"/>
          <w:b/>
          <w:sz w:val="26"/>
          <w:szCs w:val="26"/>
          <w:u w:val="single"/>
        </w:rPr>
      </w:r>
    </w:p>
    <w:p>
      <w:pPr>
        <w:pStyle w:val="Normal"/>
        <w:spacing w:lineRule="auto" w:line="223" w:before="60" w:after="0"/>
        <w:jc w:val="center"/>
        <w:rPr>
          <w:rFonts w:ascii="Noto Sans" w:hAnsi="Noto Sans" w:eastAsia="Noto Sans" w:cs="Noto Sans"/>
          <w:b/>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3" w:before="60" w:after="0"/>
        <w:jc w:val="center"/>
        <w:rPr>
          <w:rFonts w:ascii="Noto Sans" w:hAnsi="Noto Sans" w:eastAsia="Noto Sans" w:cs="Noto Sans"/>
          <w:b/>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r>
        <w:rPr>
          <w:rFonts w:eastAsia="Noto Sans" w:cs="Noto Sans" w:ascii="Noto Sans" w:hAnsi="Noto Sans"/>
          <w:color w:val="1155CC"/>
          <w:sz w:val="20"/>
          <w:szCs w:val="20"/>
          <w:u w:val="single"/>
        </w:rPr>
        <w:t>EQUATOR Network</w:t>
      </w:r>
      <w:r>
        <w:rPr>
          <w:rFonts w:eastAsia="Noto Sans" w:cs="Noto Sans" w:ascii="Noto Sans" w:hAnsi="Noto Sans"/>
          <w:sz w:val="20"/>
          <w:szCs w:val="20"/>
        </w:rPr>
        <w:t>), life science research (see the </w:t>
      </w:r>
      <w:hyperlink r:id="rId3">
        <w:r>
          <w:rPr>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4">
        <w:r>
          <w:rPr>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5">
        <w:r>
          <w:rPr>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6">
        <w:r>
          <w:rPr>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p>
      <w:pPr>
        <w:pStyle w:val="Normal"/>
        <w:spacing w:lineRule="auto" w:line="223"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3"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3" w:before="60" w:after="0"/>
        <w:rPr>
          <w:rFonts w:ascii="Noto Sans" w:hAnsi="Noto Sans" w:eastAsia="Noto Sans" w:cs="Noto Sans"/>
          <w:b/>
          <w:b/>
          <w:color w:val="434343"/>
        </w:rPr>
      </w:pPr>
      <w:r>
        <w:rPr>
          <w:rFonts w:eastAsia="Noto Sans" w:cs="Noto Sans" w:ascii="Noto Sans" w:hAnsi="Noto Sans"/>
          <w:b/>
          <w:color w:val="434343"/>
        </w:rPr>
        <w:t>Materials:</w:t>
      </w:r>
    </w:p>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50"/>
        <w:gridCol w:w="3073"/>
        <w:gridCol w:w="1097"/>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Newly created materials</w:t>
            </w:r>
          </w:p>
        </w:tc>
        <w:tc>
          <w:tcPr>
            <w:tcW w:w="3073"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7"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3"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3" w:type="dxa"/>
            <w:tcBorders/>
          </w:tcPr>
          <w:p>
            <w:pPr>
              <w:pStyle w:val="Normal"/>
              <w:widowControl w:val="false"/>
              <w:spacing w:lineRule="auto" w:line="220"/>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7" w:type="dxa"/>
            <w:tcBorders/>
          </w:tcPr>
          <w:p>
            <w:pPr>
              <w:pStyle w:val="Normal"/>
              <w:widowControl w:val="false"/>
              <w:spacing w:lineRule="auto" w:line="220"/>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Antibodies</w:t>
            </w:r>
          </w:p>
        </w:tc>
        <w:tc>
          <w:tcPr>
            <w:tcW w:w="3073"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7"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7">
              <w:r>
                <w:rPr>
                  <w:rFonts w:eastAsia="Noto Sans" w:cs="Noto Sans" w:ascii="Noto Sans" w:hAnsi="Noto Sans"/>
                  <w:color w:val="434343"/>
                  <w:sz w:val="18"/>
                  <w:szCs w:val="18"/>
                </w:rPr>
                <w:t xml:space="preserve"> </w:t>
              </w:r>
            </w:hyperlink>
            <w:hyperlink r:id="rId8">
              <w:r>
                <w:rPr>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3"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3"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7"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DNA and RNA sequences</w:t>
            </w:r>
          </w:p>
        </w:tc>
        <w:tc>
          <w:tcPr>
            <w:tcW w:w="3073"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7"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3"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85" w:hRule="atLeast"/>
        </w:trPr>
        <w:tc>
          <w:tcPr>
            <w:tcW w:w="5550" w:type="dxa"/>
            <w:tcBorders>
              <w:top w:val="single" w:sz="8" w:space="0" w:color="000000"/>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3" w:type="dxa"/>
            <w:tcBorders>
              <w:top w:val="single" w:sz="8" w:space="0" w:color="000000"/>
              <w:bottom w:val="single" w:sz="8" w:space="0" w:color="000000"/>
            </w:tcBorders>
          </w:tcPr>
          <w:p>
            <w:pPr>
              <w:pStyle w:val="Normal"/>
              <w:widowControl w:val="false"/>
              <w:ind w:left="400" w:hanging="0"/>
              <w:rPr>
                <w:rFonts w:ascii="Noto Sans" w:hAnsi="Noto Sans" w:eastAsia="Noto Sans" w:cs="Noto Sans"/>
                <w:b/>
                <w:b/>
                <w:color w:val="434343"/>
              </w:rPr>
            </w:pPr>
            <w:r>
              <w:rPr>
                <w:rFonts w:eastAsia="Noto Sans" w:cs="Noto Sans" w:ascii="Noto Sans" w:hAnsi="Noto Sans"/>
                <w:b/>
                <w:color w:val="434343"/>
              </w:rPr>
              <w:t xml:space="preserve"> </w:t>
            </w:r>
          </w:p>
        </w:tc>
        <w:tc>
          <w:tcPr>
            <w:tcW w:w="1097" w:type="dxa"/>
            <w:tcBorders>
              <w:top w:val="single" w:sz="8" w:space="0" w:color="000000"/>
              <w:bottom w:val="single" w:sz="8" w:space="0" w:color="000000"/>
            </w:tcBorders>
          </w:tcPr>
          <w:p>
            <w:pPr>
              <w:pStyle w:val="Normal"/>
              <w:widowControl w:val="false"/>
              <w:ind w:left="400" w:hanging="0"/>
              <w:jc w:val="center"/>
              <w:rPr>
                <w:rFonts w:ascii="Noto Sans" w:hAnsi="Noto Sans" w:eastAsia="Noto Sans" w:cs="Noto Sans"/>
                <w:b/>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Cell materials</w:t>
            </w:r>
          </w:p>
        </w:tc>
        <w:tc>
          <w:tcPr>
            <w:tcW w:w="3073"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7"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3"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3"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3"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7"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animals</w:t>
            </w:r>
          </w:p>
        </w:tc>
        <w:tc>
          <w:tcPr>
            <w:tcW w:w="3073"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7"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3"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Male C57BL/6J mice were used as described in the “Materials and Methods” section.</w:t>
            </w:r>
          </w:p>
        </w:tc>
        <w:tc>
          <w:tcPr>
            <w:tcW w:w="1097"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3"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3"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7"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Plants and microbes</w:t>
            </w:r>
          </w:p>
        </w:tc>
        <w:tc>
          <w:tcPr>
            <w:tcW w:w="3073"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7"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3"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3"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widowControl w:val="false"/>
              <w:spacing w:lineRule="auto" w:line="220"/>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3"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7"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Human research participants</w:t>
            </w:r>
          </w:p>
        </w:tc>
        <w:tc>
          <w:tcPr>
            <w:tcW w:w="3073" w:type="dxa"/>
            <w:tcBorders>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7"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0"/>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3"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7" w:type="dxa"/>
            <w:tcBorders>
              <w:bottom w:val="single" w:sz="8" w:space="0" w:color="000000"/>
              <w:right w:val="single" w:sz="8" w:space="0" w:color="000000"/>
            </w:tcBorders>
          </w:tcPr>
          <w:p>
            <w:pPr>
              <w:pStyle w:val="Normal"/>
              <w:widowControl w:val="false"/>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X</w:t>
            </w:r>
          </w:p>
        </w:tc>
      </w:tr>
    </w:tbl>
    <w:p>
      <w:pPr>
        <w:pStyle w:val="Normal"/>
        <w:spacing w:lineRule="auto" w:line="223" w:before="8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3" w:before="80" w:after="0"/>
        <w:rPr>
          <w:rFonts w:ascii="Noto Sans" w:hAnsi="Noto Sans" w:eastAsia="Noto Sans" w:cs="Noto Sans"/>
          <w:b/>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95"/>
        <w:gridCol w:w="3103"/>
        <w:gridCol w:w="992"/>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Study protocol</w:t>
            </w:r>
          </w:p>
        </w:tc>
        <w:tc>
          <w:tcPr>
            <w:tcW w:w="3103"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2"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3" w:type="dxa"/>
            <w:tcBorders>
              <w:bottom w:val="single" w:sz="8" w:space="0" w:color="000000"/>
              <w:right w:val="single" w:sz="8" w:space="0" w:color="000000"/>
            </w:tcBorders>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3" w:type="dxa"/>
            <w:tcBorders>
              <w:bottom w:val="single" w:sz="8" w:space="0" w:color="000000"/>
            </w:tcBorders>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2" w:type="dxa"/>
            <w:tcBorders>
              <w:bottom w:val="single" w:sz="8" w:space="0" w:color="000000"/>
            </w:tcBorders>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Laboratory protocol</w:t>
            </w:r>
          </w:p>
        </w:tc>
        <w:tc>
          <w:tcPr>
            <w:tcW w:w="3103"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2"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3" w:type="dxa"/>
            <w:tcBorders>
              <w:bottom w:val="single" w:sz="8" w:space="0" w:color="000000"/>
              <w:right w:val="single" w:sz="8" w:space="0" w:color="000000"/>
            </w:tcBorders>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3" w:type="dxa"/>
            <w:tcBorders>
              <w:bottom w:val="single" w:sz="8" w:space="0" w:color="000000"/>
            </w:tcBorders>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2" w:type="dxa"/>
            <w:tcBorders>
              <w:bottom w:val="single" w:sz="8" w:space="0" w:color="000000"/>
            </w:tcBorders>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3"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2"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S</w:t>
            </w:r>
            <w:r>
              <w:rPr>
                <w:rFonts w:eastAsia="Noto Sans" w:cs="Noto Sans" w:ascii="Noto Sans" w:hAnsi="Noto Sans"/>
                <w:bCs/>
                <w:color w:val="434343"/>
                <w:sz w:val="18"/>
                <w:szCs w:val="18"/>
              </w:rPr>
              <w:t xml:space="preserve">ample sizes were not predetermined. </w:t>
            </w:r>
            <w:r>
              <w:rPr>
                <w:rFonts w:eastAsia="Noto Sans" w:cs="Noto Sans" w:ascii="Noto Sans" w:hAnsi="Noto Sans"/>
                <w:bCs/>
                <w:color w:val="434343"/>
                <w:sz w:val="18"/>
                <w:szCs w:val="18"/>
              </w:rPr>
              <w:t xml:space="preserve">We recorded from 6 mice that were trained in the task. The quality of the electrophysiological recordings and the behavioral performances were acceptable for 4-5 sessions on average per animal </w:t>
            </w:r>
            <w:r>
              <w:rPr>
                <w:rFonts w:eastAsia="Noto Sans" w:cs="Noto Sans" w:ascii="Noto Sans" w:hAnsi="Noto Sans"/>
                <w:bCs/>
                <w:color w:val="434343"/>
                <w:sz w:val="18"/>
                <w:szCs w:val="18"/>
              </w:rPr>
              <w:t>(see</w:t>
            </w:r>
            <w:r>
              <w:rPr>
                <w:rFonts w:eastAsia="Noto Sans" w:cs="Noto Sans" w:ascii="Noto Sans" w:hAnsi="Noto Sans"/>
                <w:bCs/>
                <w:color w:val="434343"/>
                <w:sz w:val="18"/>
                <w:szCs w:val="18"/>
              </w:rPr>
              <w:t xml:space="preserve"> </w:t>
            </w:r>
            <w:r>
              <w:rPr>
                <w:rFonts w:eastAsia="Noto Sans" w:cs="Noto Sans" w:ascii="Noto Sans" w:hAnsi="Noto Sans"/>
                <w:bCs/>
                <w:color w:val="434343"/>
                <w:sz w:val="18"/>
                <w:szCs w:val="18"/>
              </w:rPr>
              <w:t>inclusion/</w:t>
            </w:r>
            <w:r>
              <w:rPr>
                <w:rFonts w:eastAsia="Noto Sans" w:cs="Noto Sans" w:ascii="Noto Sans" w:hAnsi="Noto Sans"/>
                <w:bCs/>
                <w:color w:val="434343"/>
                <w:sz w:val="18"/>
                <w:szCs w:val="18"/>
              </w:rPr>
              <w:t>exclusion criteria in the “Data Set” sub-section of the “Materials and Methods section”</w:t>
            </w:r>
            <w:r>
              <w:rPr>
                <w:rFonts w:eastAsia="Noto Sans" w:cs="Noto Sans" w:ascii="Noto Sans" w:hAnsi="Noto Sans"/>
                <w:bCs/>
                <w:color w:val="434343"/>
                <w:sz w:val="18"/>
                <w:szCs w:val="18"/>
              </w:rPr>
              <w:t>)</w:t>
            </w:r>
            <w:r>
              <w:rPr>
                <w:rFonts w:eastAsia="Noto Sans" w:cs="Noto Sans" w:ascii="Noto Sans" w:hAnsi="Noto Sans"/>
                <w:bCs/>
                <w:color w:val="434343"/>
                <w:sz w:val="18"/>
                <w:szCs w:val="18"/>
              </w:rPr>
              <w:t>.</w:t>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X</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Inclusion/exclusion criteria are d</w:t>
            </w:r>
            <w:r>
              <w:rPr>
                <w:rFonts w:eastAsia="Noto Sans" w:cs="Noto Sans" w:ascii="Noto Sans" w:hAnsi="Noto Sans"/>
                <w:bCs/>
                <w:color w:val="434343"/>
                <w:sz w:val="18"/>
                <w:szCs w:val="18"/>
              </w:rPr>
              <w:t>escribed in detail in the “Data Set” sub-section of the “Materials and Methods section”.</w:t>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3" w:type="dxa"/>
            <w:tcBorders/>
            <w:shd w:color="auto" w:fill="auto" w:val="clear"/>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2" w:type="dxa"/>
            <w:tcBorders/>
            <w:shd w:color="auto" w:fill="auto" w:val="clear"/>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Sample definition and in-laboratory replication</w:t>
            </w:r>
          </w:p>
        </w:tc>
        <w:tc>
          <w:tcPr>
            <w:tcW w:w="3103"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2"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The final dataset is composed of </w:t>
            </w:r>
            <w:r>
              <w:rPr>
                <w:rFonts w:eastAsia="Noto Sans" w:cs="Noto Sans" w:ascii="Noto Sans" w:hAnsi="Noto Sans"/>
                <w:bCs/>
                <w:color w:val="434343"/>
                <w:sz w:val="18"/>
                <w:szCs w:val="18"/>
              </w:rPr>
              <w:t>total of 2</w:t>
            </w:r>
            <w:r>
              <w:rPr>
                <w:rFonts w:eastAsia="Noto Sans" w:cs="Noto Sans" w:ascii="Noto Sans" w:hAnsi="Noto Sans"/>
                <w:bCs/>
                <w:color w:val="434343"/>
                <w:sz w:val="18"/>
                <w:szCs w:val="18"/>
              </w:rPr>
              <w:t>0</w:t>
            </w:r>
            <w:r>
              <w:rPr>
                <w:rFonts w:eastAsia="Noto Sans" w:cs="Noto Sans" w:ascii="Noto Sans" w:hAnsi="Noto Sans"/>
                <w:bCs/>
                <w:color w:val="434343"/>
                <w:sz w:val="18"/>
                <w:szCs w:val="18"/>
              </w:rPr>
              <w:t xml:space="preserve"> sessions from </w:t>
            </w:r>
            <w:r>
              <w:rPr>
                <w:rFonts w:eastAsia="Noto Sans" w:cs="Noto Sans" w:ascii="Noto Sans" w:hAnsi="Noto Sans"/>
                <w:bCs/>
                <w:color w:val="434343"/>
                <w:sz w:val="18"/>
                <w:szCs w:val="18"/>
              </w:rPr>
              <w:t>5</w:t>
            </w:r>
            <w:r>
              <w:rPr>
                <w:rFonts w:eastAsia="Noto Sans" w:cs="Noto Sans" w:ascii="Noto Sans" w:hAnsi="Noto Sans"/>
                <w:bCs/>
                <w:color w:val="434343"/>
                <w:sz w:val="18"/>
                <w:szCs w:val="18"/>
              </w:rPr>
              <w:t xml:space="preserve"> mice. </w:t>
            </w:r>
            <w:r>
              <w:rPr>
                <w:rFonts w:eastAsia="Noto Sans" w:cs="Noto Sans" w:ascii="Noto Sans" w:hAnsi="Noto Sans"/>
                <w:bCs/>
                <w:color w:val="434343"/>
                <w:sz w:val="18"/>
                <w:szCs w:val="18"/>
              </w:rPr>
              <w:t>W</w:t>
            </w:r>
            <w:r>
              <w:rPr>
                <w:rFonts w:eastAsia="Noto Sans" w:cs="Noto Sans" w:ascii="Noto Sans" w:hAnsi="Noto Sans"/>
                <w:bCs/>
                <w:color w:val="434343"/>
                <w:sz w:val="18"/>
                <w:szCs w:val="18"/>
              </w:rPr>
              <w:t xml:space="preserve">e used </w:t>
            </w:r>
            <w:r>
              <w:rPr>
                <w:rFonts w:eastAsia="Noto Sans" w:cs="Noto Sans" w:ascii="Noto Sans" w:hAnsi="Noto Sans"/>
                <w:b w:val="false"/>
                <w:bCs/>
                <w:i w:val="false"/>
                <w:caps w:val="false"/>
                <w:smallCaps w:val="false"/>
                <w:color w:val="434343"/>
                <w:spacing w:val="0"/>
                <w:sz w:val="18"/>
                <w:szCs w:val="18"/>
              </w:rPr>
              <w:t xml:space="preserve">hierarchical models </w:t>
            </w:r>
            <w:r>
              <w:rPr>
                <w:rFonts w:eastAsia="Noto Sans" w:cs="Noto Sans" w:ascii="Noto Sans" w:hAnsi="Noto Sans"/>
                <w:b w:val="false"/>
                <w:bCs/>
                <w:i w:val="false"/>
                <w:caps w:val="false"/>
                <w:smallCaps w:val="false"/>
                <w:color w:val="434343"/>
                <w:spacing w:val="0"/>
                <w:sz w:val="18"/>
                <w:szCs w:val="18"/>
              </w:rPr>
              <w:t>t</w:t>
            </w:r>
            <w:r>
              <w:rPr>
                <w:rFonts w:eastAsia="Noto Sans" w:cs="Noto Sans" w:ascii="Noto Sans" w:hAnsi="Noto Sans"/>
                <w:bCs/>
                <w:color w:val="434343"/>
                <w:sz w:val="18"/>
                <w:szCs w:val="18"/>
              </w:rPr>
              <w:t xml:space="preserve">o use the data </w:t>
            </w:r>
            <w:r>
              <w:rPr>
                <w:rFonts w:eastAsia="Noto Sans" w:cs="Noto Sans" w:ascii="Noto Sans" w:hAnsi="Noto Sans"/>
                <w:bCs/>
                <w:color w:val="434343"/>
                <w:sz w:val="18"/>
                <w:szCs w:val="18"/>
              </w:rPr>
              <w:t xml:space="preserve">from the sessions </w:t>
            </w:r>
            <w:r>
              <w:rPr>
                <w:rFonts w:eastAsia="Noto Sans" w:cs="Noto Sans" w:ascii="Noto Sans" w:hAnsi="Noto Sans"/>
                <w:bCs/>
                <w:color w:val="434343"/>
                <w:sz w:val="18"/>
                <w:szCs w:val="18"/>
              </w:rPr>
              <w:t xml:space="preserve">efficiently. </w:t>
            </w:r>
            <w:r>
              <w:rPr>
                <w:rFonts w:eastAsia="Noto Sans" w:cs="Noto Sans" w:ascii="Noto Sans" w:hAnsi="Noto Sans"/>
                <w:bCs/>
                <w:color w:val="434343"/>
                <w:sz w:val="18"/>
                <w:szCs w:val="18"/>
              </w:rPr>
              <w:t>We performed multiple control analyses</w:t>
            </w:r>
            <w:r>
              <w:rPr>
                <w:rFonts w:eastAsia="Noto Sans" w:cs="Noto Sans" w:ascii="Noto Sans" w:hAnsi="Noto Sans"/>
                <w:bCs/>
                <w:color w:val="434343"/>
                <w:sz w:val="18"/>
                <w:szCs w:val="18"/>
              </w:rPr>
              <w:t xml:space="preserve"> </w:t>
            </w:r>
            <w:r>
              <w:rPr>
                <w:rFonts w:eastAsia="Noto Sans" w:cs="Noto Sans" w:ascii="Noto Sans" w:hAnsi="Noto Sans"/>
                <w:bCs/>
                <w:color w:val="434343"/>
                <w:sz w:val="18"/>
                <w:szCs w:val="18"/>
              </w:rPr>
              <w:t>to confirm the robustness of our main findings.</w:t>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03" w:type="dxa"/>
            <w:tcBorders>
              <w:bottom w:val="single" w:sz="8" w:space="0" w:color="000000"/>
            </w:tcBorders>
            <w:shd w:color="auto" w:fill="auto" w:val="clear"/>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2" w:type="dxa"/>
            <w:tcBorders>
              <w:bottom w:val="single" w:sz="8" w:space="0" w:color="000000"/>
            </w:tcBorders>
            <w:shd w:color="auto" w:fill="auto" w:val="clear"/>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Ethics</w:t>
            </w:r>
          </w:p>
        </w:tc>
        <w:tc>
          <w:tcPr>
            <w:tcW w:w="3103"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2"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All procedures were reviewed and approved by the Champalimaud Centre for the Unknown animal</w:t>
            </w:r>
          </w:p>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welfare committee and approved by the Portuguese Direção Geral de Veterinária (Ref. No.</w:t>
            </w:r>
          </w:p>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6090421/000/000/2019).</w:t>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3" w:type="dxa"/>
            <w:tcBorders>
              <w:bottom w:val="single" w:sz="8" w:space="0" w:color="000000"/>
            </w:tcBorders>
            <w:shd w:color="auto" w:fill="auto" w:val="clear"/>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2" w:type="dxa"/>
            <w:tcBorders>
              <w:bottom w:val="single" w:sz="8" w:space="0" w:color="000000"/>
            </w:tcBorders>
            <w:shd w:color="auto" w:fill="auto" w:val="clear"/>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Dual Use Research of Concern (DURC)</w:t>
            </w:r>
          </w:p>
        </w:tc>
        <w:tc>
          <w:tcPr>
            <w:tcW w:w="3103"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2"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3"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2"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lineRule="auto" w:line="223" w:before="60" w:after="0"/>
        <w:rPr>
          <w:rFonts w:ascii="Noto Sans" w:hAnsi="Noto Sans" w:eastAsia="Noto Sans" w:cs="Noto Sans"/>
          <w:b/>
          <w:b/>
          <w:color w:val="434343"/>
          <w:sz w:val="24"/>
          <w:szCs w:val="24"/>
        </w:rPr>
      </w:pPr>
      <w:r>
        <w:rPr>
          <w:rFonts w:eastAsia="Noto Sans" w:cs="Noto Sans" w:ascii="Noto Sans" w:hAnsi="Noto Sans"/>
          <w:b/>
          <w:color w:val="434343"/>
          <w:sz w:val="24"/>
          <w:szCs w:val="24"/>
        </w:rPr>
        <w:t>Analysis:</w:t>
      </w:r>
    </w:p>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63"/>
        <w:gridCol w:w="3165"/>
        <w:gridCol w:w="977"/>
      </w:tblGrid>
      <w:tr>
        <w:trPr>
          <w:trHeight w:val="425" w:hRule="atLeast"/>
        </w:trPr>
        <w:tc>
          <w:tcPr>
            <w:tcW w:w="5563"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7"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60"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Minimal amount of data was excluded and all justifications are </w:t>
            </w:r>
            <w:r>
              <w:rPr>
                <w:rFonts w:eastAsia="Noto Sans" w:cs="Noto Sans" w:ascii="Noto Sans" w:hAnsi="Noto Sans"/>
                <w:bCs/>
                <w:color w:val="434343"/>
                <w:sz w:val="18"/>
                <w:szCs w:val="18"/>
              </w:rPr>
              <w:t>provided</w:t>
            </w:r>
            <w:r>
              <w:rPr>
                <w:rFonts w:eastAsia="Noto Sans" w:cs="Noto Sans" w:ascii="Noto Sans" w:hAnsi="Noto Sans"/>
                <w:bCs/>
                <w:color w:val="434343"/>
                <w:sz w:val="18"/>
                <w:szCs w:val="18"/>
              </w:rPr>
              <w:t xml:space="preserve"> in details in the “Data Set” sub-section of the “Materials and Methods” section.</w:t>
            </w:r>
          </w:p>
        </w:tc>
        <w:tc>
          <w:tcPr>
            <w:tcW w:w="97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3"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7" w:type="dxa"/>
            <w:tcBorders>
              <w:bottom w:val="single" w:sz="8" w:space="0" w:color="000000"/>
            </w:tcBorders>
            <w:shd w:color="auto" w:fill="auto" w:val="clear"/>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3"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7"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19"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All statistical analys</w:t>
            </w:r>
            <w:r>
              <w:rPr>
                <w:rFonts w:eastAsia="Noto Sans" w:cs="Noto Sans" w:ascii="Noto Sans" w:hAnsi="Noto Sans"/>
                <w:bCs/>
                <w:color w:val="434343"/>
                <w:sz w:val="18"/>
                <w:szCs w:val="18"/>
              </w:rPr>
              <w:t>es</w:t>
            </w:r>
            <w:r>
              <w:rPr>
                <w:rFonts w:eastAsia="Noto Sans" w:cs="Noto Sans" w:ascii="Noto Sans" w:hAnsi="Noto Sans"/>
                <w:bCs/>
                <w:color w:val="434343"/>
                <w:sz w:val="18"/>
                <w:szCs w:val="18"/>
              </w:rPr>
              <w:t xml:space="preserve"> performed are described in details in the “Materials and Methods” section of the manuscript.</w:t>
            </w:r>
          </w:p>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In short, the main results in the manuscript were derived using Generalized linear mixed models (GLMM) to be able to describe the behavior of mice in the task pooling </w:t>
            </w:r>
            <w:r>
              <w:rPr>
                <w:rFonts w:eastAsia="Noto Sans" w:cs="Noto Sans" w:ascii="Noto Sans" w:hAnsi="Noto Sans"/>
                <w:bCs/>
                <w:color w:val="434343"/>
                <w:sz w:val="18"/>
                <w:szCs w:val="18"/>
              </w:rPr>
              <w:t xml:space="preserve">efficiently </w:t>
            </w:r>
            <w:r>
              <w:rPr>
                <w:rFonts w:eastAsia="Noto Sans" w:cs="Noto Sans" w:ascii="Noto Sans" w:hAnsi="Noto Sans"/>
                <w:bCs/>
                <w:color w:val="434343"/>
                <w:sz w:val="18"/>
                <w:szCs w:val="18"/>
              </w:rPr>
              <w:t>data from multiple session</w:t>
            </w:r>
            <w:r>
              <w:rPr>
                <w:rFonts w:eastAsia="Noto Sans" w:cs="Noto Sans" w:ascii="Noto Sans" w:hAnsi="Noto Sans"/>
                <w:bCs/>
                <w:color w:val="434343"/>
                <w:sz w:val="18"/>
                <w:szCs w:val="18"/>
              </w:rPr>
              <w:t>s</w:t>
            </w:r>
            <w:r>
              <w:rPr>
                <w:rFonts w:eastAsia="Noto Sans" w:cs="Noto Sans" w:ascii="Noto Sans" w:hAnsi="Noto Sans"/>
                <w:bCs/>
                <w:color w:val="434343"/>
                <w:sz w:val="18"/>
                <w:szCs w:val="18"/>
              </w:rPr>
              <w:t xml:space="preserve"> without gaining spurious statistical power. Results </w:t>
            </w:r>
            <w:r>
              <w:rPr>
                <w:rFonts w:eastAsia="Noto Sans" w:cs="Noto Sans" w:ascii="Noto Sans" w:hAnsi="Noto Sans"/>
                <w:bCs/>
                <w:color w:val="434343"/>
                <w:sz w:val="18"/>
                <w:szCs w:val="18"/>
              </w:rPr>
              <w:t xml:space="preserve">from these analyses </w:t>
            </w:r>
            <w:r>
              <w:rPr>
                <w:rFonts w:eastAsia="Noto Sans" w:cs="Noto Sans" w:ascii="Noto Sans" w:hAnsi="Noto Sans"/>
                <w:bCs/>
                <w:color w:val="434343"/>
                <w:sz w:val="18"/>
                <w:szCs w:val="18"/>
              </w:rPr>
              <w:t xml:space="preserve">are reported in the figures, </w:t>
            </w:r>
            <w:r>
              <w:rPr>
                <w:rFonts w:eastAsia="Noto Sans" w:cs="Noto Sans" w:ascii="Noto Sans" w:hAnsi="Noto Sans"/>
                <w:bCs/>
                <w:color w:val="434343"/>
                <w:sz w:val="18"/>
                <w:szCs w:val="18"/>
              </w:rPr>
              <w:t>the main text</w:t>
            </w:r>
            <w:r>
              <w:rPr>
                <w:rFonts w:eastAsia="Noto Sans" w:cs="Noto Sans" w:ascii="Noto Sans" w:hAnsi="Noto Sans"/>
                <w:bCs/>
                <w:color w:val="434343"/>
                <w:sz w:val="18"/>
                <w:szCs w:val="18"/>
              </w:rPr>
              <w:t xml:space="preserve"> and further statistics is reported in Supplementary Table 1.</w:t>
            </w:r>
          </w:p>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When necessary, </w:t>
            </w:r>
            <w:r>
              <w:rPr>
                <w:rFonts w:eastAsia="Noto Sans" w:cs="Noto Sans" w:ascii="Noto Sans" w:hAnsi="Noto Sans"/>
                <w:bCs/>
                <w:color w:val="434343"/>
                <w:sz w:val="18"/>
                <w:szCs w:val="18"/>
              </w:rPr>
              <w:t xml:space="preserve">in other analyses </w:t>
            </w:r>
            <w:r>
              <w:rPr>
                <w:rFonts w:eastAsia="Noto Sans" w:cs="Noto Sans" w:ascii="Noto Sans" w:hAnsi="Noto Sans"/>
                <w:bCs/>
                <w:color w:val="434343"/>
                <w:sz w:val="18"/>
                <w:szCs w:val="18"/>
              </w:rPr>
              <w:t xml:space="preserve">we performed </w:t>
            </w:r>
            <w:r>
              <w:rPr>
                <w:rFonts w:eastAsia="Noto Sans" w:cs="Noto Sans" w:ascii="Noto Sans" w:hAnsi="Noto Sans"/>
                <w:bCs/>
                <w:color w:val="434343"/>
                <w:sz w:val="18"/>
                <w:szCs w:val="18"/>
              </w:rPr>
              <w:t xml:space="preserve">non-parametric tests </w:t>
            </w:r>
            <w:r>
              <w:rPr>
                <w:rFonts w:eastAsia="Noto Sans" w:cs="Noto Sans" w:ascii="Noto Sans" w:hAnsi="Noto Sans"/>
                <w:bCs/>
                <w:color w:val="434343"/>
                <w:sz w:val="18"/>
                <w:szCs w:val="18"/>
              </w:rPr>
              <w:t>(</w:t>
            </w:r>
            <w:r>
              <w:rPr>
                <w:rFonts w:eastAsia="Noto Sans" w:cs="Noto Sans" w:ascii="Noto Sans" w:hAnsi="Noto Sans"/>
                <w:bCs/>
                <w:color w:val="434343"/>
                <w:sz w:val="18"/>
                <w:szCs w:val="18"/>
              </w:rPr>
              <w:t xml:space="preserve">for example to compare the accuracy of animals after correct or </w:t>
            </w:r>
            <w:r>
              <w:rPr>
                <w:rFonts w:eastAsia="Noto Sans" w:cs="Noto Sans" w:ascii="Noto Sans" w:hAnsi="Noto Sans"/>
                <w:bCs/>
                <w:color w:val="434343"/>
                <w:sz w:val="18"/>
                <w:szCs w:val="18"/>
              </w:rPr>
              <w:t>error</w:t>
            </w:r>
            <w:r>
              <w:rPr>
                <w:rFonts w:eastAsia="Noto Sans" w:cs="Noto Sans" w:ascii="Noto Sans" w:hAnsi="Noto Sans"/>
                <w:bCs/>
                <w:color w:val="434343"/>
                <w:sz w:val="18"/>
                <w:szCs w:val="18"/>
              </w:rPr>
              <w:t xml:space="preserve"> trials). </w:t>
            </w:r>
            <w:r>
              <w:rPr>
                <w:rFonts w:eastAsia="Noto Sans" w:cs="Noto Sans" w:ascii="Noto Sans" w:hAnsi="Noto Sans"/>
                <w:bCs/>
                <w:color w:val="434343"/>
                <w:sz w:val="18"/>
                <w:szCs w:val="18"/>
              </w:rPr>
              <w:t>All specific analyses and their results are reported clearly in the text, figures and “Materials and Methods” section.</w:t>
            </w:r>
          </w:p>
        </w:tc>
        <w:tc>
          <w:tcPr>
            <w:tcW w:w="97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3"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7" w:type="dxa"/>
            <w:tcBorders>
              <w:bottom w:val="single" w:sz="8" w:space="0" w:color="000000"/>
            </w:tcBorders>
            <w:shd w:color="auto" w:fill="auto" w:val="clear"/>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3"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77"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29"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A Data availability statement is </w:t>
            </w:r>
            <w:r>
              <w:rPr>
                <w:rFonts w:eastAsia="Noto Sans" w:cs="Noto Sans" w:ascii="Noto Sans" w:hAnsi="Noto Sans"/>
                <w:bCs/>
                <w:color w:val="434343"/>
                <w:sz w:val="18"/>
                <w:szCs w:val="18"/>
              </w:rPr>
              <w:t>Reported in the sub-section</w:t>
            </w:r>
            <w:r>
              <w:rPr>
                <w:rFonts w:eastAsia="Noto Sans" w:cs="Noto Sans" w:ascii="Noto Sans" w:hAnsi="Noto Sans"/>
                <w:bCs/>
                <w:i w:val="false"/>
                <w:iCs w:val="false"/>
                <w:color w:val="434343"/>
                <w:sz w:val="18"/>
                <w:szCs w:val="18"/>
              </w:rPr>
              <w:t xml:space="preserve"> “</w:t>
            </w:r>
            <w:r>
              <w:rPr>
                <w:rStyle w:val="Emphasis"/>
                <w:rFonts w:eastAsia="Noto Sans" w:cs="Noto Sans" w:ascii="Noto Sans" w:hAnsi="Noto Sans"/>
                <w:bCs/>
                <w:i w:val="false"/>
                <w:iCs w:val="false"/>
                <w:color w:val="434343"/>
                <w:sz w:val="18"/>
                <w:szCs w:val="18"/>
              </w:rPr>
              <w:t>Data Availability” in the “Materials and Methods” section.</w:t>
            </w:r>
          </w:p>
        </w:tc>
        <w:tc>
          <w:tcPr>
            <w:tcW w:w="97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https://datadryad.org/stash/share/Uvk6L2OiNHp1t8PTwHTh-MomPvO4UP3EYzX_VMevCYs</w:t>
            </w:r>
          </w:p>
        </w:tc>
        <w:tc>
          <w:tcPr>
            <w:tcW w:w="97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06"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63"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widowControl w:val="false"/>
              <w:spacing w:lineRule="auto" w:line="220"/>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7" w:type="dxa"/>
            <w:tcBorders>
              <w:bottom w:val="single" w:sz="8" w:space="0" w:color="000000"/>
            </w:tcBorders>
            <w:shd w:color="auto" w:fill="auto" w:val="clear"/>
          </w:tcPr>
          <w:p>
            <w:pPr>
              <w:pStyle w:val="Normal"/>
              <w:widowControl w:val="false"/>
              <w:spacing w:lineRule="auto" w:line="220"/>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3"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7" w:type="dxa"/>
            <w:tcBorders>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341"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Scripts to generate the main results of the manuscript (GLMM analyses) are available on the Dryad repository.</w:t>
            </w:r>
          </w:p>
        </w:tc>
        <w:tc>
          <w:tcPr>
            <w:tcW w:w="97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
          </w:p>
        </w:tc>
      </w:tr>
      <w:tr>
        <w:trPr>
          <w:trHeight w:val="1080"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https://datadryad.org/stash/share/Uvk6L2OiNHp1t8PTwHTh-MomPvO4UP3EYzX_VMevCYs</w:t>
            </w:r>
          </w:p>
        </w:tc>
        <w:tc>
          <w:tcPr>
            <w:tcW w:w="97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
          </w:p>
        </w:tc>
      </w:tr>
      <w:tr>
        <w:trPr>
          <w:trHeight w:val="720" w:hRule="atLeast"/>
        </w:trPr>
        <w:tc>
          <w:tcPr>
            <w:tcW w:w="5563"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3"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3" w:before="60" w:after="0"/>
        <w:rPr>
          <w:rFonts w:ascii="Noto Sans" w:hAnsi="Noto Sans" w:eastAsia="Noto Sans" w:cs="Noto Sans"/>
          <w:b/>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3"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3"/>
        <w:ind w:left="46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488"/>
        <w:gridCol w:w="3330"/>
        <w:gridCol w:w="857"/>
      </w:tblGrid>
      <w:tr>
        <w:trPr>
          <w:trHeight w:val="500" w:hRule="atLeast"/>
        </w:trPr>
        <w:tc>
          <w:tcPr>
            <w:tcW w:w="5488"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857"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15" w:hRule="atLeast"/>
        </w:trPr>
        <w:tc>
          <w:tcPr>
            <w:tcW w:w="5488"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Fonts w:eastAsia="Noto Sans" w:cs="Noto Sans" w:ascii="Noto Sans" w:hAnsi="Noto Sans"/>
                <w:bCs/>
                <w:color w:val="434343"/>
                <w:sz w:val="18"/>
                <w:szCs w:val="18"/>
              </w:rPr>
              <w:t>No particular discipline-specific guidelines have been followed and no checklist is currently prov</w:t>
            </w:r>
            <w:r>
              <w:rPr>
                <w:rFonts w:eastAsia="Noto Sans" w:cs="Noto Sans" w:ascii="Noto Sans" w:hAnsi="Noto Sans"/>
                <w:bCs/>
                <w:color w:val="434343"/>
                <w:sz w:val="18"/>
                <w:szCs w:val="18"/>
              </w:rPr>
              <w:t>ided</w:t>
            </w:r>
            <w:r>
              <w:rPr>
                <w:rFonts w:eastAsia="Noto Sans" w:cs="Noto Sans" w:ascii="Noto Sans" w:hAnsi="Noto Sans"/>
                <w:bCs/>
                <w:color w:val="434343"/>
                <w:sz w:val="18"/>
                <w:szCs w:val="18"/>
              </w:rPr>
              <w:t xml:space="preserve"> with the manuscript.</w:t>
            </w:r>
          </w:p>
        </w:tc>
        <w:tc>
          <w:tcPr>
            <w:tcW w:w="857" w:type="dxa"/>
            <w:tcBorders>
              <w:bottom w:val="single" w:sz="8" w:space="0" w:color="000000"/>
              <w:right w:val="single" w:sz="8" w:space="0" w:color="000000"/>
            </w:tcBorders>
            <w:shd w:color="auto" w:fill="auto" w:val="clear"/>
          </w:tcPr>
          <w:p>
            <w:pPr>
              <w:pStyle w:val="Normal"/>
              <w:widowControl w:val="false"/>
              <w:spacing w:lineRule="auto" w:line="220"/>
              <w:rPr>
                <w:rFonts w:ascii="Noto Sans" w:hAnsi="Noto Sans" w:eastAsia="Noto Sans" w:cs="Noto Sans"/>
                <w:bCs/>
                <w:color w:val="434343"/>
                <w:sz w:val="18"/>
                <w:szCs w:val="18"/>
              </w:rPr>
            </w:pPr>
            <w:r>
              <w:rPr/>
            </w:r>
          </w:p>
        </w:tc>
      </w:tr>
    </w:tbl>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3600" cy="635"/>
                <wp:effectExtent l="0" t="0" r="0" b="0"/>
                <wp:docPr id="1" name="Shape1"/>
                <a:graphic xmlns:a="http://schemas.openxmlformats.org/drawingml/2006/main">
                  <a:graphicData uri="http://schemas.microsoft.com/office/word/2010/wordprocessingShape">
                    <wps:wsp>
                      <wps:cNvSpPr/>
                      <wps:spPr>
                        <a:xfrm>
                          <a:off x="0" y="0"/>
                          <a:ext cx="5943600" cy="72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 path="m0,0l-2147483645,0l-2147483645,-2147483646l0,-2147483646xe" fillcolor="#a0a0a0" stroked="f" o:allowincell="f" style="position:absolute;margin-left:0pt;margin-top:-0.1pt;width:467.95pt;height:0pt;mso-wrap-style:none;v-text-anchor:middle;mso-position-vertical:top">
                <v:fill o:detectmouseclick="t" type="solid" color2="#5f5f5f"/>
                <v:stroke color="#3465a4" joinstyle="round" endcap="flat"/>
                <w10:wrap type="square"/>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9">
        <w:r>
          <w:rPr>
            <w:color w:val="1155CC"/>
            <w:u w:val="single"/>
          </w:rPr>
          <w:t>Ten common statistical mistakes to watch out for when writing or reviewing a manuscript</w:t>
        </w:r>
      </w:hyperlink>
      <w:r>
        <w:rPr/>
        <w:t>.</w:t>
      </w:r>
    </w:p>
    <w:p>
      <w:pPr>
        <w:pStyle w:val="Normal"/>
        <w:rPr/>
      </w:pPr>
      <w:r>
        <w:rPr/>
      </w:r>
    </w:p>
    <w:p>
      <w:pPr>
        <w:pStyle w:val="Normal"/>
        <w:rPr>
          <w:b/>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0"/>
      <w:headerReference w:type="first" r:id="rId11"/>
      <w:footerReference w:type="default" r:id="rId12"/>
      <w:type w:val="nextPage"/>
      <w:pgSz w:w="11906" w:h="16838"/>
      <w:pgMar w:left="1040" w:right="1220" w:gutter="0" w:header="720" w:top="1360" w:footer="720" w:bottom="777"/>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Noto Sans">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6</w:t>
    </w:r>
    <w:r>
      <w:rPr>
        <w:color w:val="000000"/>
      </w:rPr>
      <w:fldChar w:fldCharType="end"/>
    </w:r>
  </w:p>
  <w:p>
    <w:pPr>
      <w:pStyle w:val="Normal"/>
      <w:tabs>
        <w:tab w:val="clear" w:pos="720"/>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114300" distR="114300" simplePos="0" locked="0" layoutInCell="0" allowOverlap="1" relativeHeight="2">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1"/>
                  <a:srcRect l="55150" t="0" r="0" b="0"/>
                  <a:stretch>
                    <a:fillRect/>
                  </a:stretch>
                </pic:blipFill>
                <pic:spPr bwMode="auto">
                  <a:xfrm>
                    <a:off x="0" y="0"/>
                    <a:ext cx="3390900" cy="1038225"/>
                  </a:xfrm>
                  <a:prstGeom prst="rect">
                    <a:avLst/>
                  </a:prstGeom>
                </pic:spPr>
              </pic:pic>
            </a:graphicData>
          </a:graphic>
        </wp:anchor>
      </w:drawing>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InternetLink">
    <w:name w:val="Hyperlink"/>
    <w:rPr>
      <w:color w:val="000080"/>
      <w:u w:val="single"/>
      <w:lang w:val="zxx" w:eastAsia="zxx" w:bidi="zxx"/>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https://doi.org/10.1038/d41586-020-01751-5" TargetMode="External"/><Relationship Id="rId6" Type="http://schemas.openxmlformats.org/officeDocument/2006/relationships/hyperlink" Target="https://reviewer.elifesciences.org/author-guide/journal-policies" TargetMode="External"/><Relationship Id="rId7" Type="http://schemas.openxmlformats.org/officeDocument/2006/relationships/hyperlink" Target="https://scicrunch.org/resources" TargetMode="External"/><Relationship Id="rId8" Type="http://schemas.openxmlformats.org/officeDocument/2006/relationships/hyperlink" Target="https://scicrunch.org/resources" TargetMode="External"/><Relationship Id="rId9" Type="http://schemas.openxmlformats.org/officeDocument/2006/relationships/hyperlink" Target="https://doi.org/10.7554/eLife.48175"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Application>LibreOffice/7.3.4.2$Linux_X86_64 LibreOffice_project/728fec16bd5f605073805c3c9e7c4212a0120dc5</Application>
  <AppVersion>15.0000</AppVersion>
  <Pages>6</Pages>
  <Words>1580</Words>
  <Characters>9598</Characters>
  <CharactersWithSpaces>11045</CharactersWithSpaces>
  <Paragraphs>186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pt-PT</dc:language>
  <cp:lastModifiedBy/>
  <dcterms:modified xsi:type="dcterms:W3CDTF">2022-07-20T17:07:59Z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