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92" w:rsidRPr="00DF2308" w:rsidRDefault="00AD4292" w:rsidP="00AD4292">
      <w:r w:rsidRPr="008B5078">
        <w:rPr>
          <w:b/>
        </w:rPr>
        <w:t xml:space="preserve">Supplementary </w:t>
      </w:r>
      <w:r>
        <w:rPr>
          <w:b/>
        </w:rPr>
        <w:t>file 1</w:t>
      </w:r>
    </w:p>
    <w:p w:rsidR="00AD4292" w:rsidRDefault="00AD4292" w:rsidP="00AD4292">
      <w:r>
        <w:rPr>
          <w:rFonts w:ascii="Calibri" w:hAnsi="Calibri"/>
          <w:b/>
        </w:rPr>
        <w:t>Studies in emotionally healthy and late-life depressed older adults with prefrontal activati</w:t>
      </w:r>
      <w:r w:rsidR="00396A33">
        <w:rPr>
          <w:rFonts w:ascii="Calibri" w:hAnsi="Calibri"/>
          <w:b/>
        </w:rPr>
        <w:t>on foci (illustrated in Figure 2</w:t>
      </w:r>
      <w:bookmarkStart w:id="0" w:name="_GoBack"/>
      <w:bookmarkEnd w:id="0"/>
      <w:r>
        <w:rPr>
          <w:rFonts w:ascii="Calibri" w:hAnsi="Calibri"/>
          <w:b/>
        </w:rPr>
        <w:t>).</w:t>
      </w:r>
    </w:p>
    <w:tbl>
      <w:tblPr>
        <w:tblStyle w:val="Tabellenraster"/>
        <w:tblW w:w="9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1276"/>
        <w:gridCol w:w="283"/>
        <w:gridCol w:w="586"/>
        <w:gridCol w:w="587"/>
        <w:gridCol w:w="587"/>
      </w:tblGrid>
      <w:tr w:rsidR="00AD4292" w:rsidRPr="00D85DE9" w:rsidTr="00A72233">
        <w:trPr>
          <w:trHeight w:val="247"/>
        </w:trPr>
        <w:tc>
          <w:tcPr>
            <w:tcW w:w="2552" w:type="dxa"/>
            <w:tcBorders>
              <w:top w:val="single" w:sz="12" w:space="0" w:color="auto"/>
            </w:tcBorders>
          </w:tcPr>
          <w:p w:rsidR="00AD4292" w:rsidRPr="00D85DE9" w:rsidRDefault="00AD4292" w:rsidP="00A72233">
            <w:pPr>
              <w:rPr>
                <w:b/>
              </w:rPr>
            </w:pPr>
            <w:r w:rsidRPr="00D85DE9">
              <w:rPr>
                <w:b/>
              </w:rPr>
              <w:t>Study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AD4292" w:rsidRPr="00D85DE9" w:rsidRDefault="00AD4292" w:rsidP="00A72233">
            <w:pPr>
              <w:rPr>
                <w:b/>
              </w:rPr>
            </w:pPr>
            <w:r w:rsidRPr="00D85DE9">
              <w:rPr>
                <w:b/>
              </w:rPr>
              <w:t>Task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D4292" w:rsidRPr="00D85DE9" w:rsidRDefault="00AD4292" w:rsidP="00A72233">
            <w:pPr>
              <w:rPr>
                <w:b/>
              </w:rPr>
            </w:pPr>
            <w:r w:rsidRPr="00D85DE9">
              <w:rPr>
                <w:b/>
              </w:rPr>
              <w:t xml:space="preserve">Peak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D4292" w:rsidRPr="00D85DE9" w:rsidRDefault="00AD4292" w:rsidP="00A72233">
            <w:pPr>
              <w:jc w:val="center"/>
              <w:rPr>
                <w:b/>
              </w:rPr>
            </w:pPr>
          </w:p>
        </w:tc>
        <w:tc>
          <w:tcPr>
            <w:tcW w:w="1760" w:type="dxa"/>
            <w:gridSpan w:val="3"/>
            <w:tcBorders>
              <w:top w:val="single" w:sz="12" w:space="0" w:color="auto"/>
            </w:tcBorders>
          </w:tcPr>
          <w:p w:rsidR="00AD4292" w:rsidRPr="00D85DE9" w:rsidRDefault="00AD4292" w:rsidP="00A72233">
            <w:pPr>
              <w:jc w:val="center"/>
              <w:rPr>
                <w:b/>
              </w:rPr>
            </w:pPr>
            <w:r>
              <w:rPr>
                <w:b/>
              </w:rPr>
              <w:t>MNI c</w:t>
            </w:r>
            <w:r w:rsidRPr="00D85DE9">
              <w:rPr>
                <w:b/>
              </w:rPr>
              <w:t>oordinates</w:t>
            </w:r>
          </w:p>
        </w:tc>
      </w:tr>
      <w:tr w:rsidR="00AD4292" w:rsidRPr="00D85DE9" w:rsidTr="00A72233">
        <w:trPr>
          <w:trHeight w:val="265"/>
        </w:trPr>
        <w:tc>
          <w:tcPr>
            <w:tcW w:w="2552" w:type="dxa"/>
            <w:tcBorders>
              <w:bottom w:val="single" w:sz="12" w:space="0" w:color="auto"/>
            </w:tcBorders>
          </w:tcPr>
          <w:p w:rsidR="00AD4292" w:rsidRPr="00D85DE9" w:rsidRDefault="00AD4292" w:rsidP="00A72233">
            <w:pPr>
              <w:rPr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AD4292" w:rsidRPr="00D85DE9" w:rsidRDefault="00AD4292" w:rsidP="00A72233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D4292" w:rsidRPr="00D85DE9" w:rsidRDefault="00AD4292" w:rsidP="00A72233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D4292" w:rsidRPr="00D85DE9" w:rsidRDefault="00AD4292" w:rsidP="00A72233">
            <w:pPr>
              <w:jc w:val="center"/>
              <w:rPr>
                <w:b/>
              </w:rPr>
            </w:pPr>
          </w:p>
        </w:tc>
        <w:tc>
          <w:tcPr>
            <w:tcW w:w="586" w:type="dxa"/>
            <w:tcBorders>
              <w:bottom w:val="single" w:sz="12" w:space="0" w:color="auto"/>
            </w:tcBorders>
          </w:tcPr>
          <w:p w:rsidR="00AD4292" w:rsidRPr="00D85DE9" w:rsidRDefault="00AD4292" w:rsidP="00A72233">
            <w:pPr>
              <w:jc w:val="center"/>
              <w:rPr>
                <w:b/>
              </w:rPr>
            </w:pPr>
            <w:r w:rsidRPr="00D85DE9">
              <w:rPr>
                <w:b/>
              </w:rPr>
              <w:t>x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D4292" w:rsidRPr="00D85DE9" w:rsidRDefault="00AD4292" w:rsidP="00A72233">
            <w:pPr>
              <w:jc w:val="center"/>
              <w:rPr>
                <w:b/>
              </w:rPr>
            </w:pPr>
            <w:r w:rsidRPr="00D85DE9">
              <w:rPr>
                <w:b/>
              </w:rPr>
              <w:t>y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D4292" w:rsidRDefault="00AD4292" w:rsidP="00A72233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  <w:p w:rsidR="00AD4292" w:rsidRPr="003162DD" w:rsidRDefault="00AD4292" w:rsidP="00A7223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AD4292" w:rsidTr="00A72233">
        <w:trPr>
          <w:trHeight w:val="53"/>
        </w:trPr>
        <w:tc>
          <w:tcPr>
            <w:tcW w:w="9131" w:type="dxa"/>
            <w:gridSpan w:val="7"/>
            <w:tcBorders>
              <w:top w:val="single" w:sz="12" w:space="0" w:color="auto"/>
            </w:tcBorders>
          </w:tcPr>
          <w:p w:rsidR="00AD4292" w:rsidRDefault="00AD4292" w:rsidP="00A72233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Late-life depressed</w:t>
            </w:r>
            <w:r w:rsidRPr="00C14B4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patients </w:t>
            </w:r>
            <w:r w:rsidRPr="00C14B4C">
              <w:rPr>
                <w:rFonts w:ascii="Calibri" w:hAnsi="Calibri" w:cs="Calibri"/>
                <w:b/>
              </w:rPr>
              <w:t xml:space="preserve">vs. </w:t>
            </w:r>
            <w:r>
              <w:rPr>
                <w:rFonts w:ascii="Calibri" w:hAnsi="Calibri" w:cs="Calibri"/>
                <w:b/>
              </w:rPr>
              <w:t>healthy older controls</w:t>
            </w:r>
          </w:p>
          <w:p w:rsidR="00AD4292" w:rsidRPr="003F212A" w:rsidRDefault="00AD4292" w:rsidP="00A72233">
            <w:pPr>
              <w:spacing w:before="120" w:after="120"/>
              <w:rPr>
                <w:b/>
                <w:sz w:val="6"/>
                <w:szCs w:val="6"/>
              </w:rPr>
            </w:pP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r w:rsidRPr="00312F1D">
              <w:rPr>
                <w:rFonts w:ascii="Calibri" w:hAnsi="Calibri" w:cs="Calibri"/>
              </w:rPr>
              <w:t>Brassen et al., 2008</w:t>
            </w:r>
          </w:p>
        </w:tc>
        <w:tc>
          <w:tcPr>
            <w:tcW w:w="3260" w:type="dxa"/>
          </w:tcPr>
          <w:p w:rsidR="00AD4292" w:rsidRPr="00312F1D" w:rsidRDefault="00AD4292" w:rsidP="00A72233">
            <w:r>
              <w:t>emotional spatial cueing task</w:t>
            </w:r>
          </w:p>
        </w:tc>
        <w:tc>
          <w:tcPr>
            <w:tcW w:w="1276" w:type="dxa"/>
          </w:tcPr>
          <w:p w:rsidR="00AD4292" w:rsidRPr="00DF4465" w:rsidRDefault="00AD4292" w:rsidP="00A72233">
            <w:r>
              <w:t xml:space="preserve">medial </w:t>
            </w:r>
            <w:r w:rsidRPr="00DF4465">
              <w:t>OFC</w:t>
            </w:r>
            <w:r>
              <w:t xml:space="preserve">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-6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57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 w:rsidRPr="00511739">
              <w:t>-6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AD4292" w:rsidRPr="00312F1D" w:rsidRDefault="00AD4292" w:rsidP="00A72233"/>
        </w:tc>
        <w:tc>
          <w:tcPr>
            <w:tcW w:w="1276" w:type="dxa"/>
          </w:tcPr>
          <w:p w:rsidR="00AD4292" w:rsidRPr="00DF4465" w:rsidRDefault="00AD4292" w:rsidP="00A72233">
            <w:r>
              <w:t>sup ACC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>
              <w:t>-</w:t>
            </w:r>
            <w:r w:rsidRPr="00944EAA">
              <w:t>9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36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 w:rsidRPr="00511739">
              <w:t>9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AD4292" w:rsidRPr="00312F1D" w:rsidRDefault="00AD4292" w:rsidP="00A72233"/>
        </w:tc>
        <w:tc>
          <w:tcPr>
            <w:tcW w:w="1276" w:type="dxa"/>
          </w:tcPr>
          <w:p w:rsidR="00AD4292" w:rsidRPr="00DF4465" w:rsidRDefault="00AD4292" w:rsidP="00A72233">
            <w:r>
              <w:t>pre ACC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12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39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15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r w:rsidRPr="00A278B8">
              <w:rPr>
                <w:rFonts w:ascii="Calibri" w:hAnsi="Calibri" w:cs="Calibri"/>
              </w:rPr>
              <w:t>Brassen et al., 2012</w:t>
            </w:r>
          </w:p>
        </w:tc>
        <w:tc>
          <w:tcPr>
            <w:tcW w:w="3260" w:type="dxa"/>
          </w:tcPr>
          <w:p w:rsidR="00AD4292" w:rsidRPr="00FC0505" w:rsidRDefault="00AD4292" w:rsidP="00A72233">
            <w:r>
              <w:t>sequential risk taking task</w:t>
            </w:r>
          </w:p>
        </w:tc>
        <w:tc>
          <w:tcPr>
            <w:tcW w:w="1276" w:type="dxa"/>
          </w:tcPr>
          <w:p w:rsidR="00AD4292" w:rsidRPr="00DF4465" w:rsidRDefault="00AD4292" w:rsidP="00A72233">
            <w:r>
              <w:t xml:space="preserve">pre ACC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-20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44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-4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A278B8" w:rsidRDefault="00AD4292" w:rsidP="00A7223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Briceño</w:t>
            </w:r>
            <w:proofErr w:type="spellEnd"/>
            <w:r>
              <w:rPr>
                <w:rFonts w:ascii="Calibri" w:hAnsi="Calibri" w:cs="Calibri"/>
              </w:rPr>
              <w:t xml:space="preserve"> et al., 2015</w:t>
            </w:r>
          </w:p>
        </w:tc>
        <w:tc>
          <w:tcPr>
            <w:tcW w:w="3260" w:type="dxa"/>
          </w:tcPr>
          <w:p w:rsidR="00AD4292" w:rsidRPr="00FC0505" w:rsidRDefault="00AD4292" w:rsidP="00A72233">
            <w:r>
              <w:t>evaluation of emotional faces</w:t>
            </w:r>
          </w:p>
        </w:tc>
        <w:tc>
          <w:tcPr>
            <w:tcW w:w="1276" w:type="dxa"/>
          </w:tcPr>
          <w:p w:rsidR="00AD4292" w:rsidRDefault="00AD4292" w:rsidP="00A72233">
            <w:r>
              <w:t>SFG</w:t>
            </w:r>
          </w:p>
        </w:tc>
        <w:tc>
          <w:tcPr>
            <w:tcW w:w="283" w:type="dxa"/>
          </w:tcPr>
          <w:p w:rsidR="00AD4292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>
              <w:t>20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>
              <w:t>38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>
              <w:t>38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A278B8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AD4292" w:rsidRPr="00FC0505" w:rsidRDefault="00AD4292" w:rsidP="00A72233"/>
        </w:tc>
        <w:tc>
          <w:tcPr>
            <w:tcW w:w="1276" w:type="dxa"/>
          </w:tcPr>
          <w:p w:rsidR="00AD4292" w:rsidRDefault="00AD4292" w:rsidP="00A72233">
            <w:r>
              <w:t>MFG</w:t>
            </w:r>
          </w:p>
        </w:tc>
        <w:tc>
          <w:tcPr>
            <w:tcW w:w="283" w:type="dxa"/>
          </w:tcPr>
          <w:p w:rsidR="00AD4292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>
              <w:t>-21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>
              <w:t>20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>
              <w:t>34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A278B8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AD4292" w:rsidRPr="00FC0505" w:rsidRDefault="00AD4292" w:rsidP="00A72233"/>
        </w:tc>
        <w:tc>
          <w:tcPr>
            <w:tcW w:w="1276" w:type="dxa"/>
          </w:tcPr>
          <w:p w:rsidR="00AD4292" w:rsidRDefault="00AD4292" w:rsidP="00A72233">
            <w:r>
              <w:t>MFG</w:t>
            </w:r>
          </w:p>
        </w:tc>
        <w:tc>
          <w:tcPr>
            <w:tcW w:w="283" w:type="dxa"/>
          </w:tcPr>
          <w:p w:rsidR="00AD4292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>
              <w:t>24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>
              <w:t>15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>
              <w:t>38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r w:rsidRPr="003C4797">
              <w:rPr>
                <w:rFonts w:ascii="Calibri" w:hAnsi="Calibri" w:cs="Calibri"/>
              </w:rPr>
              <w:t>Huang et al., 2019</w:t>
            </w:r>
          </w:p>
        </w:tc>
        <w:tc>
          <w:tcPr>
            <w:tcW w:w="3260" w:type="dxa"/>
          </w:tcPr>
          <w:p w:rsidR="00AD4292" w:rsidRDefault="00AD4292" w:rsidP="00A72233">
            <w:r w:rsidRPr="00FC0505">
              <w:t xml:space="preserve">emotional </w:t>
            </w:r>
            <w:proofErr w:type="spellStart"/>
            <w:r w:rsidRPr="00FC0505">
              <w:t>Stroop</w:t>
            </w:r>
            <w:proofErr w:type="spellEnd"/>
            <w:r>
              <w:t xml:space="preserve"> task</w:t>
            </w:r>
          </w:p>
        </w:tc>
        <w:tc>
          <w:tcPr>
            <w:tcW w:w="1276" w:type="dxa"/>
          </w:tcPr>
          <w:p w:rsidR="00AD4292" w:rsidRPr="009E3678" w:rsidRDefault="00AD4292" w:rsidP="00A72233">
            <w:r>
              <w:t>SFG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-20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-8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 w:rsidRPr="00511739">
              <w:t>48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C4797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/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>
              <w:t xml:space="preserve">pre </w:t>
            </w:r>
            <w:r w:rsidRPr="003363FB">
              <w:t>ACC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4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40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8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C4797" w:rsidRDefault="00AD4292" w:rsidP="00A7223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Mah</w:t>
            </w:r>
            <w:proofErr w:type="spellEnd"/>
            <w:r>
              <w:rPr>
                <w:rFonts w:ascii="Calibri" w:hAnsi="Calibri" w:cs="Calibri"/>
              </w:rPr>
              <w:t xml:space="preserve"> et al., 2011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>
              <w:t>evaluation of emotional faces</w:t>
            </w:r>
          </w:p>
        </w:tc>
        <w:tc>
          <w:tcPr>
            <w:tcW w:w="1276" w:type="dxa"/>
            <w:shd w:val="clear" w:color="auto" w:fill="auto"/>
          </w:tcPr>
          <w:p w:rsidR="00AD4292" w:rsidRDefault="00AD4292" w:rsidP="00A72233">
            <w:r>
              <w:t>MFG</w:t>
            </w:r>
          </w:p>
        </w:tc>
        <w:tc>
          <w:tcPr>
            <w:tcW w:w="283" w:type="dxa"/>
          </w:tcPr>
          <w:p w:rsidR="00AD4292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>
              <w:t>-40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>
              <w:t>5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>
              <w:t>29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:rsidR="00AD4292" w:rsidRDefault="00AD4292" w:rsidP="00A72233"/>
        </w:tc>
        <w:tc>
          <w:tcPr>
            <w:tcW w:w="1276" w:type="dxa"/>
            <w:shd w:val="clear" w:color="auto" w:fill="auto"/>
          </w:tcPr>
          <w:p w:rsidR="00AD4292" w:rsidRDefault="00AD4292" w:rsidP="00A72233">
            <w:r>
              <w:t>MFG</w:t>
            </w:r>
          </w:p>
        </w:tc>
        <w:tc>
          <w:tcPr>
            <w:tcW w:w="283" w:type="dxa"/>
          </w:tcPr>
          <w:p w:rsidR="00AD4292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>
              <w:t>41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>
              <w:t>32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>
              <w:t>16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proofErr w:type="spellStart"/>
            <w:r w:rsidRPr="003C4797">
              <w:rPr>
                <w:rFonts w:ascii="Calibri" w:hAnsi="Calibri" w:cs="Calibri"/>
              </w:rPr>
              <w:t>Vasudev</w:t>
            </w:r>
            <w:proofErr w:type="spellEnd"/>
            <w:r w:rsidRPr="003C4797">
              <w:rPr>
                <w:rFonts w:ascii="Calibri" w:hAnsi="Calibri" w:cs="Calibri"/>
              </w:rPr>
              <w:t xml:space="preserve"> et al., 2018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evaluation of emotional words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>
              <w:t xml:space="preserve">medial </w:t>
            </w:r>
            <w:r w:rsidRPr="003363FB">
              <w:t xml:space="preserve">SFG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-3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59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14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C4797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/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>
              <w:t xml:space="preserve">pre </w:t>
            </w:r>
            <w:r w:rsidRPr="003363FB">
              <w:t>ACC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-12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46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10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  <w:tcBorders>
              <w:bottom w:val="single" w:sz="4" w:space="0" w:color="auto"/>
            </w:tcBorders>
          </w:tcPr>
          <w:p w:rsidR="00AD4292" w:rsidRDefault="00AD4292" w:rsidP="00A72233">
            <w:r w:rsidRPr="003C4797">
              <w:rPr>
                <w:rFonts w:ascii="Calibri" w:hAnsi="Calibri" w:cs="Calibri"/>
              </w:rPr>
              <w:t>Wang et al., 2008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D4292" w:rsidRPr="003363FB" w:rsidRDefault="00AD4292" w:rsidP="00A72233">
            <w:r w:rsidRPr="003363FB">
              <w:t>emotional oddball task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292" w:rsidRPr="003363FB" w:rsidRDefault="00AD4292" w:rsidP="00A72233">
            <w:r w:rsidRPr="003363FB">
              <w:t>SFG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D4292" w:rsidRPr="00944EAA" w:rsidRDefault="00AD4292" w:rsidP="00A72233">
            <w:pPr>
              <w:jc w:val="right"/>
            </w:pPr>
            <w:r w:rsidRPr="00944EAA">
              <w:t>25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AD4292" w:rsidRPr="00F738FC" w:rsidRDefault="00AD4292" w:rsidP="00A72233">
            <w:pPr>
              <w:jc w:val="right"/>
            </w:pPr>
            <w:r w:rsidRPr="00F738FC">
              <w:t>32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AD4292" w:rsidRDefault="00AD4292" w:rsidP="00A72233">
            <w:pPr>
              <w:jc w:val="right"/>
            </w:pPr>
            <w:r w:rsidRPr="00511739">
              <w:t>35</w:t>
            </w:r>
          </w:p>
          <w:p w:rsidR="00AD4292" w:rsidRPr="00511739" w:rsidRDefault="00AD4292" w:rsidP="00A72233">
            <w:pPr>
              <w:jc w:val="right"/>
            </w:pPr>
          </w:p>
        </w:tc>
      </w:tr>
      <w:tr w:rsidR="00AD4292" w:rsidTr="00A72233">
        <w:trPr>
          <w:trHeight w:val="53"/>
        </w:trPr>
        <w:tc>
          <w:tcPr>
            <w:tcW w:w="91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D4292" w:rsidRPr="003363FB" w:rsidRDefault="00AD4292" w:rsidP="00A72233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Emotionally healthy older adults </w:t>
            </w:r>
            <w:r w:rsidRPr="003363FB">
              <w:rPr>
                <w:rFonts w:ascii="Calibri" w:hAnsi="Calibri" w:cs="Calibri"/>
                <w:b/>
              </w:rPr>
              <w:t>vs.</w:t>
            </w:r>
            <w:r>
              <w:rPr>
                <w:rFonts w:ascii="Calibri" w:hAnsi="Calibri" w:cs="Calibri"/>
                <w:b/>
              </w:rPr>
              <w:t xml:space="preserve"> emotionally healthy</w:t>
            </w:r>
            <w:r w:rsidRPr="003363FB">
              <w:rPr>
                <w:rFonts w:ascii="Calibri" w:hAnsi="Calibri" w:cs="Calibri"/>
                <w:b/>
              </w:rPr>
              <w:t xml:space="preserve"> young</w:t>
            </w:r>
            <w:r>
              <w:rPr>
                <w:rFonts w:ascii="Calibri" w:hAnsi="Calibri" w:cs="Calibri"/>
                <w:b/>
              </w:rPr>
              <w:t>er</w:t>
            </w:r>
            <w:r w:rsidRPr="003363FB">
              <w:rPr>
                <w:rFonts w:ascii="Calibri" w:hAnsi="Calibri" w:cs="Calibri"/>
                <w:b/>
              </w:rPr>
              <w:t xml:space="preserve"> adults</w:t>
            </w:r>
          </w:p>
          <w:p w:rsidR="00AD4292" w:rsidRPr="003363FB" w:rsidRDefault="00AD4292" w:rsidP="00A72233">
            <w:pPr>
              <w:spacing w:before="120" w:after="120"/>
              <w:rPr>
                <w:b/>
                <w:sz w:val="6"/>
                <w:szCs w:val="6"/>
              </w:rPr>
            </w:pP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r w:rsidRPr="00A278B8">
              <w:rPr>
                <w:rFonts w:ascii="Calibri" w:hAnsi="Calibri" w:cs="Calibri"/>
              </w:rPr>
              <w:t>Brassen et al., 2012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>
              <w:t>sequential risk taking task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pre ACC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-20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44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-4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pPr>
              <w:rPr>
                <w:rFonts w:ascii="Calibri" w:hAnsi="Calibri" w:cs="Calibri"/>
                <w:lang w:val="de-DE"/>
              </w:rPr>
            </w:pPr>
            <w:r w:rsidRPr="00C14B4C">
              <w:rPr>
                <w:rFonts w:ascii="Calibri" w:hAnsi="Calibri" w:cs="Calibri"/>
              </w:rPr>
              <w:t>Brassen et al., 20</w:t>
            </w:r>
            <w:r w:rsidRPr="00312F1D">
              <w:rPr>
                <w:rFonts w:ascii="Calibri" w:hAnsi="Calibri" w:cs="Calibri"/>
                <w:lang w:val="de-DE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evaluation of emotional words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sup ACC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-12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36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 w:rsidRPr="00511739">
              <w:t>22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pPr>
              <w:rPr>
                <w:lang w:val="de-DE"/>
              </w:rPr>
            </w:pP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/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>MFG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-42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32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36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r w:rsidRPr="00312F1D">
              <w:rPr>
                <w:rFonts w:ascii="Calibri" w:hAnsi="Calibri" w:cs="Calibri"/>
              </w:rPr>
              <w:t>Corbett et al., 2020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valence encoding task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>SFG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18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66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 w:rsidRPr="00511739">
              <w:t>-3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/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medial OFC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3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39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-21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r w:rsidRPr="003C4797">
              <w:rPr>
                <w:rFonts w:ascii="Calibri" w:hAnsi="Calibri" w:cs="Calibri"/>
              </w:rPr>
              <w:t>Fischer et al., 2010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learning of emotional faces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MFG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27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44</w:t>
            </w:r>
          </w:p>
        </w:tc>
        <w:tc>
          <w:tcPr>
            <w:tcW w:w="587" w:type="dxa"/>
          </w:tcPr>
          <w:p w:rsidR="00AD4292" w:rsidRDefault="00AD4292" w:rsidP="00A72233">
            <w:pPr>
              <w:jc w:val="right"/>
            </w:pPr>
            <w:r w:rsidRPr="00511739">
              <w:t>32</w:t>
            </w:r>
          </w:p>
          <w:p w:rsidR="00AD4292" w:rsidRPr="003162DD" w:rsidRDefault="00AD4292" w:rsidP="00A72233">
            <w:pPr>
              <w:jc w:val="right"/>
              <w:rPr>
                <w:sz w:val="6"/>
                <w:szCs w:val="6"/>
              </w:rPr>
            </w:pP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D85DE9" w:rsidRDefault="00AD4292" w:rsidP="00A72233">
            <w:pPr>
              <w:rPr>
                <w:rFonts w:ascii="Calibri" w:hAnsi="Calibri" w:cs="Calibri"/>
              </w:rPr>
            </w:pPr>
            <w:r w:rsidRPr="003C4797">
              <w:rPr>
                <w:rFonts w:ascii="Calibri" w:hAnsi="Calibri" w:cs="Calibri"/>
              </w:rPr>
              <w:t xml:space="preserve">Leclerc &amp; </w:t>
            </w:r>
            <w:r>
              <w:rPr>
                <w:rFonts w:ascii="Calibri" w:hAnsi="Calibri" w:cs="Calibri"/>
              </w:rPr>
              <w:br/>
            </w:r>
            <w:proofErr w:type="spellStart"/>
            <w:r w:rsidRPr="003C4797">
              <w:rPr>
                <w:rFonts w:ascii="Calibri" w:hAnsi="Calibri" w:cs="Calibri"/>
              </w:rPr>
              <w:t>Kensinger</w:t>
            </w:r>
            <w:proofErr w:type="spellEnd"/>
            <w:r w:rsidRPr="003C4797">
              <w:rPr>
                <w:rFonts w:ascii="Calibri" w:hAnsi="Calibri" w:cs="Calibri"/>
              </w:rPr>
              <w:t>, 2010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emotional visual search task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medial SFG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7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51</w:t>
            </w:r>
          </w:p>
        </w:tc>
        <w:tc>
          <w:tcPr>
            <w:tcW w:w="587" w:type="dxa"/>
          </w:tcPr>
          <w:p w:rsidR="00AD4292" w:rsidRDefault="00AD4292" w:rsidP="00A72233">
            <w:pPr>
              <w:jc w:val="right"/>
            </w:pPr>
            <w:r w:rsidRPr="00511739">
              <w:t>7</w:t>
            </w:r>
          </w:p>
          <w:p w:rsidR="00AD4292" w:rsidRPr="00511739" w:rsidRDefault="00AD4292" w:rsidP="00A72233">
            <w:pPr>
              <w:spacing w:after="120"/>
              <w:jc w:val="right"/>
            </w:pP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proofErr w:type="spellStart"/>
            <w:r w:rsidRPr="003C4797">
              <w:rPr>
                <w:rFonts w:ascii="Calibri" w:hAnsi="Calibri" w:cs="Calibri"/>
              </w:rPr>
              <w:t>Murty</w:t>
            </w:r>
            <w:proofErr w:type="spellEnd"/>
            <w:r w:rsidRPr="003C4797">
              <w:rPr>
                <w:rFonts w:ascii="Calibri" w:hAnsi="Calibri" w:cs="Calibri"/>
              </w:rPr>
              <w:t xml:space="preserve"> et al., 2009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learning of emotional scenes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MFG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-38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-7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jc w:val="right"/>
            </w:pPr>
            <w:r w:rsidRPr="00511739">
              <w:t>53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C4797" w:rsidRDefault="00AD4292" w:rsidP="00A7223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/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>MFG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-35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-5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31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proofErr w:type="spellStart"/>
            <w:r w:rsidRPr="003C4797">
              <w:rPr>
                <w:rFonts w:ascii="Calibri" w:hAnsi="Calibri" w:cs="Calibri"/>
              </w:rPr>
              <w:t>Opitz</w:t>
            </w:r>
            <w:proofErr w:type="spellEnd"/>
            <w:r w:rsidRPr="003C4797">
              <w:rPr>
                <w:rFonts w:ascii="Calibri" w:hAnsi="Calibri" w:cs="Calibri"/>
              </w:rPr>
              <w:t xml:space="preserve"> et al., 2012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gaze-directed reappraisal task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 xml:space="preserve">sup ACC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-6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26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24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r w:rsidRPr="00A278B8">
              <w:rPr>
                <w:rFonts w:ascii="Calibri" w:hAnsi="Calibri" w:cs="Calibri"/>
              </w:rPr>
              <w:t>Ritchey et al., 2011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evaluation of emotional pictures</w:t>
            </w:r>
          </w:p>
        </w:tc>
        <w:tc>
          <w:tcPr>
            <w:tcW w:w="1276" w:type="dxa"/>
            <w:shd w:val="clear" w:color="auto" w:fill="auto"/>
          </w:tcPr>
          <w:p w:rsidR="00AD4292" w:rsidRDefault="00AD4292" w:rsidP="00A72233">
            <w:r w:rsidRPr="003363FB">
              <w:t xml:space="preserve">sup ACC </w:t>
            </w:r>
          </w:p>
          <w:p w:rsidR="00AD4292" w:rsidRPr="003363FB" w:rsidRDefault="00AD4292" w:rsidP="00A72233">
            <w:r>
              <w:t>pre ACC</w:t>
            </w:r>
          </w:p>
        </w:tc>
        <w:tc>
          <w:tcPr>
            <w:tcW w:w="283" w:type="dxa"/>
          </w:tcPr>
          <w:p w:rsidR="00AD4292" w:rsidRDefault="00AD4292" w:rsidP="00A72233">
            <w:r>
              <w:t>L</w:t>
            </w:r>
          </w:p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Default="00AD4292" w:rsidP="00A72233">
            <w:pPr>
              <w:jc w:val="right"/>
            </w:pPr>
            <w:r w:rsidRPr="00944EAA">
              <w:t>19</w:t>
            </w:r>
          </w:p>
          <w:p w:rsidR="00AD4292" w:rsidRPr="00944EAA" w:rsidRDefault="00AD4292" w:rsidP="00A72233">
            <w:pPr>
              <w:jc w:val="right"/>
            </w:pPr>
            <w:r>
              <w:t>-8</w:t>
            </w:r>
          </w:p>
        </w:tc>
        <w:tc>
          <w:tcPr>
            <w:tcW w:w="587" w:type="dxa"/>
          </w:tcPr>
          <w:p w:rsidR="00AD4292" w:rsidRDefault="00AD4292" w:rsidP="00A72233">
            <w:pPr>
              <w:jc w:val="right"/>
            </w:pPr>
            <w:r w:rsidRPr="00F738FC">
              <w:t>37</w:t>
            </w:r>
          </w:p>
          <w:p w:rsidR="00AD4292" w:rsidRPr="00F738FC" w:rsidRDefault="00AD4292" w:rsidP="00A72233">
            <w:pPr>
              <w:jc w:val="right"/>
            </w:pPr>
            <w:r>
              <w:t>47</w:t>
            </w:r>
          </w:p>
        </w:tc>
        <w:tc>
          <w:tcPr>
            <w:tcW w:w="587" w:type="dxa"/>
          </w:tcPr>
          <w:p w:rsidR="00AD4292" w:rsidRDefault="00AD4292" w:rsidP="00A72233">
            <w:pPr>
              <w:jc w:val="right"/>
            </w:pPr>
            <w:r w:rsidRPr="00511739">
              <w:t>12</w:t>
            </w:r>
          </w:p>
          <w:p w:rsidR="00AD4292" w:rsidRPr="00511739" w:rsidRDefault="00AD4292" w:rsidP="00A72233">
            <w:pPr>
              <w:spacing w:after="120"/>
              <w:jc w:val="right"/>
            </w:pPr>
            <w:r>
              <w:t>14</w:t>
            </w:r>
          </w:p>
        </w:tc>
      </w:tr>
      <w:tr w:rsidR="00AD4292" w:rsidRPr="00511739" w:rsidTr="00A72233">
        <w:trPr>
          <w:trHeight w:val="53"/>
        </w:trPr>
        <w:tc>
          <w:tcPr>
            <w:tcW w:w="2552" w:type="dxa"/>
          </w:tcPr>
          <w:p w:rsidR="00AD4292" w:rsidRDefault="00AD4292" w:rsidP="00A72233">
            <w:proofErr w:type="spellStart"/>
            <w:r w:rsidRPr="003C4797">
              <w:rPr>
                <w:rFonts w:ascii="Calibri" w:hAnsi="Calibri" w:cs="Calibri"/>
              </w:rPr>
              <w:t>Roalf</w:t>
            </w:r>
            <w:proofErr w:type="spellEnd"/>
            <w:r w:rsidRPr="003C4797">
              <w:rPr>
                <w:rFonts w:ascii="Calibri" w:hAnsi="Calibri" w:cs="Calibri"/>
              </w:rPr>
              <w:t xml:space="preserve"> et al., 2011</w:t>
            </w:r>
          </w:p>
        </w:tc>
        <w:tc>
          <w:tcPr>
            <w:tcW w:w="3260" w:type="dxa"/>
            <w:shd w:val="clear" w:color="auto" w:fill="auto"/>
          </w:tcPr>
          <w:p w:rsidR="00AD4292" w:rsidRPr="003363FB" w:rsidRDefault="00AD4292" w:rsidP="00A72233">
            <w:r w:rsidRPr="003363FB">
              <w:t>evaluation of emotional pictures</w:t>
            </w:r>
          </w:p>
        </w:tc>
        <w:tc>
          <w:tcPr>
            <w:tcW w:w="1276" w:type="dxa"/>
            <w:shd w:val="clear" w:color="auto" w:fill="auto"/>
          </w:tcPr>
          <w:p w:rsidR="00AD4292" w:rsidRPr="003363FB" w:rsidRDefault="00AD4292" w:rsidP="00A72233">
            <w:r w:rsidRPr="003363FB">
              <w:t>MFG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-35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20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30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</w:tcPr>
          <w:p w:rsidR="00AD4292" w:rsidRPr="00312F1D" w:rsidRDefault="00AD4292" w:rsidP="00A72233">
            <w:proofErr w:type="spellStart"/>
            <w:r w:rsidRPr="00312F1D">
              <w:rPr>
                <w:rFonts w:ascii="Calibri" w:hAnsi="Calibri" w:cs="Calibri"/>
              </w:rPr>
              <w:lastRenderedPageBreak/>
              <w:t>Sakaki</w:t>
            </w:r>
            <w:proofErr w:type="spellEnd"/>
            <w:r w:rsidRPr="00312F1D">
              <w:rPr>
                <w:rFonts w:ascii="Calibri" w:hAnsi="Calibri" w:cs="Calibri"/>
              </w:rPr>
              <w:t xml:space="preserve"> et al., 2013</w:t>
            </w:r>
          </w:p>
        </w:tc>
        <w:tc>
          <w:tcPr>
            <w:tcW w:w="3260" w:type="dxa"/>
          </w:tcPr>
          <w:p w:rsidR="00AD4292" w:rsidRPr="00312F1D" w:rsidRDefault="00AD4292" w:rsidP="00A72233">
            <w:r w:rsidRPr="00FC0505">
              <w:t xml:space="preserve">learning </w:t>
            </w:r>
            <w:r>
              <w:t xml:space="preserve">of </w:t>
            </w:r>
            <w:r w:rsidRPr="00FC0505">
              <w:t>emotional faces</w:t>
            </w:r>
          </w:p>
        </w:tc>
        <w:tc>
          <w:tcPr>
            <w:tcW w:w="1276" w:type="dxa"/>
          </w:tcPr>
          <w:p w:rsidR="00AD4292" w:rsidRPr="009E3678" w:rsidRDefault="00AD4292" w:rsidP="00A72233">
            <w:r>
              <w:t xml:space="preserve">medial SFG </w:t>
            </w:r>
          </w:p>
        </w:tc>
        <w:tc>
          <w:tcPr>
            <w:tcW w:w="283" w:type="dxa"/>
          </w:tcPr>
          <w:p w:rsidR="00AD4292" w:rsidRPr="00944EAA" w:rsidRDefault="00AD4292" w:rsidP="00A72233">
            <w:r>
              <w:t>L</w:t>
            </w:r>
          </w:p>
        </w:tc>
        <w:tc>
          <w:tcPr>
            <w:tcW w:w="586" w:type="dxa"/>
          </w:tcPr>
          <w:p w:rsidR="00AD4292" w:rsidRPr="00944EAA" w:rsidRDefault="00AD4292" w:rsidP="00A72233">
            <w:pPr>
              <w:jc w:val="right"/>
            </w:pPr>
            <w:r w:rsidRPr="00944EAA">
              <w:t>-6</w:t>
            </w:r>
          </w:p>
        </w:tc>
        <w:tc>
          <w:tcPr>
            <w:tcW w:w="587" w:type="dxa"/>
          </w:tcPr>
          <w:p w:rsidR="00AD4292" w:rsidRPr="00F738FC" w:rsidRDefault="00AD4292" w:rsidP="00A72233">
            <w:pPr>
              <w:jc w:val="right"/>
            </w:pPr>
            <w:r w:rsidRPr="00F738FC">
              <w:t>58</w:t>
            </w:r>
          </w:p>
        </w:tc>
        <w:tc>
          <w:tcPr>
            <w:tcW w:w="587" w:type="dxa"/>
          </w:tcPr>
          <w:p w:rsidR="00AD4292" w:rsidRPr="00511739" w:rsidRDefault="00AD4292" w:rsidP="00A72233">
            <w:pPr>
              <w:spacing w:after="120"/>
              <w:jc w:val="right"/>
            </w:pPr>
            <w:r w:rsidRPr="00511739">
              <w:t>4</w:t>
            </w:r>
          </w:p>
        </w:tc>
      </w:tr>
      <w:tr w:rsidR="00AD4292" w:rsidTr="00A72233">
        <w:trPr>
          <w:trHeight w:val="53"/>
        </w:trPr>
        <w:tc>
          <w:tcPr>
            <w:tcW w:w="2552" w:type="dxa"/>
            <w:tcBorders>
              <w:bottom w:val="single" w:sz="12" w:space="0" w:color="auto"/>
            </w:tcBorders>
          </w:tcPr>
          <w:p w:rsidR="00AD4292" w:rsidRDefault="00AD4292" w:rsidP="00A72233">
            <w:r w:rsidRPr="003C4797">
              <w:rPr>
                <w:rFonts w:ascii="Calibri" w:hAnsi="Calibri" w:cs="Calibri"/>
              </w:rPr>
              <w:t xml:space="preserve">van </w:t>
            </w:r>
            <w:proofErr w:type="spellStart"/>
            <w:r w:rsidRPr="003C4797">
              <w:rPr>
                <w:rFonts w:ascii="Calibri" w:hAnsi="Calibri" w:cs="Calibri"/>
              </w:rPr>
              <w:t>Reekum</w:t>
            </w:r>
            <w:proofErr w:type="spellEnd"/>
            <w:r w:rsidRPr="003C4797">
              <w:rPr>
                <w:rFonts w:ascii="Calibri" w:hAnsi="Calibri" w:cs="Calibri"/>
              </w:rPr>
              <w:t xml:space="preserve"> et al., 2018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AD4292" w:rsidRDefault="00AD4292" w:rsidP="00A72233">
            <w:r>
              <w:t>evaluation of emotional scenes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D4292" w:rsidRPr="009E3678" w:rsidRDefault="00AD4292" w:rsidP="00A72233">
            <w:r>
              <w:t xml:space="preserve">medial OFC 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D4292" w:rsidRPr="00944EAA" w:rsidRDefault="00AD4292" w:rsidP="00A72233">
            <w:r>
              <w:t>R</w:t>
            </w:r>
          </w:p>
        </w:tc>
        <w:tc>
          <w:tcPr>
            <w:tcW w:w="586" w:type="dxa"/>
            <w:tcBorders>
              <w:bottom w:val="single" w:sz="12" w:space="0" w:color="auto"/>
            </w:tcBorders>
          </w:tcPr>
          <w:p w:rsidR="00AD4292" w:rsidRPr="00944EAA" w:rsidRDefault="00AD4292" w:rsidP="00A72233">
            <w:pPr>
              <w:jc w:val="right"/>
            </w:pPr>
            <w:r w:rsidRPr="00944EAA">
              <w:t>6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D4292" w:rsidRPr="00F738FC" w:rsidRDefault="00AD4292" w:rsidP="00A72233">
            <w:pPr>
              <w:jc w:val="right"/>
            </w:pPr>
            <w:r w:rsidRPr="00F738FC">
              <w:t>48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D4292" w:rsidRDefault="00AD4292" w:rsidP="00A72233">
            <w:pPr>
              <w:jc w:val="right"/>
            </w:pPr>
            <w:r w:rsidRPr="00511739">
              <w:t>-8</w:t>
            </w:r>
          </w:p>
          <w:p w:rsidR="00AD4292" w:rsidRPr="00511739" w:rsidRDefault="00AD4292" w:rsidP="00A72233">
            <w:pPr>
              <w:jc w:val="right"/>
            </w:pPr>
          </w:p>
        </w:tc>
      </w:tr>
    </w:tbl>
    <w:p w:rsidR="00AD4292" w:rsidRPr="001A1C77" w:rsidRDefault="00AD4292" w:rsidP="00AD4292">
      <w:pPr>
        <w:spacing w:after="0"/>
        <w:rPr>
          <w:sz w:val="6"/>
          <w:szCs w:val="6"/>
        </w:rPr>
      </w:pPr>
    </w:p>
    <w:p w:rsidR="00AD4292" w:rsidRDefault="00AD4292" w:rsidP="00AD4292">
      <w:pPr>
        <w:jc w:val="both"/>
      </w:pPr>
      <w:r>
        <w:t xml:space="preserve">Regions defined according to the automated anatomical labelling atlas AAL3 </w:t>
      </w:r>
      <w:r w:rsidRPr="001A1C77">
        <w:rPr>
          <w:rFonts w:ascii="Calibri" w:hAnsi="Calibri" w:cs="Calibri"/>
        </w:rPr>
        <w:t>(Rolls et al., 2020)</w:t>
      </w:r>
      <w:r>
        <w:rPr>
          <w:rFonts w:ascii="Calibri" w:hAnsi="Calibri" w:cs="Calibri"/>
        </w:rPr>
        <w:t xml:space="preserve">. Reported Talairach coordinates were transformed to MNI coordinates using the </w:t>
      </w:r>
      <w:proofErr w:type="spellStart"/>
      <w:r>
        <w:rPr>
          <w:rFonts w:ascii="Calibri" w:hAnsi="Calibri" w:cs="Calibri"/>
        </w:rPr>
        <w:t>BioImage</w:t>
      </w:r>
      <w:proofErr w:type="spellEnd"/>
      <w:r>
        <w:rPr>
          <w:rFonts w:ascii="Calibri" w:hAnsi="Calibri" w:cs="Calibri"/>
        </w:rPr>
        <w:t xml:space="preserve"> Suite Web Tool (</w:t>
      </w:r>
      <w:hyperlink r:id="rId4" w:history="1">
        <w:r w:rsidRPr="00D61EC3">
          <w:rPr>
            <w:rStyle w:val="Hyperlink"/>
            <w:rFonts w:ascii="Calibri" w:hAnsi="Calibri" w:cs="Calibri"/>
          </w:rPr>
          <w:t>https://bioimagesuiteweb.github.io/webapp/mni2tal.html</w:t>
        </w:r>
      </w:hyperlink>
      <w:r>
        <w:rPr>
          <w:rFonts w:ascii="Calibri" w:hAnsi="Calibri" w:cs="Calibri"/>
        </w:rPr>
        <w:t>).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/>
      </w:r>
      <w:r w:rsidRPr="00D5293B">
        <w:t>ACC</w:t>
      </w:r>
      <w:r>
        <w:t>:</w:t>
      </w:r>
      <w:r w:rsidRPr="00D5293B">
        <w:t xml:space="preserve"> anterior cingulate cortex</w:t>
      </w:r>
      <w:r>
        <w:t>, pre:</w:t>
      </w:r>
      <w:r w:rsidRPr="00D5293B">
        <w:t xml:space="preserve"> </w:t>
      </w:r>
      <w:proofErr w:type="spellStart"/>
      <w:r w:rsidRPr="00D5293B">
        <w:t>pregenual</w:t>
      </w:r>
      <w:proofErr w:type="spellEnd"/>
      <w:r>
        <w:t xml:space="preserve">, sup: </w:t>
      </w:r>
      <w:proofErr w:type="spellStart"/>
      <w:r w:rsidRPr="00D5293B">
        <w:t>supracallosal</w:t>
      </w:r>
      <w:proofErr w:type="spellEnd"/>
      <w:r>
        <w:t>,</w:t>
      </w:r>
      <w:r w:rsidRPr="00D5293B">
        <w:t xml:space="preserve"> MFG</w:t>
      </w:r>
      <w:r>
        <w:t>:</w:t>
      </w:r>
      <w:r w:rsidRPr="00D5293B">
        <w:t xml:space="preserve"> middle frontal gyrus. OFC</w:t>
      </w:r>
      <w:r>
        <w:t>:</w:t>
      </w:r>
      <w:r w:rsidRPr="00D5293B">
        <w:t xml:space="preserve"> orbitofrontal cortex</w:t>
      </w:r>
      <w:r>
        <w:t>,</w:t>
      </w:r>
      <w:r w:rsidRPr="00D5293B">
        <w:t xml:space="preserve"> SFG</w:t>
      </w:r>
      <w:r>
        <w:t>:</w:t>
      </w:r>
      <w:r w:rsidRPr="00D5293B">
        <w:t xml:space="preserve"> superior frontal gyrus.</w:t>
      </w:r>
      <w:r>
        <w:t xml:space="preserve"> L: left, R: right.</w:t>
      </w:r>
    </w:p>
    <w:p w:rsidR="00AD4292" w:rsidRPr="003C4797" w:rsidRDefault="00AD4292" w:rsidP="001479ED">
      <w:pPr>
        <w:jc w:val="both"/>
        <w:rPr>
          <w:rFonts w:ascii="Calibri" w:hAnsi="Calibri" w:cs="Calibri"/>
        </w:rPr>
      </w:pPr>
      <w:r>
        <w:br/>
      </w:r>
    </w:p>
    <w:p w:rsidR="00D524B5" w:rsidRDefault="00D524B5"/>
    <w:sectPr w:rsidR="00D524B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92"/>
    <w:rsid w:val="001479ED"/>
    <w:rsid w:val="002502D6"/>
    <w:rsid w:val="00396A33"/>
    <w:rsid w:val="004D6F00"/>
    <w:rsid w:val="006B72C4"/>
    <w:rsid w:val="00987E6B"/>
    <w:rsid w:val="00AD4292"/>
    <w:rsid w:val="00D524B5"/>
    <w:rsid w:val="00D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2E12"/>
  <w15:chartTrackingRefBased/>
  <w15:docId w15:val="{170D9903-7E99-41FC-A809-68CA6438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42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4292"/>
    <w:rPr>
      <w:color w:val="0563C1" w:themeColor="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AD4292"/>
    <w:pPr>
      <w:spacing w:after="240" w:line="240" w:lineRule="auto"/>
      <w:ind w:left="720" w:hanging="720"/>
    </w:pPr>
  </w:style>
  <w:style w:type="table" w:styleId="Tabellenraster">
    <w:name w:val="Table Grid"/>
    <w:basedOn w:val="NormaleTabelle"/>
    <w:uiPriority w:val="39"/>
    <w:rsid w:val="00AD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imagesuiteweb.github.io/webapp/mni2tal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Thams</dc:creator>
  <cp:keywords/>
  <dc:description/>
  <cp:lastModifiedBy>Friederike Thams</cp:lastModifiedBy>
  <cp:revision>3</cp:revision>
  <dcterms:created xsi:type="dcterms:W3CDTF">2022-12-15T11:05:00Z</dcterms:created>
  <dcterms:modified xsi:type="dcterms:W3CDTF">2022-12-15T14:57:00Z</dcterms:modified>
</cp:coreProperties>
</file>