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59" w:rsidRPr="0074033B" w:rsidRDefault="006C1F59" w:rsidP="006C1F59">
      <w:pPr>
        <w:spacing w:line="480" w:lineRule="auto"/>
        <w:rPr>
          <w:rFonts w:asciiTheme="minorBidi" w:hAnsiTheme="minorBidi"/>
          <w:b/>
          <w:bCs/>
        </w:rPr>
      </w:pPr>
      <w:r w:rsidRPr="00462454">
        <w:rPr>
          <w:rFonts w:asciiTheme="minorBidi" w:hAnsiTheme="minorBidi"/>
          <w:b/>
          <w:bCs/>
        </w:rPr>
        <w:t>Supplemental Table S1.</w:t>
      </w:r>
      <w:r w:rsidRPr="00462454">
        <w:rPr>
          <w:rFonts w:asciiTheme="minorBidi" w:hAnsiTheme="minorBidi"/>
        </w:rPr>
        <w:t xml:space="preserve"> </w:t>
      </w:r>
      <w:r w:rsidRPr="0074033B">
        <w:rPr>
          <w:rFonts w:asciiTheme="minorBidi" w:hAnsiTheme="minorBidi"/>
          <w:b/>
          <w:bCs/>
        </w:rPr>
        <w:t>A list of bacterial strains used in this study.</w:t>
      </w:r>
    </w:p>
    <w:tbl>
      <w:tblPr>
        <w:tblStyle w:val="TableGrid"/>
        <w:tblW w:w="5038" w:type="pct"/>
        <w:tblLook w:val="04A0" w:firstRow="1" w:lastRow="0" w:firstColumn="1" w:lastColumn="0" w:noHBand="0" w:noVBand="1"/>
      </w:tblPr>
      <w:tblGrid>
        <w:gridCol w:w="2819"/>
        <w:gridCol w:w="3664"/>
        <w:gridCol w:w="1876"/>
      </w:tblGrid>
      <w:tr w:rsidR="006C1F59" w:rsidRPr="0074033B" w:rsidTr="00A063EB">
        <w:tc>
          <w:tcPr>
            <w:tcW w:w="1552" w:type="pct"/>
          </w:tcPr>
          <w:p w:rsidR="006C1F59" w:rsidRPr="0074033B" w:rsidRDefault="006C1F59" w:rsidP="00A063EB">
            <w:pPr>
              <w:jc w:val="both"/>
              <w:rPr>
                <w:rFonts w:asciiTheme="minorBidi" w:hAnsiTheme="minorBidi"/>
                <w:b/>
                <w:bCs/>
              </w:rPr>
            </w:pPr>
            <w:r w:rsidRPr="0074033B">
              <w:rPr>
                <w:rFonts w:asciiTheme="minorBidi" w:hAnsiTheme="minorBidi"/>
                <w:b/>
                <w:bCs/>
              </w:rPr>
              <w:t>Strain name</w:t>
            </w:r>
          </w:p>
        </w:tc>
        <w:tc>
          <w:tcPr>
            <w:tcW w:w="2259" w:type="pct"/>
          </w:tcPr>
          <w:p w:rsidR="006C1F59" w:rsidRPr="0074033B" w:rsidRDefault="006C1F59" w:rsidP="00A063EB">
            <w:pPr>
              <w:jc w:val="both"/>
              <w:rPr>
                <w:rFonts w:asciiTheme="minorBidi" w:hAnsiTheme="minorBidi"/>
                <w:b/>
                <w:bCs/>
              </w:rPr>
            </w:pPr>
            <w:r w:rsidRPr="0074033B">
              <w:rPr>
                <w:rFonts w:asciiTheme="minorBidi" w:hAnsiTheme="minorBidi"/>
                <w:b/>
                <w:bCs/>
              </w:rPr>
              <w:t>Genotype</w:t>
            </w:r>
          </w:p>
        </w:tc>
        <w:tc>
          <w:tcPr>
            <w:tcW w:w="1189" w:type="pct"/>
          </w:tcPr>
          <w:p w:rsidR="006C1F59" w:rsidRPr="0074033B" w:rsidRDefault="006C1F59" w:rsidP="00A063EB">
            <w:pPr>
              <w:jc w:val="both"/>
              <w:rPr>
                <w:rFonts w:asciiTheme="minorBidi" w:hAnsiTheme="minorBidi"/>
                <w:b/>
                <w:bCs/>
              </w:rPr>
            </w:pPr>
            <w:r w:rsidRPr="0074033B">
              <w:rPr>
                <w:rFonts w:asciiTheme="minorBidi" w:hAnsiTheme="minorBidi"/>
                <w:b/>
                <w:bCs/>
              </w:rPr>
              <w:t>Source</w:t>
            </w:r>
          </w:p>
        </w:tc>
      </w:tr>
      <w:tr w:rsidR="006C1F59" w:rsidRPr="0074033B" w:rsidTr="00A063EB">
        <w:tc>
          <w:tcPr>
            <w:tcW w:w="1552"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ATCC 15338</w:t>
            </w:r>
          </w:p>
        </w:tc>
        <w:tc>
          <w:tcPr>
            <w:tcW w:w="2259" w:type="pct"/>
          </w:tcPr>
          <w:p w:rsidR="006C1F59" w:rsidRPr="0074033B" w:rsidRDefault="006C1F59" w:rsidP="00A063EB">
            <w:pPr>
              <w:rPr>
                <w:rFonts w:asciiTheme="minorBidi" w:hAnsiTheme="minorBidi"/>
              </w:rPr>
            </w:pPr>
            <w:r w:rsidRPr="0074033B">
              <w:rPr>
                <w:rFonts w:asciiTheme="minorBidi" w:hAnsiTheme="minorBidi"/>
              </w:rPr>
              <w:t>Wild-type</w:t>
            </w:r>
          </w:p>
        </w:tc>
        <w:tc>
          <w:tcPr>
            <w:tcW w:w="1189" w:type="pct"/>
          </w:tcPr>
          <w:p w:rsidR="006C1F59" w:rsidRPr="0074033B" w:rsidRDefault="006C1F59" w:rsidP="00A063EB">
            <w:pPr>
              <w:rPr>
                <w:rFonts w:asciiTheme="minorBidi" w:hAnsiTheme="minorBidi"/>
              </w:rPr>
            </w:pPr>
            <w:r w:rsidRPr="0074033B">
              <w:rPr>
                <w:rFonts w:asciiTheme="minorBidi" w:hAnsiTheme="minorBidi"/>
              </w:rPr>
              <w:t>ATCC</w:t>
            </w:r>
          </w:p>
        </w:tc>
      </w:tr>
      <w:tr w:rsidR="006C1F59" w:rsidRPr="0074033B" w:rsidTr="00A063EB">
        <w:tc>
          <w:tcPr>
            <w:tcW w:w="1552" w:type="pct"/>
          </w:tcPr>
          <w:p w:rsidR="006C1F59" w:rsidRPr="0074033B" w:rsidRDefault="006C1F59" w:rsidP="00A063EB">
            <w:pPr>
              <w:rPr>
                <w:rFonts w:asciiTheme="minorBidi" w:hAnsiTheme="minorBidi"/>
                <w:i/>
                <w:iCs/>
              </w:rPr>
            </w:pPr>
            <w:r w:rsidRPr="0074033B">
              <w:rPr>
                <w:rFonts w:asciiTheme="minorBidi" w:hAnsiTheme="minorBidi"/>
              </w:rPr>
              <w:t>T6SS1</w:t>
            </w:r>
            <w:r w:rsidRPr="0074033B">
              <w:rPr>
                <w:rFonts w:asciiTheme="minorBidi" w:hAnsiTheme="minorBidi"/>
                <w:vertAlign w:val="superscript"/>
              </w:rPr>
              <w:t>-</w:t>
            </w:r>
          </w:p>
        </w:tc>
        <w:tc>
          <w:tcPr>
            <w:tcW w:w="2259" w:type="pct"/>
          </w:tcPr>
          <w:p w:rsidR="006C1F59" w:rsidRPr="0074033B" w:rsidRDefault="006C1F59" w:rsidP="00A063EB">
            <w:pPr>
              <w:rPr>
                <w:rFonts w:asciiTheme="minorBidi" w:hAnsiTheme="minorBidi"/>
                <w:vertAlign w:val="superscript"/>
              </w:rPr>
            </w:pPr>
            <w:r w:rsidRPr="0074033B">
              <w:rPr>
                <w:rFonts w:asciiTheme="minorBidi" w:hAnsiTheme="minorBidi"/>
                <w:i/>
                <w:iCs/>
              </w:rPr>
              <w:t xml:space="preserve">Vibrio proteolyticus </w:t>
            </w:r>
            <w:r w:rsidRPr="0074033B">
              <w:rPr>
                <w:rFonts w:asciiTheme="minorBidi" w:hAnsiTheme="minorBidi"/>
              </w:rPr>
              <w:t>ATCC 15338 Δ</w:t>
            </w:r>
            <w:r w:rsidRPr="0074033B">
              <w:rPr>
                <w:rFonts w:asciiTheme="minorBidi" w:hAnsiTheme="minorBidi"/>
                <w:i/>
                <w:iCs/>
              </w:rPr>
              <w:t>tssG1</w:t>
            </w:r>
          </w:p>
        </w:tc>
        <w:tc>
          <w:tcPr>
            <w:tcW w:w="1189" w:type="pct"/>
          </w:tcPr>
          <w:p w:rsidR="006C1F59" w:rsidRPr="0074033B" w:rsidRDefault="006C1F59" w:rsidP="00A063EB">
            <w:pPr>
              <w:rPr>
                <w:rFonts w:asciiTheme="minorBidi" w:hAnsiTheme="minorBidi"/>
              </w:rPr>
            </w:pPr>
            <w:r>
              <w:rPr>
                <w:rFonts w:asciiTheme="minorBidi" w:hAnsiTheme="minorBidi"/>
              </w:rPr>
              <w:fldChar w:fldCharType="begin" w:fldLock="1"/>
            </w:r>
            <w:r>
              <w:rPr>
                <w:rFonts w:asciiTheme="minorBidi" w:hAnsiTheme="minorBidi"/>
              </w:rPr>
              <w:instrText>ADDIN CSL_CITATION {"citationItems":[{"id":"ITEM-1","itemData":{"DOI":"10.15252/embr.201744226","ISSN":"1469-221X","PMID":"28912123","abstract":"Most type VI secretion systems (T6SSs) described to date are protein delivery apparatuses that mediate bactericidal activities. Several T6SSs were also reported to mediate virulence activities, although only few anti-eukaryotic effectors have been described. Here, we identify three T6SSs in the marine bacterium Vibrio proteolyticus and show that T6SS1 mediates bactericidal activities under warm marine-like conditions. Using comparative proteomics, we find nine potential T6SS1 effectors, five of which belong to the polymorphic MIX-effector class. Remarkably, in addition to six predicted bactericidal effectors, the T6SS1 secretome includes three putative anti-eukaryotic effectors. One of these is a MIX-effector containing a cytotoxic necrotizing factor 1 domain. We demonstrate that T6SS1 can use this MIX-effector to target phagocytic cells, resulting in morphological changes and actin cytoskeleton rearrangements. In conclusion, the V. proteolyticus T6SS1, a system homologous to one found in pathogenic vibrios, uses a suite of polymorphic effectors that target both bacteria and eukaryotic neighbors.","author":[{"dropping-particle":"","family":"Ray","given":"Ann","non-dropping-particle":"","parse-names":false,"suffix":""},{"dropping-particle":"","family":"Schwartz","given":"Nika","non-dropping-particle":"","parse-names":false,"suffix":""},{"dropping-particle":"","family":"Souza Santos","given":"Marcela","non-dropping-particle":"","parse-names":false,"suffix":""},{"dropping-particle":"","family":"Zhang","given":"Junmei","non-dropping-particle":"","parse-names":false,"suffix":""},{"dropping-particle":"","family":"Orth","given":"Kim","non-dropping-particle":"","parse-names":false,"suffix":""},{"dropping-particle":"","family":"Salomon","given":"Dor","non-dropping-particle":"","parse-names":false,"suffix":""}],"container-title":"EMBO reports","id":"ITEM-1","issue":"11","issued":{"date-parts":[["2017"]]},"page":"1978-1990","title":"Type VI secretion system MIX</w:instrText>
            </w:r>
            <w:r>
              <w:rPr>
                <w:rFonts w:ascii="Cambria Math" w:hAnsi="Cambria Math" w:cs="Cambria Math"/>
              </w:rPr>
              <w:instrText>‐</w:instrText>
            </w:r>
            <w:r>
              <w:rPr>
                <w:rFonts w:asciiTheme="minorBidi" w:hAnsiTheme="minorBidi"/>
              </w:rPr>
              <w:instrText>effectors carry both antibacterial and anti</w:instrText>
            </w:r>
            <w:r>
              <w:rPr>
                <w:rFonts w:ascii="Cambria Math" w:hAnsi="Cambria Math" w:cs="Cambria Math"/>
              </w:rPr>
              <w:instrText>‐</w:instrText>
            </w:r>
            <w:r>
              <w:rPr>
                <w:rFonts w:asciiTheme="minorBidi" w:hAnsiTheme="minorBidi"/>
              </w:rPr>
              <w:instrText>eukaryotic activities","type":"article-journal","volume":"18"},"uris":["http://www.mendeley.com/documents/?uuid=f503112a-3925-3f6d-b186-750c86ffb213"]}],"mendeley":{"formattedCitation":"(Ray et al., 2017)","plainTextFormattedCitation":"(Ray et al., 2017)","previouslyFormattedCitation":"(Ray et al., 2017)"},"properties":{"noteIndex":0},"schema":"https://github.com/citation-style-language/schema/raw/master/csl-citation.json"}</w:instrText>
            </w:r>
            <w:r>
              <w:rPr>
                <w:rFonts w:asciiTheme="minorBidi" w:hAnsiTheme="minorBidi"/>
              </w:rPr>
              <w:fldChar w:fldCharType="separate"/>
            </w:r>
            <w:r w:rsidRPr="00704906">
              <w:rPr>
                <w:rFonts w:asciiTheme="minorBidi" w:hAnsiTheme="minorBidi"/>
                <w:noProof/>
              </w:rPr>
              <w:t>(Ray et al., 2017)</w:t>
            </w:r>
            <w:r>
              <w:rPr>
                <w:rFonts w:asciiTheme="minorBidi" w:hAnsiTheme="minorBidi"/>
              </w:rPr>
              <w:fldChar w:fldCharType="end"/>
            </w:r>
          </w:p>
        </w:tc>
      </w:tr>
      <w:tr w:rsidR="006C1F59" w:rsidRPr="0074033B" w:rsidTr="00A063EB">
        <w:tc>
          <w:tcPr>
            <w:tcW w:w="1552" w:type="pct"/>
          </w:tcPr>
          <w:p w:rsidR="006C1F59" w:rsidRPr="0074033B" w:rsidRDefault="006C1F59" w:rsidP="00A063EB">
            <w:pPr>
              <w:rPr>
                <w:rFonts w:asciiTheme="minorBidi" w:hAnsiTheme="minorBidi"/>
                <w:i/>
                <w:iCs/>
              </w:rPr>
            </w:pPr>
            <w:r w:rsidRPr="0074033B">
              <w:rPr>
                <w:rFonts w:asciiTheme="minorBidi" w:hAnsiTheme="minorBidi"/>
              </w:rPr>
              <w:t>T6SS3</w:t>
            </w:r>
            <w:r w:rsidRPr="0074033B">
              <w:rPr>
                <w:rFonts w:asciiTheme="minorBidi" w:hAnsiTheme="minorBidi"/>
                <w:vertAlign w:val="superscript"/>
              </w:rPr>
              <w:t>-</w:t>
            </w:r>
          </w:p>
        </w:tc>
        <w:tc>
          <w:tcPr>
            <w:tcW w:w="2259"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tssL</w:t>
            </w:r>
            <w:proofErr w:type="spellEnd"/>
            <w:r w:rsidRPr="0074033B">
              <w:rPr>
                <w:rFonts w:asciiTheme="minorBidi" w:hAnsiTheme="minorBidi"/>
                <w:i/>
                <w:iCs/>
                <w:rtl/>
              </w:rPr>
              <w:t>3</w:t>
            </w:r>
          </w:p>
        </w:tc>
        <w:tc>
          <w:tcPr>
            <w:tcW w:w="1189" w:type="pct"/>
          </w:tcPr>
          <w:p w:rsidR="006C1F59" w:rsidRPr="0074033B" w:rsidRDefault="006C1F59" w:rsidP="00A063EB">
            <w:pPr>
              <w:rPr>
                <w:rFonts w:asciiTheme="minorBidi" w:hAnsiTheme="minorBidi"/>
              </w:rPr>
            </w:pPr>
            <w:r w:rsidRPr="0074033B">
              <w:rPr>
                <w:rFonts w:asciiTheme="minorBidi" w:hAnsiTheme="minorBidi"/>
              </w:rPr>
              <w:t>This study</w:t>
            </w:r>
          </w:p>
        </w:tc>
      </w:tr>
      <w:tr w:rsidR="006C1F59" w:rsidRPr="0074033B" w:rsidTr="00A063EB">
        <w:tc>
          <w:tcPr>
            <w:tcW w:w="1552" w:type="pct"/>
          </w:tcPr>
          <w:p w:rsidR="006C1F59" w:rsidRPr="0074033B" w:rsidRDefault="006C1F59" w:rsidP="00A063EB">
            <w:pPr>
              <w:rPr>
                <w:rFonts w:asciiTheme="minorBidi" w:hAnsiTheme="minorBidi"/>
                <w:i/>
                <w:iCs/>
              </w:rPr>
            </w:pPr>
            <w:proofErr w:type="spellStart"/>
            <w:r w:rsidRPr="0074033B">
              <w:rPr>
                <w:rFonts w:asciiTheme="minorBidi" w:hAnsiTheme="minorBidi"/>
              </w:rPr>
              <w:t>Δ</w:t>
            </w:r>
            <w:r w:rsidRPr="0074033B">
              <w:rPr>
                <w:rFonts w:asciiTheme="minorBidi" w:hAnsiTheme="minorBidi"/>
                <w:i/>
                <w:iCs/>
              </w:rPr>
              <w:t>vprh</w:t>
            </w:r>
            <w:proofErr w:type="spellEnd"/>
          </w:p>
        </w:tc>
        <w:tc>
          <w:tcPr>
            <w:tcW w:w="2259"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p>
        </w:tc>
        <w:tc>
          <w:tcPr>
            <w:tcW w:w="1189" w:type="pct"/>
          </w:tcPr>
          <w:p w:rsidR="006C1F59" w:rsidRPr="0074033B" w:rsidRDefault="006C1F59" w:rsidP="00A063EB">
            <w:pPr>
              <w:rPr>
                <w:rFonts w:asciiTheme="minorBidi" w:hAnsiTheme="minorBidi"/>
              </w:rPr>
            </w:pPr>
            <w:r w:rsidRPr="0074033B">
              <w:rPr>
                <w:rFonts w:asciiTheme="minorBidi" w:hAnsiTheme="minorBidi"/>
              </w:rPr>
              <w:fldChar w:fldCharType="begin" w:fldLock="1"/>
            </w:r>
            <w:r>
              <w:rPr>
                <w:rFonts w:asciiTheme="minorBidi" w:hAnsiTheme="minorBidi"/>
              </w:rPr>
              <w:instrText>ADDIN CSL_CITATION {"citationItems":[{"id":"ITEM-1","itemData":{"DOI":"10.1128/mBio.01077-16","ISSN":"2150-7511","abstract":"Members of the genus Vibrio include many pathogens of humans and marine animals that share genetic information via horizontal gene transfer. Hence, the Vibrio pan-genome carries the potential to establish new pathogenic strains by sharing virulence determinants, many of which have yet to be characterized. Here, we investigated the virulence properties of Vibrio proteolyticus , a Gram-negative marine bacterium previously identified as part of the Vibrio consortium isolated from diseased corals. We found that V. proteolyticus causes actin cytoskeleton rearrangements followed by cell lysis in HeLa cells in a contact-independent manner. In search of the responsible virulence factor involved, we determined the V. proteolyticus secretome. This proteomics approach revealed various putative virulence factors, including active type VI secretion systems and effectors with virulence toxin domains; however, these type VI secretion systems were not responsible for the observed cytotoxic effects. Further examination of the V. proteolyticus secretome led us to hypothesize and subsequently demonstrate that a secreted hemolysin, belonging to a previously uncharacterized clan of the leukocidin superfamily, was the toxin responsible for the V. proteolyticus -mediated cytotoxicity in both HeLa cells and macrophages. Clearly, there remains an armory of yet-to-be-discovered virulence factors in the Vibrio pan-genome that will undoubtedly provide a wealth of knowledge on how a pathogen can manipulate host cells.","author":[{"dropping-particle":"","family":"Ray","given":"Ann","non-dropping-particle":"","parse-names":false,"suffix":""},{"dropping-particle":"","family":"Kinch","given":"Lisa N.","non-dropping-particle":"","parse-names":false,"suffix":""},{"dropping-particle":"","family":"Souza Santos","given":"Marcela","non-dropping-particle":"de","parse-names":false,"suffix":""},{"dropping-particle":"V.","family":"Grishin","given":"Nick","non-dropping-particle":"","parse-names":false,"suffix":""},{"dropping-particle":"","family":"Orth","given":"Kim","non-dropping-particle":"","parse-names":false,"suffix":""},{"dropping-particle":"","family":"Salomon","given":"Dor","non-dropping-particle":"","parse-names":false,"suffix":""}],"container-title":"mBio","id":"ITEM-1","issue":"4","issued":{"date-parts":[["2016","9","7"]]},"page":"e01077-16","title":"Proteomics Analysis Reveals Previously Uncharacterized Virulence Factors in Vibrio proteolyticus","type":"article-journal","volume":"7"},"uris":["http://www.mendeley.com/documents/?uuid=6c14854d-336b-476d-9aed-f1c7bb536469"]}],"mendeley":{"formattedCitation":"(Ray et al., 2016)","plainTextFormattedCitation":"(Ray et al., 2016)","previouslyFormattedCitation":"(Ray et al., 2016)"},"properties":{"noteIndex":0},"schema":"https://github.com/citation-style-language/schema/raw/master/csl-citation.json"}</w:instrText>
            </w:r>
            <w:r w:rsidRPr="0074033B">
              <w:rPr>
                <w:rFonts w:asciiTheme="minorBidi" w:hAnsiTheme="minorBidi"/>
              </w:rPr>
              <w:fldChar w:fldCharType="separate"/>
            </w:r>
            <w:r w:rsidRPr="00704906">
              <w:rPr>
                <w:rFonts w:asciiTheme="minorBidi" w:hAnsiTheme="minorBidi"/>
                <w:noProof/>
              </w:rPr>
              <w:t>(Ray et al., 2016)</w:t>
            </w:r>
            <w:r w:rsidRPr="0074033B">
              <w:rPr>
                <w:rFonts w:asciiTheme="minorBidi" w:hAnsiTheme="minorBidi"/>
              </w:rPr>
              <w:fldChar w:fldCharType="end"/>
            </w:r>
          </w:p>
        </w:tc>
      </w:tr>
      <w:tr w:rsidR="006C1F59" w:rsidRPr="0074033B" w:rsidTr="00A063EB">
        <w:tc>
          <w:tcPr>
            <w:tcW w:w="1552" w:type="pct"/>
          </w:tcPr>
          <w:p w:rsidR="006C1F59" w:rsidRPr="0074033B" w:rsidRDefault="006C1F59" w:rsidP="00A063EB">
            <w:pPr>
              <w:rPr>
                <w:rFonts w:asciiTheme="minorBidi" w:hAnsiTheme="minorBidi"/>
                <w:i/>
                <w:iCs/>
              </w:rPr>
            </w:pP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/T6SS1</w:t>
            </w:r>
            <w:r w:rsidRPr="0074033B">
              <w:rPr>
                <w:rFonts w:asciiTheme="minorBidi" w:hAnsiTheme="minorBidi"/>
                <w:vertAlign w:val="superscript"/>
              </w:rPr>
              <w:t>-</w:t>
            </w:r>
          </w:p>
        </w:tc>
        <w:tc>
          <w:tcPr>
            <w:tcW w:w="2259"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 xml:space="preserve">tssG1 </w:t>
            </w:r>
          </w:p>
        </w:tc>
        <w:tc>
          <w:tcPr>
            <w:tcW w:w="1189" w:type="pct"/>
          </w:tcPr>
          <w:p w:rsidR="006C1F59" w:rsidRPr="0074033B" w:rsidRDefault="006C1F59" w:rsidP="00A063EB">
            <w:pPr>
              <w:rPr>
                <w:rFonts w:asciiTheme="minorBidi" w:hAnsiTheme="minorBidi"/>
              </w:rPr>
            </w:pPr>
            <w:r w:rsidRPr="0074033B">
              <w:rPr>
                <w:rFonts w:asciiTheme="minorBidi" w:hAnsiTheme="minorBidi"/>
              </w:rPr>
              <w:t>This</w:t>
            </w:r>
            <w:r w:rsidRPr="0074033B">
              <w:rPr>
                <w:rFonts w:asciiTheme="minorBidi" w:hAnsiTheme="minorBidi"/>
                <w:rtl/>
              </w:rPr>
              <w:t xml:space="preserve"> </w:t>
            </w:r>
            <w:r w:rsidRPr="0074033B">
              <w:rPr>
                <w:rFonts w:asciiTheme="minorBidi" w:hAnsiTheme="minorBidi"/>
              </w:rPr>
              <w:t>study</w:t>
            </w:r>
          </w:p>
        </w:tc>
      </w:tr>
      <w:tr w:rsidR="006C1F59" w:rsidRPr="0074033B" w:rsidTr="00A063EB">
        <w:tc>
          <w:tcPr>
            <w:tcW w:w="1552" w:type="pct"/>
          </w:tcPr>
          <w:p w:rsidR="006C1F59" w:rsidRPr="0074033B" w:rsidRDefault="006C1F59" w:rsidP="00A063EB">
            <w:pPr>
              <w:rPr>
                <w:rFonts w:asciiTheme="minorBidi" w:hAnsiTheme="minorBidi"/>
                <w:i/>
                <w:iCs/>
              </w:rPr>
            </w:pP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/T6SS3</w:t>
            </w:r>
            <w:r w:rsidRPr="0074033B">
              <w:rPr>
                <w:rFonts w:asciiTheme="minorBidi" w:hAnsiTheme="minorBidi"/>
                <w:vertAlign w:val="superscript"/>
              </w:rPr>
              <w:t>-</w:t>
            </w:r>
            <w:r w:rsidRPr="0074033B">
              <w:rPr>
                <w:rFonts w:asciiTheme="minorBidi" w:hAnsiTheme="minorBidi"/>
                <w:i/>
                <w:iCs/>
              </w:rPr>
              <w:t xml:space="preserve"> </w:t>
            </w:r>
          </w:p>
        </w:tc>
        <w:tc>
          <w:tcPr>
            <w:tcW w:w="2259" w:type="pct"/>
          </w:tcPr>
          <w:p w:rsidR="006C1F59" w:rsidRPr="0074033B" w:rsidRDefault="006C1F59" w:rsidP="00A063EB">
            <w:pPr>
              <w:rPr>
                <w:rFonts w:asciiTheme="minorBidi" w:hAnsiTheme="minorBidi"/>
                <w:vertAlign w:val="superscript"/>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tssL3</w:t>
            </w:r>
          </w:p>
        </w:tc>
        <w:tc>
          <w:tcPr>
            <w:tcW w:w="1189" w:type="pct"/>
          </w:tcPr>
          <w:p w:rsidR="006C1F59" w:rsidRPr="0074033B" w:rsidRDefault="006C1F59" w:rsidP="00A063EB">
            <w:pPr>
              <w:rPr>
                <w:rFonts w:asciiTheme="minorBidi" w:hAnsiTheme="minorBidi"/>
              </w:rPr>
            </w:pPr>
            <w:r w:rsidRPr="0074033B">
              <w:rPr>
                <w:rFonts w:asciiTheme="minorBidi" w:hAnsiTheme="minorBidi"/>
              </w:rPr>
              <w:t>This study</w:t>
            </w:r>
          </w:p>
        </w:tc>
      </w:tr>
      <w:tr w:rsidR="006C1F59" w:rsidRPr="0074033B" w:rsidTr="00A063EB">
        <w:tc>
          <w:tcPr>
            <w:tcW w:w="1552" w:type="pct"/>
          </w:tcPr>
          <w:p w:rsidR="006C1F59" w:rsidRPr="0074033B" w:rsidRDefault="006C1F59" w:rsidP="00A063EB">
            <w:pPr>
              <w:rPr>
                <w:rFonts w:asciiTheme="minorBidi" w:hAnsiTheme="minorBidi"/>
              </w:rPr>
            </w:pP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p>
        </w:tc>
        <w:tc>
          <w:tcPr>
            <w:tcW w:w="2259"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 Δ</w:t>
            </w:r>
            <w:r w:rsidRPr="0074033B">
              <w:rPr>
                <w:rFonts w:asciiTheme="minorBidi" w:hAnsiTheme="minorBidi"/>
                <w:i/>
                <w:iCs/>
              </w:rPr>
              <w:t>hns1</w:t>
            </w:r>
          </w:p>
        </w:tc>
        <w:tc>
          <w:tcPr>
            <w:tcW w:w="1189" w:type="pct"/>
          </w:tcPr>
          <w:p w:rsidR="006C1F59" w:rsidRPr="0074033B" w:rsidRDefault="006C1F59" w:rsidP="00A063EB">
            <w:pPr>
              <w:rPr>
                <w:rFonts w:asciiTheme="minorBidi" w:hAnsiTheme="minorBidi"/>
              </w:rPr>
            </w:pPr>
            <w:r w:rsidRPr="0074033B">
              <w:rPr>
                <w:rFonts w:asciiTheme="minorBidi" w:hAnsiTheme="minorBidi"/>
              </w:rPr>
              <w:t>This study</w:t>
            </w:r>
          </w:p>
        </w:tc>
      </w:tr>
      <w:tr w:rsidR="006C1F59" w:rsidRPr="0074033B" w:rsidTr="00A063EB">
        <w:tc>
          <w:tcPr>
            <w:tcW w:w="1552" w:type="pct"/>
          </w:tcPr>
          <w:p w:rsidR="006C1F59" w:rsidRPr="0074033B" w:rsidRDefault="006C1F59" w:rsidP="00A063EB">
            <w:pPr>
              <w:rPr>
                <w:rFonts w:asciiTheme="minorBidi" w:hAnsiTheme="minorBidi"/>
                <w:i/>
                <w:iCs/>
              </w:rPr>
            </w:pP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/T6SS1</w:t>
            </w:r>
            <w:r w:rsidRPr="0074033B">
              <w:rPr>
                <w:rFonts w:asciiTheme="minorBidi" w:hAnsiTheme="minorBidi"/>
                <w:vertAlign w:val="superscript"/>
              </w:rPr>
              <w:t>-</w:t>
            </w:r>
          </w:p>
        </w:tc>
        <w:tc>
          <w:tcPr>
            <w:tcW w:w="2259" w:type="pct"/>
          </w:tcPr>
          <w:p w:rsidR="006C1F59" w:rsidRPr="0074033B" w:rsidRDefault="006C1F59" w:rsidP="00A063EB">
            <w:pPr>
              <w:rPr>
                <w:rFonts w:asciiTheme="minorBidi" w:hAnsiTheme="minorBidi"/>
                <w:vertAlign w:val="superscript"/>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/Δ</w:t>
            </w:r>
            <w:r w:rsidRPr="0074033B">
              <w:rPr>
                <w:rFonts w:asciiTheme="minorBidi" w:hAnsiTheme="minorBidi"/>
                <w:i/>
                <w:iCs/>
              </w:rPr>
              <w:t>tssG1</w:t>
            </w:r>
            <w:r w:rsidRPr="0074033B">
              <w:rPr>
                <w:rFonts w:asciiTheme="minorBidi" w:hAnsiTheme="minorBidi"/>
              </w:rPr>
              <w:t xml:space="preserve"> </w:t>
            </w:r>
          </w:p>
        </w:tc>
        <w:tc>
          <w:tcPr>
            <w:tcW w:w="1189" w:type="pct"/>
          </w:tcPr>
          <w:p w:rsidR="006C1F59" w:rsidRPr="0074033B" w:rsidRDefault="006C1F59" w:rsidP="00A063EB">
            <w:pPr>
              <w:rPr>
                <w:rFonts w:asciiTheme="minorBidi" w:hAnsiTheme="minorBidi"/>
              </w:rPr>
            </w:pPr>
            <w:r w:rsidRPr="0074033B">
              <w:rPr>
                <w:rFonts w:asciiTheme="minorBidi" w:hAnsiTheme="minorBidi"/>
              </w:rPr>
              <w:t>This study</w:t>
            </w:r>
          </w:p>
        </w:tc>
      </w:tr>
      <w:tr w:rsidR="006C1F59" w:rsidRPr="0074033B" w:rsidTr="00A063EB">
        <w:tc>
          <w:tcPr>
            <w:tcW w:w="1552" w:type="pct"/>
          </w:tcPr>
          <w:p w:rsidR="006C1F59" w:rsidRPr="0074033B" w:rsidRDefault="006C1F59" w:rsidP="00A063EB">
            <w:pPr>
              <w:rPr>
                <w:rFonts w:asciiTheme="minorBidi" w:hAnsiTheme="minorBidi"/>
                <w:i/>
                <w:iCs/>
              </w:rPr>
            </w:pP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/T6SS3</w:t>
            </w:r>
            <w:r w:rsidRPr="0074033B">
              <w:rPr>
                <w:rFonts w:asciiTheme="minorBidi" w:hAnsiTheme="minorBidi"/>
                <w:vertAlign w:val="superscript"/>
              </w:rPr>
              <w:t>-</w:t>
            </w:r>
          </w:p>
        </w:tc>
        <w:tc>
          <w:tcPr>
            <w:tcW w:w="2259"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/Δ</w:t>
            </w:r>
            <w:r w:rsidRPr="0074033B">
              <w:rPr>
                <w:rFonts w:asciiTheme="minorBidi" w:hAnsiTheme="minorBidi"/>
                <w:i/>
                <w:iCs/>
              </w:rPr>
              <w:t>tssL3</w:t>
            </w:r>
            <w:r w:rsidRPr="0074033B">
              <w:rPr>
                <w:rFonts w:asciiTheme="minorBidi" w:hAnsiTheme="minorBidi"/>
              </w:rPr>
              <w:t xml:space="preserve"> </w:t>
            </w:r>
          </w:p>
        </w:tc>
        <w:tc>
          <w:tcPr>
            <w:tcW w:w="1189" w:type="pct"/>
          </w:tcPr>
          <w:p w:rsidR="006C1F59" w:rsidRPr="0074033B" w:rsidRDefault="006C1F59" w:rsidP="00A063EB">
            <w:pPr>
              <w:rPr>
                <w:rFonts w:asciiTheme="minorBidi" w:hAnsiTheme="minorBidi"/>
              </w:rPr>
            </w:pPr>
            <w:r w:rsidRPr="0074033B">
              <w:rPr>
                <w:rFonts w:asciiTheme="minorBidi" w:hAnsiTheme="minorBidi"/>
              </w:rPr>
              <w:t>This study</w:t>
            </w:r>
            <w:r w:rsidRPr="0074033B" w:rsidDel="00AE121A">
              <w:rPr>
                <w:rFonts w:asciiTheme="minorBidi" w:hAnsiTheme="minorBidi"/>
              </w:rPr>
              <w:t xml:space="preserve"> </w:t>
            </w:r>
          </w:p>
        </w:tc>
      </w:tr>
      <w:tr w:rsidR="006C1F59" w:rsidRPr="0074033B" w:rsidTr="00A063EB">
        <w:tc>
          <w:tcPr>
            <w:tcW w:w="1552" w:type="pct"/>
          </w:tcPr>
          <w:p w:rsidR="006C1F59" w:rsidRPr="0074033B" w:rsidRDefault="006C1F59" w:rsidP="00A063EB">
            <w:pPr>
              <w:rPr>
                <w:rFonts w:asciiTheme="minorBidi" w:hAnsiTheme="minorBidi"/>
                <w:i/>
                <w:iCs/>
              </w:rPr>
            </w:pP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/Δ</w:t>
            </w:r>
            <w:r w:rsidRPr="0074033B">
              <w:rPr>
                <w:rFonts w:asciiTheme="minorBidi" w:hAnsiTheme="minorBidi"/>
                <w:i/>
                <w:iCs/>
              </w:rPr>
              <w:t>tie1</w:t>
            </w:r>
          </w:p>
        </w:tc>
        <w:tc>
          <w:tcPr>
            <w:tcW w:w="2259"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/Δ</w:t>
            </w:r>
            <w:r w:rsidRPr="0074033B">
              <w:rPr>
                <w:rFonts w:asciiTheme="minorBidi" w:hAnsiTheme="minorBidi"/>
                <w:i/>
                <w:iCs/>
              </w:rPr>
              <w:t>tie1</w:t>
            </w:r>
          </w:p>
        </w:tc>
        <w:tc>
          <w:tcPr>
            <w:tcW w:w="1189" w:type="pct"/>
          </w:tcPr>
          <w:p w:rsidR="006C1F59" w:rsidRPr="0074033B" w:rsidRDefault="006C1F59" w:rsidP="00A063EB">
            <w:pPr>
              <w:rPr>
                <w:rFonts w:asciiTheme="minorBidi" w:hAnsiTheme="minorBidi"/>
              </w:rPr>
            </w:pPr>
            <w:r w:rsidRPr="0074033B">
              <w:rPr>
                <w:rFonts w:asciiTheme="minorBidi" w:hAnsiTheme="minorBidi"/>
              </w:rPr>
              <w:t xml:space="preserve">This study </w:t>
            </w:r>
          </w:p>
        </w:tc>
      </w:tr>
      <w:tr w:rsidR="006C1F59" w:rsidRPr="0074033B" w:rsidTr="00A063EB">
        <w:tc>
          <w:tcPr>
            <w:tcW w:w="1552" w:type="pct"/>
          </w:tcPr>
          <w:p w:rsidR="006C1F59" w:rsidRPr="0074033B" w:rsidRDefault="006C1F59" w:rsidP="00A063EB">
            <w:pPr>
              <w:rPr>
                <w:rFonts w:asciiTheme="minorBidi" w:hAnsiTheme="minorBidi"/>
                <w:i/>
                <w:iCs/>
              </w:rPr>
            </w:pP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/Δ</w:t>
            </w:r>
            <w:r w:rsidRPr="0074033B">
              <w:rPr>
                <w:rFonts w:asciiTheme="minorBidi" w:hAnsiTheme="minorBidi"/>
                <w:i/>
                <w:iCs/>
              </w:rPr>
              <w:t>tie2</w:t>
            </w:r>
          </w:p>
        </w:tc>
        <w:tc>
          <w:tcPr>
            <w:tcW w:w="2259"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/Δ</w:t>
            </w:r>
            <w:r w:rsidRPr="0074033B">
              <w:rPr>
                <w:rFonts w:asciiTheme="minorBidi" w:hAnsiTheme="minorBidi"/>
                <w:i/>
                <w:iCs/>
              </w:rPr>
              <w:t xml:space="preserve">tie2 </w:t>
            </w:r>
          </w:p>
        </w:tc>
        <w:tc>
          <w:tcPr>
            <w:tcW w:w="1189" w:type="pct"/>
          </w:tcPr>
          <w:p w:rsidR="006C1F59" w:rsidRPr="0074033B" w:rsidRDefault="006C1F59" w:rsidP="00A063EB">
            <w:pPr>
              <w:rPr>
                <w:rFonts w:asciiTheme="minorBidi" w:hAnsiTheme="minorBidi"/>
              </w:rPr>
            </w:pPr>
            <w:r w:rsidRPr="0074033B">
              <w:rPr>
                <w:rFonts w:asciiTheme="minorBidi" w:hAnsiTheme="minorBidi"/>
              </w:rPr>
              <w:t xml:space="preserve">This study </w:t>
            </w:r>
          </w:p>
        </w:tc>
      </w:tr>
      <w:tr w:rsidR="006C1F59" w:rsidRPr="0074033B" w:rsidTr="00A063EB">
        <w:tc>
          <w:tcPr>
            <w:tcW w:w="1552" w:type="pct"/>
          </w:tcPr>
          <w:p w:rsidR="006C1F59" w:rsidRPr="0074033B" w:rsidRDefault="006C1F59" w:rsidP="00A063EB">
            <w:pPr>
              <w:rPr>
                <w:rFonts w:asciiTheme="minorBidi" w:hAnsiTheme="minorBidi"/>
              </w:rPr>
            </w:pP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/Δ</w:t>
            </w:r>
            <w:r w:rsidRPr="0074033B">
              <w:rPr>
                <w:rFonts w:asciiTheme="minorBidi" w:hAnsiTheme="minorBidi"/>
                <w:i/>
                <w:iCs/>
              </w:rPr>
              <w:t>tie1</w:t>
            </w:r>
            <w:r w:rsidRPr="0074033B">
              <w:rPr>
                <w:rFonts w:asciiTheme="minorBidi" w:hAnsiTheme="minorBidi"/>
              </w:rPr>
              <w:t>/Δ</w:t>
            </w:r>
            <w:r w:rsidRPr="0074033B">
              <w:rPr>
                <w:rFonts w:asciiTheme="minorBidi" w:hAnsiTheme="minorBidi"/>
                <w:i/>
                <w:iCs/>
              </w:rPr>
              <w:t>tie2</w:t>
            </w:r>
          </w:p>
        </w:tc>
        <w:tc>
          <w:tcPr>
            <w:tcW w:w="2259" w:type="pct"/>
          </w:tcPr>
          <w:p w:rsidR="006C1F59" w:rsidRPr="0074033B" w:rsidRDefault="006C1F59" w:rsidP="00A063EB">
            <w:pPr>
              <w:rPr>
                <w:rFonts w:asciiTheme="minorBidi" w:hAnsiTheme="minorBidi"/>
              </w:rPr>
            </w:pPr>
            <w:r w:rsidRPr="0074033B">
              <w:rPr>
                <w:rFonts w:asciiTheme="minorBidi" w:hAnsiTheme="minorBidi"/>
                <w:i/>
                <w:iCs/>
              </w:rPr>
              <w:t xml:space="preserve">Vibrio proteolyticus </w:t>
            </w:r>
            <w:r w:rsidRPr="0074033B">
              <w:rPr>
                <w:rFonts w:asciiTheme="minorBidi" w:hAnsiTheme="minorBidi"/>
              </w:rPr>
              <w:t xml:space="preserve">ATCC 15338 </w:t>
            </w:r>
            <w:proofErr w:type="spellStart"/>
            <w:r w:rsidRPr="0074033B">
              <w:rPr>
                <w:rFonts w:asciiTheme="minorBidi" w:hAnsiTheme="minorBidi"/>
              </w:rPr>
              <w:t>Δ</w:t>
            </w:r>
            <w:r w:rsidRPr="0074033B">
              <w:rPr>
                <w:rFonts w:asciiTheme="minorBidi" w:hAnsiTheme="minorBidi"/>
                <w:i/>
                <w:iCs/>
              </w:rPr>
              <w:t>vprh</w:t>
            </w:r>
            <w:proofErr w:type="spellEnd"/>
            <w:r w:rsidRPr="0074033B">
              <w:rPr>
                <w:rFonts w:asciiTheme="minorBidi" w:hAnsiTheme="minorBidi"/>
              </w:rPr>
              <w:t>/Δ</w:t>
            </w:r>
            <w:r w:rsidRPr="0074033B">
              <w:rPr>
                <w:rFonts w:asciiTheme="minorBidi" w:hAnsiTheme="minorBidi"/>
                <w:i/>
                <w:iCs/>
              </w:rPr>
              <w:t>hns1</w:t>
            </w:r>
            <w:r w:rsidRPr="0074033B">
              <w:rPr>
                <w:rFonts w:asciiTheme="minorBidi" w:hAnsiTheme="minorBidi"/>
              </w:rPr>
              <w:t>/</w:t>
            </w:r>
            <w:r w:rsidRPr="0074033B">
              <w:rPr>
                <w:rFonts w:asciiTheme="minorBidi" w:hAnsiTheme="minorBidi"/>
                <w:i/>
                <w:iCs/>
              </w:rPr>
              <w:t>Δtie1</w:t>
            </w:r>
            <w:r w:rsidRPr="0074033B">
              <w:rPr>
                <w:rFonts w:asciiTheme="minorBidi" w:hAnsiTheme="minorBidi"/>
              </w:rPr>
              <w:t>/Δ</w:t>
            </w:r>
            <w:r w:rsidRPr="0074033B">
              <w:rPr>
                <w:rFonts w:asciiTheme="minorBidi" w:hAnsiTheme="minorBidi"/>
                <w:i/>
                <w:iCs/>
              </w:rPr>
              <w:t>tie2</w:t>
            </w:r>
          </w:p>
        </w:tc>
        <w:tc>
          <w:tcPr>
            <w:tcW w:w="1189" w:type="pct"/>
          </w:tcPr>
          <w:p w:rsidR="006C1F59" w:rsidRPr="0074033B" w:rsidRDefault="006C1F59" w:rsidP="00A063EB">
            <w:pPr>
              <w:rPr>
                <w:rFonts w:asciiTheme="minorBidi" w:hAnsiTheme="minorBidi"/>
              </w:rPr>
            </w:pPr>
            <w:r w:rsidRPr="0074033B">
              <w:rPr>
                <w:rFonts w:asciiTheme="minorBidi" w:hAnsiTheme="minorBidi"/>
              </w:rPr>
              <w:t xml:space="preserve">This study </w:t>
            </w:r>
          </w:p>
        </w:tc>
      </w:tr>
      <w:tr w:rsidR="006C1F59" w:rsidRPr="0074033B" w:rsidTr="00A063EB">
        <w:tc>
          <w:tcPr>
            <w:tcW w:w="1552" w:type="pct"/>
          </w:tcPr>
          <w:p w:rsidR="006C1F59" w:rsidRPr="00462454" w:rsidRDefault="006C1F59" w:rsidP="00A063EB">
            <w:pPr>
              <w:rPr>
                <w:rFonts w:asciiTheme="minorBidi" w:hAnsiTheme="minorBidi"/>
                <w:i/>
                <w:iCs/>
              </w:rPr>
            </w:pPr>
            <w:r>
              <w:rPr>
                <w:rFonts w:asciiTheme="minorBidi" w:hAnsiTheme="minorBidi"/>
                <w:i/>
                <w:iCs/>
              </w:rPr>
              <w:t>V. para</w:t>
            </w:r>
          </w:p>
        </w:tc>
        <w:tc>
          <w:tcPr>
            <w:tcW w:w="2259" w:type="pct"/>
          </w:tcPr>
          <w:p w:rsidR="006C1F59" w:rsidRPr="0074033B" w:rsidRDefault="006C1F59" w:rsidP="00A063EB">
            <w:pPr>
              <w:rPr>
                <w:rFonts w:asciiTheme="minorBidi" w:hAnsiTheme="minorBidi"/>
                <w:i/>
                <w:iCs/>
              </w:rPr>
            </w:pPr>
            <w:r w:rsidRPr="00F74AFF">
              <w:rPr>
                <w:rFonts w:asciiTheme="minorBidi" w:hAnsiTheme="minorBidi"/>
                <w:i/>
                <w:iCs/>
              </w:rPr>
              <w:t>V. parahaemolyticus</w:t>
            </w:r>
            <w:r w:rsidRPr="00F74AFF">
              <w:rPr>
                <w:rFonts w:asciiTheme="minorBidi" w:hAnsiTheme="minorBidi"/>
              </w:rPr>
              <w:t xml:space="preserve"> RIMD 2210633 </w:t>
            </w:r>
            <w:proofErr w:type="spellStart"/>
            <w:r w:rsidRPr="0074033B">
              <w:rPr>
                <w:rFonts w:asciiTheme="minorBidi" w:hAnsiTheme="minorBidi"/>
                <w:i/>
                <w:iCs/>
              </w:rPr>
              <w:t>Δt</w:t>
            </w:r>
            <w:r>
              <w:rPr>
                <w:rFonts w:asciiTheme="minorBidi" w:hAnsiTheme="minorBidi"/>
                <w:i/>
                <w:iCs/>
              </w:rPr>
              <w:t>dhAS</w:t>
            </w:r>
            <w:proofErr w:type="spellEnd"/>
            <w:r w:rsidRPr="00F74AFF">
              <w:rPr>
                <w:rFonts w:asciiTheme="minorBidi" w:hAnsiTheme="minorBidi"/>
              </w:rPr>
              <w:t xml:space="preserve"> derivative </w:t>
            </w:r>
            <w:r>
              <w:rPr>
                <w:rFonts w:asciiTheme="minorBidi" w:hAnsiTheme="minorBidi"/>
              </w:rPr>
              <w:t>(</w:t>
            </w:r>
            <w:r w:rsidRPr="00F74AFF">
              <w:rPr>
                <w:rFonts w:asciiTheme="minorBidi" w:hAnsiTheme="minorBidi"/>
              </w:rPr>
              <w:t>strain POR1</w:t>
            </w:r>
            <w:r>
              <w:rPr>
                <w:rFonts w:asciiTheme="minorBidi" w:hAnsiTheme="minorBidi"/>
              </w:rPr>
              <w:t>)</w:t>
            </w:r>
          </w:p>
        </w:tc>
        <w:tc>
          <w:tcPr>
            <w:tcW w:w="1189" w:type="pct"/>
          </w:tcPr>
          <w:p w:rsidR="006C1F59" w:rsidRPr="0074033B" w:rsidRDefault="006C1F59" w:rsidP="00A063EB">
            <w:pPr>
              <w:rPr>
                <w:rFonts w:asciiTheme="minorBidi" w:hAnsiTheme="minorBidi"/>
              </w:rPr>
            </w:pPr>
            <w:r>
              <w:rPr>
                <w:rFonts w:asciiTheme="minorBidi" w:hAnsiTheme="minorBidi"/>
              </w:rPr>
              <w:fldChar w:fldCharType="begin" w:fldLock="1"/>
            </w:r>
            <w:r>
              <w:rPr>
                <w:rFonts w:asciiTheme="minorBidi" w:hAnsiTheme="minorBidi"/>
              </w:rPr>
              <w:instrText>ADDIN CSL_CITATION {"citationItems":[{"id":"ITEM-1","itemData":{"DOI":"10.1111/j.1348-0421.2004.tb03512.x","ISSN":"03855600","PMID":"15107542","abstract":"The thermostable direct hemolysin (TDH) has been proposed to be a major virulence factor of Vibrio parahaemolyticus. We have recently completed the genome sequence of a TDH-producing V. parahaemolyticus strain, RIMD2210633. In this study, we constructed tdh-deletion mutants from the sequenced strain by homologous recombination and analyzed their phenotypes. Although the deletion of both copies of tdh completely abolished the hemolytic activity of the wild-type strain, the deletion did not affect the cytotoxicity to HeLa cells. Enterotoxicity, assayed by the rabbit ileal loop test, was lowered by tdh deletion, but the mutant still showed partial fluid accumulation in rabbit intestine. These results indicate that the cytotoxicity and enterotoxicity of TDH-producing V. parahaemolyticus are not explained by TDH alone, and suggest that an unknown virulence factor(s) could be involved in these pathogenic activities.","author":[{"dropping-particle":"","family":"Park","given":"Kwon Sam","non-dropping-particle":"","parse-names":false,"suffix":""},{"dropping-particle":"","family":"Ono","given":"Takahiro","non-dropping-particle":"","parse-names":false,"suffix":""},{"dropping-particle":"","family":"Rokuda","given":"Mitsuhiro","non-dropping-particle":"","parse-names":false,"suffix":""},{"dropping-particle":"","family":"Jang","given":"Myoung Ho","non-dropping-particle":"","parse-names":false,"suffix":""},{"dropping-particle":"","family":"Iida","given":"Tetsuya","non-dropping-particle":"","parse-names":false,"suffix":""},{"dropping-particle":"","family":"Honda","given":"Takeshi","non-dropping-particle":"","parse-names":false,"suffix":""}],"container-title":"Microbiology and Immunology","id":"ITEM-1","issue":"4","issued":{"date-parts":[["2004"]]},"page":"313-318","title":"Cytotoxicity and Enterotoxicity of the Thermostable Direct Hemolysin-Deletion Mutants of Vibrio parahaemolyticus","type":"article-journal","volume":"48"},"uris":["http://www.mendeley.com/documents/?uuid=bc85c81f-2d93-4324-8997-2b2e4e14c8b6"]}],"mendeley":{"formattedCitation":"(Park et al., 2004)","plainTextFormattedCitation":"(Park et al., 2004)","previouslyFormattedCitation":"(Park et al., 2004)"},"properties":{"noteIndex":0},"schema":"https://github.com/citation-style-language/schema/raw/master/csl-citation.json"}</w:instrText>
            </w:r>
            <w:r>
              <w:rPr>
                <w:rFonts w:asciiTheme="minorBidi" w:hAnsiTheme="minorBidi"/>
              </w:rPr>
              <w:fldChar w:fldCharType="separate"/>
            </w:r>
            <w:r w:rsidRPr="00704906">
              <w:rPr>
                <w:rFonts w:asciiTheme="minorBidi" w:hAnsiTheme="minorBidi"/>
                <w:noProof/>
              </w:rPr>
              <w:t>(Park et al., 2004)</w:t>
            </w:r>
            <w:r>
              <w:rPr>
                <w:rFonts w:asciiTheme="minorBidi" w:hAnsiTheme="minorBidi"/>
              </w:rPr>
              <w:fldChar w:fldCharType="end"/>
            </w:r>
          </w:p>
        </w:tc>
      </w:tr>
      <w:tr w:rsidR="006C1F59" w:rsidRPr="0074033B" w:rsidTr="00A063EB">
        <w:tc>
          <w:tcPr>
            <w:tcW w:w="1552" w:type="pct"/>
          </w:tcPr>
          <w:p w:rsidR="006C1F59" w:rsidRDefault="006C1F59" w:rsidP="00A063EB">
            <w:pPr>
              <w:rPr>
                <w:rFonts w:asciiTheme="minorBidi" w:hAnsiTheme="minorBidi"/>
                <w:i/>
                <w:iCs/>
              </w:rPr>
            </w:pPr>
            <w:r w:rsidRPr="0074033B">
              <w:rPr>
                <w:rFonts w:asciiTheme="minorBidi" w:hAnsiTheme="minorBidi"/>
                <w:i/>
                <w:iCs/>
              </w:rPr>
              <w:t xml:space="preserve">Escherichia coli </w:t>
            </w:r>
            <w:r w:rsidRPr="00D93CC8">
              <w:rPr>
                <w:rFonts w:asciiTheme="minorBidi" w:hAnsiTheme="minorBidi"/>
              </w:rPr>
              <w:t>XL-1 blue</w:t>
            </w:r>
          </w:p>
        </w:tc>
        <w:tc>
          <w:tcPr>
            <w:tcW w:w="2259" w:type="pct"/>
          </w:tcPr>
          <w:p w:rsidR="006C1F59" w:rsidRPr="00D93CC8" w:rsidRDefault="006C1F59" w:rsidP="00A063EB">
            <w:pPr>
              <w:rPr>
                <w:rFonts w:asciiTheme="minorBidi" w:hAnsiTheme="minorBidi"/>
                <w:rtl/>
              </w:rPr>
            </w:pPr>
            <w:r>
              <w:rPr>
                <w:rFonts w:asciiTheme="minorBidi" w:hAnsiTheme="minorBidi"/>
              </w:rPr>
              <w:t>XL-1 Blue</w:t>
            </w:r>
          </w:p>
        </w:tc>
        <w:tc>
          <w:tcPr>
            <w:tcW w:w="1189" w:type="pct"/>
          </w:tcPr>
          <w:p w:rsidR="006C1F59" w:rsidRDefault="006C1F59" w:rsidP="00A063EB">
            <w:pPr>
              <w:rPr>
                <w:rFonts w:asciiTheme="minorBidi" w:hAnsiTheme="minorBidi"/>
              </w:rPr>
            </w:pPr>
            <w:r w:rsidRPr="00251CE4">
              <w:rPr>
                <w:rFonts w:asciiTheme="minorBidi" w:hAnsiTheme="minorBidi"/>
              </w:rPr>
              <w:t xml:space="preserve">Purchased from </w:t>
            </w:r>
            <w:proofErr w:type="spellStart"/>
            <w:r w:rsidRPr="00251CE4">
              <w:rPr>
                <w:rFonts w:asciiTheme="minorBidi" w:hAnsiTheme="minorBidi"/>
              </w:rPr>
              <w:t>Addgene</w:t>
            </w:r>
            <w:proofErr w:type="spellEnd"/>
          </w:p>
        </w:tc>
      </w:tr>
    </w:tbl>
    <w:p w:rsidR="006C1F59" w:rsidRPr="0074033B" w:rsidRDefault="006C1F59" w:rsidP="006C1F59">
      <w:pPr>
        <w:spacing w:line="480" w:lineRule="auto"/>
        <w:jc w:val="both"/>
        <w:rPr>
          <w:rFonts w:asciiTheme="minorBidi" w:hAnsiTheme="minorBidi"/>
        </w:rPr>
      </w:pPr>
      <w:bookmarkStart w:id="0" w:name="_GoBack"/>
      <w:bookmarkEnd w:id="0"/>
    </w:p>
    <w:sectPr w:rsidR="006C1F59" w:rsidRPr="0074033B" w:rsidSect="00B943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59"/>
    <w:rsid w:val="000B3335"/>
    <w:rsid w:val="003E3D5F"/>
    <w:rsid w:val="006C1F59"/>
    <w:rsid w:val="00756A43"/>
    <w:rsid w:val="00B94345"/>
    <w:rsid w:val="00EF6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A4AD"/>
  <w15:chartTrackingRefBased/>
  <w15:docId w15:val="{CAEB3592-FBB3-4103-B0CF-26B76769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59"/>
    <w:pPr>
      <w:spacing w:after="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F5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C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1530</Words>
  <Characters>7655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gerlic Lab</dc:creator>
  <cp:keywords/>
  <dc:description/>
  <cp:lastModifiedBy>gerlic Lab</cp:lastModifiedBy>
  <cp:revision>3</cp:revision>
  <dcterms:created xsi:type="dcterms:W3CDTF">2022-09-14T08:27:00Z</dcterms:created>
  <dcterms:modified xsi:type="dcterms:W3CDTF">2022-09-14T08:28:00Z</dcterms:modified>
</cp:coreProperties>
</file>