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59" w:rsidRPr="0074033B" w:rsidRDefault="006C1F59" w:rsidP="006C1F59">
      <w:pPr>
        <w:spacing w:line="480" w:lineRule="auto"/>
        <w:jc w:val="both"/>
        <w:rPr>
          <w:rFonts w:asciiTheme="minorBidi" w:hAnsiTheme="minorBidi"/>
          <w:b/>
          <w:bCs/>
        </w:rPr>
      </w:pPr>
      <w:r w:rsidRPr="00462454">
        <w:rPr>
          <w:rFonts w:asciiTheme="minorBidi" w:hAnsiTheme="minorBidi"/>
          <w:b/>
          <w:bCs/>
        </w:rPr>
        <w:t xml:space="preserve">Supplemental Table S2. </w:t>
      </w:r>
      <w:r w:rsidRPr="0074033B">
        <w:rPr>
          <w:rFonts w:asciiTheme="minorBidi" w:hAnsiTheme="minorBidi"/>
          <w:b/>
          <w:bCs/>
        </w:rPr>
        <w:t xml:space="preserve">A list of plasmids used in this study. </w:t>
      </w:r>
    </w:p>
    <w:tbl>
      <w:tblPr>
        <w:tblStyle w:val="TableGrid"/>
        <w:tblW w:w="9085" w:type="dxa"/>
        <w:tblLook w:val="04A0" w:firstRow="1" w:lastRow="0" w:firstColumn="1" w:lastColumn="0" w:noHBand="0" w:noVBand="1"/>
      </w:tblPr>
      <w:tblGrid>
        <w:gridCol w:w="1795"/>
        <w:gridCol w:w="2880"/>
        <w:gridCol w:w="2372"/>
        <w:gridCol w:w="2038"/>
      </w:tblGrid>
      <w:tr w:rsidR="006C1F59" w:rsidRPr="0074033B" w:rsidTr="00A063EB">
        <w:tc>
          <w:tcPr>
            <w:tcW w:w="1795" w:type="dxa"/>
          </w:tcPr>
          <w:p w:rsidR="006C1F59" w:rsidRPr="0074033B" w:rsidRDefault="006C1F59" w:rsidP="00A063EB">
            <w:pPr>
              <w:jc w:val="both"/>
              <w:rPr>
                <w:rFonts w:asciiTheme="minorBidi" w:hAnsiTheme="minorBidi"/>
                <w:b/>
                <w:bCs/>
              </w:rPr>
            </w:pPr>
            <w:r w:rsidRPr="0074033B">
              <w:rPr>
                <w:rFonts w:asciiTheme="minorBidi" w:hAnsiTheme="minorBidi"/>
                <w:b/>
                <w:bCs/>
              </w:rPr>
              <w:t>Plasmid name</w:t>
            </w:r>
          </w:p>
        </w:tc>
        <w:tc>
          <w:tcPr>
            <w:tcW w:w="2880" w:type="dxa"/>
          </w:tcPr>
          <w:p w:rsidR="006C1F59" w:rsidRPr="0074033B" w:rsidRDefault="006C1F59" w:rsidP="00A063EB">
            <w:pPr>
              <w:jc w:val="both"/>
              <w:rPr>
                <w:rFonts w:asciiTheme="minorBidi" w:hAnsiTheme="minorBidi"/>
                <w:b/>
                <w:bCs/>
              </w:rPr>
            </w:pPr>
            <w:r w:rsidRPr="0074033B">
              <w:rPr>
                <w:rFonts w:asciiTheme="minorBidi" w:hAnsiTheme="minorBidi"/>
                <w:b/>
                <w:bCs/>
              </w:rPr>
              <w:t xml:space="preserve">Description </w:t>
            </w:r>
          </w:p>
        </w:tc>
        <w:tc>
          <w:tcPr>
            <w:tcW w:w="2372" w:type="dxa"/>
          </w:tcPr>
          <w:p w:rsidR="006C1F59" w:rsidRPr="0074033B" w:rsidRDefault="006C1F59" w:rsidP="00A063EB">
            <w:pPr>
              <w:jc w:val="both"/>
              <w:rPr>
                <w:rFonts w:asciiTheme="minorBidi" w:hAnsiTheme="minorBidi"/>
                <w:b/>
                <w:bCs/>
              </w:rPr>
            </w:pPr>
            <w:r w:rsidRPr="0074033B">
              <w:rPr>
                <w:rFonts w:asciiTheme="minorBidi" w:hAnsiTheme="minorBidi"/>
                <w:b/>
                <w:bCs/>
              </w:rPr>
              <w:t>Comments</w:t>
            </w:r>
          </w:p>
        </w:tc>
        <w:tc>
          <w:tcPr>
            <w:tcW w:w="2038" w:type="dxa"/>
          </w:tcPr>
          <w:p w:rsidR="006C1F59" w:rsidRPr="0074033B" w:rsidRDefault="006C1F59" w:rsidP="00A063EB">
            <w:pPr>
              <w:jc w:val="both"/>
              <w:rPr>
                <w:rFonts w:asciiTheme="minorBidi" w:hAnsiTheme="minorBidi"/>
                <w:b/>
                <w:bCs/>
              </w:rPr>
            </w:pPr>
            <w:r w:rsidRPr="0074033B">
              <w:rPr>
                <w:rFonts w:asciiTheme="minorBidi" w:hAnsiTheme="minorBidi"/>
                <w:b/>
                <w:bCs/>
              </w:rPr>
              <w:t>Source</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pDM4</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a </w:t>
            </w:r>
            <w:proofErr w:type="spellStart"/>
            <w:r w:rsidRPr="0074033B">
              <w:rPr>
                <w:rFonts w:asciiTheme="minorBidi" w:hAnsiTheme="minorBidi"/>
              </w:rPr>
              <w:t>CmR</w:t>
            </w:r>
            <w:proofErr w:type="spellEnd"/>
            <w:r w:rsidRPr="0074033B">
              <w:rPr>
                <w:rFonts w:asciiTheme="minorBidi" w:hAnsiTheme="minorBidi"/>
              </w:rPr>
              <w:t xml:space="preserve"> and oriV</w:t>
            </w:r>
            <w:r w:rsidRPr="0074033B">
              <w:rPr>
                <w:rFonts w:asciiTheme="minorBidi" w:hAnsiTheme="minorBidi"/>
                <w:vertAlign w:val="superscript"/>
              </w:rPr>
              <w:t>R6K</w:t>
            </w:r>
            <w:r w:rsidRPr="0074033B">
              <w:rPr>
                <w:rFonts w:asciiTheme="minorBidi" w:hAnsiTheme="minorBidi"/>
              </w:rPr>
              <w:t>-containing suicide vector</w:t>
            </w:r>
          </w:p>
        </w:tc>
        <w:tc>
          <w:tcPr>
            <w:tcW w:w="2372" w:type="dxa"/>
          </w:tcPr>
          <w:p w:rsidR="006C1F59" w:rsidRPr="0074033B" w:rsidRDefault="006C1F59" w:rsidP="00A063EB">
            <w:pPr>
              <w:rPr>
                <w:rFonts w:asciiTheme="minorBidi" w:hAnsiTheme="minorBidi"/>
              </w:rPr>
            </w:pPr>
            <w:r w:rsidRPr="0074033B">
              <w:rPr>
                <w:rFonts w:asciiTheme="minorBidi" w:hAnsiTheme="minorBidi"/>
              </w:rPr>
              <w:t>Used as</w:t>
            </w:r>
            <w:r>
              <w:rPr>
                <w:rFonts w:asciiTheme="minorBidi" w:hAnsiTheme="minorBidi"/>
              </w:rPr>
              <w:t xml:space="preserve"> a</w:t>
            </w:r>
            <w:r w:rsidRPr="0074033B">
              <w:rPr>
                <w:rFonts w:asciiTheme="minorBidi" w:hAnsiTheme="minorBidi"/>
              </w:rPr>
              <w:t xml:space="preserve"> backbone to construct plasmids for gene deletions in </w:t>
            </w:r>
            <w:r w:rsidRPr="0074033B">
              <w:rPr>
                <w:rFonts w:asciiTheme="minorBidi" w:hAnsiTheme="minorBidi"/>
                <w:i/>
                <w:iCs/>
              </w:rPr>
              <w:t>Vibrio</w:t>
            </w:r>
            <w:r w:rsidRPr="0074033B">
              <w:rPr>
                <w:rFonts w:asciiTheme="minorBidi" w:hAnsiTheme="minorBidi"/>
              </w:rPr>
              <w:t xml:space="preserve"> </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(O’Toole et al, 1996)</w:t>
            </w:r>
          </w:p>
          <w:p w:rsidR="006C1F59" w:rsidRPr="0074033B" w:rsidRDefault="006C1F59" w:rsidP="00A063EB">
            <w:pPr>
              <w:jc w:val="both"/>
              <w:rPr>
                <w:rFonts w:asciiTheme="minorBidi" w:hAnsiTheme="minorBidi"/>
              </w:rPr>
            </w:pP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pDM4:</w:t>
            </w:r>
            <w:r w:rsidRPr="0074033B">
              <w:rPr>
                <w:rFonts w:asciiTheme="minorBidi" w:hAnsiTheme="minorBidi"/>
                <w:i/>
                <w:iCs/>
              </w:rPr>
              <w:t>vprh</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pDM4 containing 1 kb upstream and 1 kb downstream of </w:t>
            </w:r>
            <w:proofErr w:type="spellStart"/>
            <w:r w:rsidRPr="0074033B">
              <w:rPr>
                <w:rFonts w:asciiTheme="minorBidi" w:hAnsiTheme="minorBidi"/>
                <w:i/>
                <w:iCs/>
              </w:rPr>
              <w:t>vprh</w:t>
            </w:r>
            <w:proofErr w:type="spellEnd"/>
            <w:r w:rsidRPr="0074033B">
              <w:rPr>
                <w:rFonts w:asciiTheme="minorBidi" w:hAnsiTheme="minorBidi"/>
              </w:rPr>
              <w:t xml:space="preserve"> in its MCS</w:t>
            </w:r>
          </w:p>
        </w:tc>
        <w:tc>
          <w:tcPr>
            <w:tcW w:w="2372" w:type="dxa"/>
          </w:tcPr>
          <w:p w:rsidR="006C1F59" w:rsidRPr="0074033B" w:rsidRDefault="006C1F59" w:rsidP="00A063EB">
            <w:pPr>
              <w:rPr>
                <w:rFonts w:asciiTheme="minorBidi" w:hAnsiTheme="minorBidi"/>
              </w:rPr>
            </w:pPr>
            <w:r w:rsidRPr="0074033B">
              <w:rPr>
                <w:rFonts w:asciiTheme="minorBidi" w:hAnsiTheme="minorBidi"/>
              </w:rPr>
              <w:t xml:space="preserve">Used to delete </w:t>
            </w:r>
            <w:proofErr w:type="spellStart"/>
            <w:r w:rsidRPr="0074033B">
              <w:rPr>
                <w:rFonts w:asciiTheme="minorBidi" w:hAnsiTheme="minorBidi"/>
                <w:i/>
                <w:iCs/>
              </w:rPr>
              <w:t>vprh</w:t>
            </w:r>
            <w:proofErr w:type="spellEnd"/>
            <w:r w:rsidRPr="0074033B">
              <w:rPr>
                <w:rFonts w:asciiTheme="minorBidi" w:hAnsiTheme="minorBidi"/>
              </w:rPr>
              <w:t xml:space="preserve"> in </w:t>
            </w:r>
            <w:r w:rsidRPr="0074033B">
              <w:rPr>
                <w:rFonts w:asciiTheme="minorBidi" w:hAnsiTheme="minorBidi"/>
                <w:i/>
                <w:iCs/>
              </w:rPr>
              <w:t>V. proteolyticus</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fldChar w:fldCharType="begin" w:fldLock="1"/>
            </w:r>
            <w:r>
              <w:rPr>
                <w:rFonts w:asciiTheme="minorBidi" w:hAnsiTheme="minorBidi"/>
              </w:rPr>
              <w:instrText>ADDIN CSL_CITATION {"citationItems":[{"id":"ITEM-1","itemData":{"DOI":"10.1128/mBio.01077-16","ISSN":"2150-7511","abstract":"Members of the genus Vibrio include many pathogens of humans and marine animals that share genetic information via horizontal gene transfer. Hence, the Vibrio pan-genome carries the potential to establish new pathogenic strains by sharing virulence determinants, many of which have yet to be characterized. Here, we investigated the virulence properties of Vibrio proteolyticus , a Gram-negative marine bacterium previously identified as part of the Vibrio consortium isolated from diseased corals. We found that V. proteolyticus causes actin cytoskeleton rearrangements followed by cell lysis in HeLa cells in a contact-independent manner. In search of the responsible virulence factor involved, we determined the V. proteolyticus secretome. This proteomics approach revealed various putative virulence factors, including active type VI secretion systems and effectors with virulence toxin domains; however, these type VI secretion systems were not responsible for the observed cytotoxic effects. Further examination of the V. proteolyticus secretome led us to hypothesize and subsequently demonstrate that a secreted hemolysin, belonging to a previously uncharacterized clan of the leukocidin superfamily, was the toxin responsible for the V. proteolyticus -mediated cytotoxicity in both HeLa cells and macrophages. Clearly, there remains an armory of yet-to-be-discovered virulence factors in the Vibrio pan-genome that will undoubtedly provide a wealth of knowledge on how a pathogen can manipulate host cells.","author":[{"dropping-particle":"","family":"Ray","given":"Ann","non-dropping-particle":"","parse-names":false,"suffix":""},{"dropping-particle":"","family":"Kinch","given":"Lisa N.","non-dropping-particle":"","parse-names":false,"suffix":""},{"dropping-particle":"","family":"Souza Santos","given":"Marcela","non-dropping-particle":"de","parse-names":false,"suffix":""},{"dropping-particle":"V.","family":"Grishin","given":"Nick","non-dropping-particle":"","parse-names":false,"suffix":""},{"dropping-particle":"","family":"Orth","given":"Kim","non-dropping-particle":"","parse-names":false,"suffix":""},{"dropping-particle":"","family":"Salomon","given":"Dor","non-dropping-particle":"","parse-names":false,"suffix":""}],"container-title":"mBio","id":"ITEM-1","issue":"4","issued":{"date-parts":[["2016","9","7"]]},"page":"e01077-16","title":"Proteomics Analysis Reveals Previously Uncharacterized Virulence Factors in Vibrio proteolyticus","type":"article-journal","volume":"7"},"uris":["http://www.mendeley.com/documents/?uuid=6c14854d-336b-476d-9aed-f1c7bb536469"]}],"mendeley":{"formattedCitation":"(Ray et al., 2016)","plainTextFormattedCitation":"(Ray et al., 2016)","previouslyFormattedCitation":"(Ray et al., 2016)"},"properties":{"noteIndex":0},"schema":"https://github.com/citation-style-language/schema/raw/master/csl-citation.json"}</w:instrText>
            </w:r>
            <w:r w:rsidRPr="0074033B">
              <w:rPr>
                <w:rFonts w:asciiTheme="minorBidi" w:hAnsiTheme="minorBidi"/>
              </w:rPr>
              <w:fldChar w:fldCharType="separate"/>
            </w:r>
            <w:r w:rsidRPr="00704906">
              <w:rPr>
                <w:rFonts w:asciiTheme="minorBidi" w:hAnsiTheme="minorBidi"/>
                <w:noProof/>
              </w:rPr>
              <w:t>(Ray et al., 2016)</w:t>
            </w:r>
            <w:r w:rsidRPr="0074033B">
              <w:rPr>
                <w:rFonts w:asciiTheme="minorBidi" w:hAnsiTheme="minorBidi"/>
              </w:rPr>
              <w:fldChar w:fldCharType="end"/>
            </w:r>
          </w:p>
        </w:tc>
      </w:tr>
      <w:tr w:rsidR="006C1F59" w:rsidRPr="0074033B" w:rsidTr="00A063EB">
        <w:tc>
          <w:tcPr>
            <w:tcW w:w="1795" w:type="dxa"/>
          </w:tcPr>
          <w:p w:rsidR="006C1F59" w:rsidRPr="0074033B" w:rsidRDefault="006C1F59" w:rsidP="00A063EB">
            <w:pPr>
              <w:rPr>
                <w:rFonts w:asciiTheme="minorBidi" w:hAnsiTheme="minorBidi"/>
                <w:i/>
                <w:iCs/>
              </w:rPr>
            </w:pPr>
            <w:r w:rsidRPr="0074033B">
              <w:rPr>
                <w:rFonts w:asciiTheme="minorBidi" w:hAnsiTheme="minorBidi"/>
              </w:rPr>
              <w:t>pDM4:</w:t>
            </w:r>
            <w:r w:rsidRPr="0074033B">
              <w:rPr>
                <w:rFonts w:asciiTheme="minorBidi" w:hAnsiTheme="minorBidi"/>
                <w:i/>
                <w:iCs/>
              </w:rPr>
              <w:t>hns1</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pDM4 containing 1 kb upstream and 1 kb downstream of </w:t>
            </w:r>
            <w:r w:rsidRPr="0074033B">
              <w:rPr>
                <w:rFonts w:asciiTheme="minorBidi" w:hAnsiTheme="minorBidi"/>
                <w:i/>
                <w:iCs/>
              </w:rPr>
              <w:t>hns1</w:t>
            </w:r>
            <w:r w:rsidRPr="0074033B">
              <w:rPr>
                <w:rFonts w:asciiTheme="minorBidi" w:hAnsiTheme="minorBidi"/>
              </w:rPr>
              <w:t xml:space="preserve"> in its MCS</w:t>
            </w:r>
          </w:p>
        </w:tc>
        <w:tc>
          <w:tcPr>
            <w:tcW w:w="2372" w:type="dxa"/>
          </w:tcPr>
          <w:p w:rsidR="006C1F59" w:rsidRPr="0074033B" w:rsidRDefault="006C1F59" w:rsidP="00A063EB">
            <w:pPr>
              <w:rPr>
                <w:rFonts w:asciiTheme="minorBidi" w:hAnsiTheme="minorBidi"/>
              </w:rPr>
            </w:pPr>
            <w:r w:rsidRPr="0074033B">
              <w:rPr>
                <w:rFonts w:asciiTheme="minorBidi" w:hAnsiTheme="minorBidi"/>
              </w:rPr>
              <w:t xml:space="preserve">Used to delete </w:t>
            </w:r>
            <w:r w:rsidRPr="0074033B">
              <w:rPr>
                <w:rFonts w:asciiTheme="minorBidi" w:hAnsiTheme="minorBidi"/>
                <w:i/>
                <w:iCs/>
              </w:rPr>
              <w:t>hns1</w:t>
            </w:r>
            <w:r w:rsidRPr="0074033B">
              <w:rPr>
                <w:rFonts w:asciiTheme="minorBidi" w:hAnsiTheme="minorBidi"/>
              </w:rPr>
              <w:t xml:space="preserve"> in </w:t>
            </w:r>
            <w:r w:rsidRPr="0074033B">
              <w:rPr>
                <w:rFonts w:asciiTheme="minorBidi" w:hAnsiTheme="minorBidi"/>
                <w:i/>
                <w:iCs/>
              </w:rPr>
              <w:t>V. proteolyticus</w:t>
            </w:r>
            <w:r w:rsidRPr="0074033B">
              <w:rPr>
                <w:rFonts w:asciiTheme="minorBidi" w:hAnsiTheme="minorBidi"/>
              </w:rPr>
              <w:t xml:space="preserve"> </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p w:rsidR="006C1F59" w:rsidRPr="0074033B" w:rsidRDefault="006C1F59" w:rsidP="00A063EB">
            <w:pPr>
              <w:jc w:val="both"/>
              <w:rPr>
                <w:rFonts w:asciiTheme="minorBidi" w:hAnsiTheme="minorBidi"/>
              </w:rPr>
            </w:pP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pDM4:</w:t>
            </w:r>
            <w:r w:rsidRPr="0074033B">
              <w:rPr>
                <w:rFonts w:asciiTheme="minorBidi" w:hAnsiTheme="minorBidi"/>
                <w:i/>
                <w:iCs/>
              </w:rPr>
              <w:t>tssG1</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pDM4 containing 1 kb upstream and 1 kb downstream of </w:t>
            </w:r>
            <w:r w:rsidRPr="0074033B">
              <w:rPr>
                <w:rFonts w:asciiTheme="minorBidi" w:hAnsiTheme="minorBidi"/>
                <w:i/>
                <w:iCs/>
              </w:rPr>
              <w:t>tss</w:t>
            </w:r>
            <w:r>
              <w:rPr>
                <w:rFonts w:asciiTheme="minorBidi" w:hAnsiTheme="minorBidi"/>
                <w:i/>
                <w:iCs/>
              </w:rPr>
              <w:t>G</w:t>
            </w:r>
            <w:r w:rsidRPr="0074033B">
              <w:rPr>
                <w:rFonts w:asciiTheme="minorBidi" w:hAnsiTheme="minorBidi"/>
                <w:i/>
                <w:iCs/>
              </w:rPr>
              <w:t>1</w:t>
            </w:r>
            <w:r w:rsidRPr="0074033B">
              <w:rPr>
                <w:rFonts w:asciiTheme="minorBidi" w:hAnsiTheme="minorBidi"/>
              </w:rPr>
              <w:t xml:space="preserve"> in its MCS</w:t>
            </w:r>
          </w:p>
        </w:tc>
        <w:tc>
          <w:tcPr>
            <w:tcW w:w="2372" w:type="dxa"/>
          </w:tcPr>
          <w:p w:rsidR="006C1F59" w:rsidRPr="0074033B" w:rsidRDefault="006C1F59" w:rsidP="00A063EB">
            <w:pPr>
              <w:rPr>
                <w:rFonts w:asciiTheme="minorBidi" w:hAnsiTheme="minorBidi"/>
              </w:rPr>
            </w:pPr>
            <w:r w:rsidRPr="0074033B">
              <w:rPr>
                <w:rFonts w:asciiTheme="minorBidi" w:hAnsiTheme="minorBidi"/>
              </w:rPr>
              <w:t xml:space="preserve">Used to delete </w:t>
            </w:r>
            <w:r w:rsidRPr="0074033B">
              <w:rPr>
                <w:rFonts w:asciiTheme="minorBidi" w:hAnsiTheme="minorBidi"/>
                <w:i/>
                <w:iCs/>
              </w:rPr>
              <w:t>tssG1</w:t>
            </w:r>
            <w:r w:rsidRPr="0074033B">
              <w:rPr>
                <w:rFonts w:asciiTheme="minorBidi" w:hAnsiTheme="minorBidi"/>
              </w:rPr>
              <w:t xml:space="preserve"> in </w:t>
            </w:r>
            <w:r w:rsidRPr="0074033B">
              <w:rPr>
                <w:rFonts w:asciiTheme="minorBidi" w:hAnsiTheme="minorBidi"/>
                <w:i/>
                <w:iCs/>
              </w:rPr>
              <w:t>V. proteolyticus</w:t>
            </w:r>
          </w:p>
        </w:tc>
        <w:tc>
          <w:tcPr>
            <w:tcW w:w="2038" w:type="dxa"/>
          </w:tcPr>
          <w:p w:rsidR="006C1F59" w:rsidRPr="0074033B" w:rsidRDefault="006C1F59" w:rsidP="00A063EB">
            <w:pPr>
              <w:jc w:val="both"/>
              <w:rPr>
                <w:rFonts w:asciiTheme="minorBidi" w:hAnsiTheme="minorBidi"/>
              </w:rPr>
            </w:pPr>
            <w:r>
              <w:rPr>
                <w:rFonts w:asciiTheme="minorBidi" w:hAnsiTheme="minorBidi"/>
              </w:rPr>
              <w:fldChar w:fldCharType="begin" w:fldLock="1"/>
            </w:r>
            <w:r>
              <w:rPr>
                <w:rFonts w:asciiTheme="minorBidi" w:hAnsiTheme="minorBidi"/>
              </w:rPr>
              <w:instrText>ADDIN CSL_CITATION {"citationItems":[{"id":"ITEM-1","itemData":{"DOI":"10.15252/embr.201744226","ISSN":"1469-221X","PMID":"28912123","abstract":"Most type VI secretion systems (T6SSs) described to date are protein delivery apparatuses that mediate bactericidal activities. Several T6SSs were also reported to mediate virulence activities, although only few anti-eukaryotic effectors have been described. Here, we identify three T6SSs in the marine bacterium Vibrio proteolyticus and show that T6SS1 mediates bactericidal activities under warm marine-like conditions. Using comparative proteomics, we find nine potential T6SS1 effectors, five of which belong to the polymorphic MIX-effector class. Remarkably, in addition to six predicted bactericidal effectors, the T6SS1 secretome includes three putative anti-eukaryotic effectors. One of these is a MIX-effector containing a cytotoxic necrotizing factor 1 domain. We demonstrate that T6SS1 can use this MIX-effector to target phagocytic cells, resulting in morphological changes and actin cytoskeleton rearrangements. In conclusion, the V. proteolyticus T6SS1, a system homologous to one found in pathogenic vibrios, uses a suite of polymorphic effectors that target both bacteria and eukaryotic neighbors.","author":[{"dropping-particle":"","family":"Ray","given":"Ann","non-dropping-particle":"","parse-names":false,"suffix":""},{"dropping-particle":"","family":"Schwartz","given":"Nika","non-dropping-particle":"","parse-names":false,"suffix":""},{"dropping-particle":"","family":"Souza Santos","given":"Marcela","non-dropping-particle":"","parse-names":false,"suffix":""},{"dropping-particle":"","family":"Zhang","given":"Junmei","non-dropping-particle":"","parse-names":false,"suffix":""},{"dropping-particle":"","family":"Orth","given":"Kim","non-dropping-particle":"","parse-names":false,"suffix":""},{"dropping-particle":"","family":"Salomon","given":"Dor","non-dropping-particle":"","parse-names":false,"suffix":""}],"container-title":"EMBO reports","id":"ITEM-1","issue":"11","issued":{"date-parts":[["2017"]]},"page":"1978-1990","title":"Type VI secretion system MIX</w:instrText>
            </w:r>
            <w:r>
              <w:rPr>
                <w:rFonts w:ascii="Cambria Math" w:hAnsi="Cambria Math" w:cs="Cambria Math"/>
              </w:rPr>
              <w:instrText>‐</w:instrText>
            </w:r>
            <w:r>
              <w:rPr>
                <w:rFonts w:asciiTheme="minorBidi" w:hAnsiTheme="minorBidi"/>
              </w:rPr>
              <w:instrText>effectors carry both antibacterial and anti</w:instrText>
            </w:r>
            <w:r>
              <w:rPr>
                <w:rFonts w:ascii="Cambria Math" w:hAnsi="Cambria Math" w:cs="Cambria Math"/>
              </w:rPr>
              <w:instrText>‐</w:instrText>
            </w:r>
            <w:r>
              <w:rPr>
                <w:rFonts w:asciiTheme="minorBidi" w:hAnsiTheme="minorBidi"/>
              </w:rPr>
              <w:instrText>eukaryotic activities","type":"article-journal","volume":"18"},"uris":["http://www.mendeley.com/documents/?uuid=f503112a-3925-3f6d-b186-750c86ffb213"]}],"mendeley":{"formattedCitation":"(Ray et al., 2017)","plainTextFormattedCitation":"(Ray et al., 2017)","previouslyFormattedCitation":"(Ray et al., 2017)"},"properties":{"noteIndex":0},"schema":"https://github.com/citation-style-language/schema/raw/master/csl-citation.json"}</w:instrText>
            </w:r>
            <w:r>
              <w:rPr>
                <w:rFonts w:asciiTheme="minorBidi" w:hAnsiTheme="minorBidi"/>
              </w:rPr>
              <w:fldChar w:fldCharType="separate"/>
            </w:r>
            <w:r w:rsidRPr="00704906">
              <w:rPr>
                <w:rFonts w:asciiTheme="minorBidi" w:hAnsiTheme="minorBidi"/>
                <w:noProof/>
              </w:rPr>
              <w:t>(Ray et al., 2017)</w:t>
            </w:r>
            <w:r>
              <w:rPr>
                <w:rFonts w:asciiTheme="minorBidi" w:hAnsiTheme="minorBidi"/>
              </w:rPr>
              <w:fldChar w:fldCharType="end"/>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pDM4:</w:t>
            </w:r>
            <w:r w:rsidRPr="0074033B">
              <w:rPr>
                <w:rFonts w:asciiTheme="minorBidi" w:hAnsiTheme="minorBidi"/>
                <w:i/>
                <w:iCs/>
              </w:rPr>
              <w:t>tssL3</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pDM4 containing 1 kb upstream and 1 kb downstream of </w:t>
            </w:r>
            <w:r w:rsidRPr="0074033B">
              <w:rPr>
                <w:rFonts w:asciiTheme="minorBidi" w:hAnsiTheme="minorBidi"/>
                <w:i/>
                <w:iCs/>
              </w:rPr>
              <w:t>tssL3</w:t>
            </w:r>
            <w:r w:rsidRPr="0074033B">
              <w:rPr>
                <w:rFonts w:asciiTheme="minorBidi" w:hAnsiTheme="minorBidi"/>
              </w:rPr>
              <w:t xml:space="preserve"> in its MCS</w:t>
            </w:r>
          </w:p>
        </w:tc>
        <w:tc>
          <w:tcPr>
            <w:tcW w:w="2372" w:type="dxa"/>
          </w:tcPr>
          <w:p w:rsidR="006C1F59" w:rsidRPr="0074033B" w:rsidRDefault="006C1F59" w:rsidP="00A063EB">
            <w:pPr>
              <w:rPr>
                <w:rFonts w:asciiTheme="minorBidi" w:hAnsiTheme="minorBidi"/>
              </w:rPr>
            </w:pPr>
            <w:r w:rsidRPr="0074033B">
              <w:rPr>
                <w:rFonts w:asciiTheme="minorBidi" w:hAnsiTheme="minorBidi"/>
              </w:rPr>
              <w:t xml:space="preserve">Used to delete </w:t>
            </w:r>
            <w:r w:rsidRPr="0074033B">
              <w:rPr>
                <w:rFonts w:asciiTheme="minorBidi" w:hAnsiTheme="minorBidi"/>
                <w:i/>
                <w:iCs/>
              </w:rPr>
              <w:t>tssL3</w:t>
            </w:r>
            <w:r w:rsidRPr="0074033B">
              <w:rPr>
                <w:rFonts w:asciiTheme="minorBidi" w:hAnsiTheme="minorBidi"/>
              </w:rPr>
              <w:t xml:space="preserve"> in </w:t>
            </w:r>
            <w:r w:rsidRPr="0074033B">
              <w:rPr>
                <w:rFonts w:asciiTheme="minorBidi" w:hAnsiTheme="minorBidi"/>
                <w:i/>
                <w:iCs/>
              </w:rPr>
              <w:t>V. proteolyticus</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pDM4:</w:t>
            </w:r>
            <w:r w:rsidRPr="0074033B">
              <w:rPr>
                <w:rFonts w:asciiTheme="minorBidi" w:hAnsiTheme="minorBidi"/>
                <w:i/>
                <w:iCs/>
              </w:rPr>
              <w:t>tie1</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pDM4 containing 1 kb upstream and 1 kb downstream of </w:t>
            </w:r>
            <w:r>
              <w:rPr>
                <w:rFonts w:asciiTheme="minorBidi" w:hAnsiTheme="minorBidi"/>
              </w:rPr>
              <w:t xml:space="preserve">the region corresponding to </w:t>
            </w:r>
            <w:r w:rsidRPr="0074033B">
              <w:rPr>
                <w:rFonts w:asciiTheme="minorBidi" w:hAnsiTheme="minorBidi"/>
              </w:rPr>
              <w:t>nucleotides</w:t>
            </w:r>
            <w:r>
              <w:rPr>
                <w:rFonts w:asciiTheme="minorBidi" w:hAnsiTheme="minorBidi"/>
              </w:rPr>
              <w:t xml:space="preserve"> 485-584</w:t>
            </w:r>
            <w:r w:rsidRPr="0074033B">
              <w:rPr>
                <w:rFonts w:asciiTheme="minorBidi" w:hAnsiTheme="minorBidi"/>
              </w:rPr>
              <w:t xml:space="preserve"> </w:t>
            </w:r>
            <w:r>
              <w:rPr>
                <w:rFonts w:asciiTheme="minorBidi" w:hAnsiTheme="minorBidi"/>
              </w:rPr>
              <w:t>of</w:t>
            </w:r>
            <w:r w:rsidRPr="0074033B">
              <w:rPr>
                <w:rFonts w:asciiTheme="minorBidi" w:hAnsiTheme="minorBidi"/>
              </w:rPr>
              <w:t xml:space="preserve"> </w:t>
            </w:r>
            <w:r w:rsidRPr="0074033B">
              <w:rPr>
                <w:rFonts w:asciiTheme="minorBidi" w:hAnsiTheme="minorBidi"/>
                <w:i/>
                <w:iCs/>
              </w:rPr>
              <w:t>tie1</w:t>
            </w:r>
            <w:r>
              <w:rPr>
                <w:rFonts w:asciiTheme="minorBidi" w:hAnsiTheme="minorBidi"/>
              </w:rPr>
              <w:t xml:space="preserve"> in its MCS</w:t>
            </w:r>
            <w:r w:rsidRPr="0074033B">
              <w:rPr>
                <w:rFonts w:asciiTheme="minorBidi" w:hAnsiTheme="minorBidi"/>
              </w:rPr>
              <w:t xml:space="preserve"> </w:t>
            </w:r>
          </w:p>
        </w:tc>
        <w:tc>
          <w:tcPr>
            <w:tcW w:w="2372" w:type="dxa"/>
          </w:tcPr>
          <w:p w:rsidR="006C1F59" w:rsidRPr="0074033B" w:rsidRDefault="006C1F59" w:rsidP="00A063EB">
            <w:pPr>
              <w:rPr>
                <w:rFonts w:asciiTheme="minorBidi" w:hAnsiTheme="minorBidi"/>
              </w:rPr>
            </w:pPr>
            <w:r w:rsidRPr="0074033B">
              <w:rPr>
                <w:rFonts w:asciiTheme="minorBidi" w:hAnsiTheme="minorBidi"/>
              </w:rPr>
              <w:t>Used to delete</w:t>
            </w:r>
            <w:r>
              <w:rPr>
                <w:rFonts w:asciiTheme="minorBidi" w:hAnsiTheme="minorBidi"/>
              </w:rPr>
              <w:t xml:space="preserve"> a 100 </w:t>
            </w:r>
            <w:proofErr w:type="spellStart"/>
            <w:r>
              <w:rPr>
                <w:rFonts w:asciiTheme="minorBidi" w:hAnsiTheme="minorBidi"/>
              </w:rPr>
              <w:t>bp</w:t>
            </w:r>
            <w:proofErr w:type="spellEnd"/>
            <w:r>
              <w:rPr>
                <w:rFonts w:asciiTheme="minorBidi" w:hAnsiTheme="minorBidi"/>
              </w:rPr>
              <w:t xml:space="preserve"> region and inactivate</w:t>
            </w:r>
            <w:r w:rsidRPr="0074033B">
              <w:rPr>
                <w:rFonts w:asciiTheme="minorBidi" w:hAnsiTheme="minorBidi"/>
              </w:rPr>
              <w:t xml:space="preserve"> </w:t>
            </w:r>
            <w:r w:rsidRPr="0074033B">
              <w:rPr>
                <w:rFonts w:asciiTheme="minorBidi" w:hAnsiTheme="minorBidi"/>
                <w:i/>
                <w:iCs/>
              </w:rPr>
              <w:t>tie1</w:t>
            </w:r>
            <w:r w:rsidRPr="0074033B">
              <w:rPr>
                <w:rFonts w:asciiTheme="minorBidi" w:hAnsiTheme="minorBidi"/>
              </w:rPr>
              <w:t xml:space="preserve"> in </w:t>
            </w:r>
            <w:r w:rsidRPr="0074033B">
              <w:rPr>
                <w:rFonts w:asciiTheme="minorBidi" w:hAnsiTheme="minorBidi"/>
                <w:i/>
                <w:iCs/>
              </w:rPr>
              <w:t>V. proteolyticus</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pDM4:</w:t>
            </w:r>
            <w:r w:rsidRPr="0074033B">
              <w:rPr>
                <w:rFonts w:asciiTheme="minorBidi" w:hAnsiTheme="minorBidi"/>
                <w:i/>
                <w:iCs/>
              </w:rPr>
              <w:t>tie2</w:t>
            </w:r>
          </w:p>
        </w:tc>
        <w:tc>
          <w:tcPr>
            <w:tcW w:w="2880" w:type="dxa"/>
          </w:tcPr>
          <w:p w:rsidR="006C1F59" w:rsidRPr="0074033B" w:rsidRDefault="006C1F59" w:rsidP="00A063EB">
            <w:pPr>
              <w:rPr>
                <w:rFonts w:asciiTheme="minorBidi" w:hAnsiTheme="minorBidi"/>
              </w:rPr>
            </w:pPr>
            <w:r w:rsidRPr="0074033B">
              <w:rPr>
                <w:rFonts w:asciiTheme="minorBidi" w:hAnsiTheme="minorBidi"/>
              </w:rPr>
              <w:t xml:space="preserve">pDM4 containing 1 kb upstream and 1 kb </w:t>
            </w:r>
            <w:r w:rsidRPr="0074033B">
              <w:rPr>
                <w:rFonts w:asciiTheme="minorBidi" w:hAnsiTheme="minorBidi"/>
              </w:rPr>
              <w:lastRenderedPageBreak/>
              <w:t xml:space="preserve">downstream of </w:t>
            </w:r>
            <w:r w:rsidRPr="0074033B">
              <w:rPr>
                <w:rFonts w:asciiTheme="minorBidi" w:hAnsiTheme="minorBidi"/>
                <w:i/>
                <w:iCs/>
              </w:rPr>
              <w:t>tie2</w:t>
            </w:r>
            <w:r w:rsidRPr="0074033B">
              <w:rPr>
                <w:rFonts w:asciiTheme="minorBidi" w:hAnsiTheme="minorBidi"/>
              </w:rPr>
              <w:t xml:space="preserve"> in its MCS</w:t>
            </w:r>
          </w:p>
        </w:tc>
        <w:tc>
          <w:tcPr>
            <w:tcW w:w="2372" w:type="dxa"/>
          </w:tcPr>
          <w:p w:rsidR="006C1F59" w:rsidRPr="0074033B" w:rsidRDefault="006C1F59" w:rsidP="00A063EB">
            <w:pPr>
              <w:rPr>
                <w:rFonts w:asciiTheme="minorBidi" w:hAnsiTheme="minorBidi"/>
              </w:rPr>
            </w:pPr>
            <w:r w:rsidRPr="0074033B">
              <w:rPr>
                <w:rFonts w:asciiTheme="minorBidi" w:hAnsiTheme="minorBidi"/>
              </w:rPr>
              <w:lastRenderedPageBreak/>
              <w:t xml:space="preserve">Used to delete </w:t>
            </w:r>
            <w:r w:rsidRPr="0074033B">
              <w:rPr>
                <w:rFonts w:asciiTheme="minorBidi" w:hAnsiTheme="minorBidi"/>
                <w:i/>
                <w:iCs/>
              </w:rPr>
              <w:t>tie2</w:t>
            </w:r>
            <w:r w:rsidRPr="0074033B">
              <w:rPr>
                <w:rFonts w:asciiTheme="minorBidi" w:hAnsiTheme="minorBidi"/>
              </w:rPr>
              <w:t xml:space="preserve"> in </w:t>
            </w:r>
            <w:r w:rsidRPr="0074033B">
              <w:rPr>
                <w:rFonts w:asciiTheme="minorBidi" w:hAnsiTheme="minorBidi"/>
                <w:i/>
                <w:iCs/>
              </w:rPr>
              <w:t>V. proteolyticus</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RDefault="006C1F59" w:rsidP="00A063EB">
            <w:pPr>
              <w:rPr>
                <w:rFonts w:asciiTheme="minorBidi" w:hAnsiTheme="minorBidi"/>
              </w:rPr>
            </w:pPr>
            <w:proofErr w:type="spellStart"/>
            <w:r w:rsidRPr="0074033B">
              <w:rPr>
                <w:rFonts w:asciiTheme="minorBidi" w:hAnsiTheme="minorBidi"/>
              </w:rPr>
              <w:t>pBAD</w:t>
            </w:r>
            <w:proofErr w:type="spellEnd"/>
            <w:r w:rsidRPr="0074033B">
              <w:rPr>
                <w:rFonts w:asciiTheme="minorBidi" w:hAnsiTheme="minorBidi"/>
              </w:rPr>
              <w:t>/</w:t>
            </w:r>
            <w:proofErr w:type="spellStart"/>
            <w:r w:rsidRPr="0074033B">
              <w:rPr>
                <w:rFonts w:asciiTheme="minorBidi" w:hAnsiTheme="minorBidi"/>
              </w:rPr>
              <w:t>Myc-His</w:t>
            </w:r>
            <w:r w:rsidRPr="0074033B">
              <w:rPr>
                <w:rFonts w:asciiTheme="minorBidi" w:hAnsiTheme="minorBidi"/>
                <w:vertAlign w:val="superscript"/>
              </w:rPr>
              <w:t>Kan</w:t>
            </w:r>
            <w:proofErr w:type="spellEnd"/>
          </w:p>
        </w:tc>
        <w:tc>
          <w:tcPr>
            <w:tcW w:w="2880" w:type="dxa"/>
          </w:tcPr>
          <w:p w:rsidR="006C1F59" w:rsidRPr="0074033B" w:rsidRDefault="006C1F59" w:rsidP="00A063EB">
            <w:pPr>
              <w:rPr>
                <w:rFonts w:asciiTheme="minorBidi" w:hAnsiTheme="minorBidi"/>
              </w:rPr>
            </w:pPr>
            <w:r w:rsidRPr="00462454">
              <w:rPr>
                <w:rFonts w:asciiTheme="minorBidi" w:hAnsiTheme="minorBidi"/>
              </w:rPr>
              <w:t xml:space="preserve">pBR322 </w:t>
            </w:r>
            <w:proofErr w:type="spellStart"/>
            <w:r w:rsidRPr="00462454">
              <w:rPr>
                <w:rFonts w:asciiTheme="minorBidi" w:hAnsiTheme="minorBidi"/>
              </w:rPr>
              <w:t>ori</w:t>
            </w:r>
            <w:proofErr w:type="spellEnd"/>
            <w:r w:rsidRPr="00462454">
              <w:rPr>
                <w:rFonts w:asciiTheme="minorBidi" w:hAnsiTheme="minorBidi"/>
              </w:rPr>
              <w:t xml:space="preserve">-containing plasmid harboring a </w:t>
            </w:r>
            <w:proofErr w:type="spellStart"/>
            <w:r w:rsidRPr="00462454">
              <w:rPr>
                <w:rFonts w:asciiTheme="minorBidi" w:hAnsiTheme="minorBidi"/>
              </w:rPr>
              <w:t>Kan</w:t>
            </w:r>
            <w:r w:rsidRPr="00462454">
              <w:rPr>
                <w:rFonts w:asciiTheme="minorBidi" w:hAnsiTheme="minorBidi"/>
                <w:vertAlign w:val="superscript"/>
              </w:rPr>
              <w:t>R</w:t>
            </w:r>
            <w:proofErr w:type="spellEnd"/>
            <w:r w:rsidRPr="00462454">
              <w:rPr>
                <w:rFonts w:asciiTheme="minorBidi" w:hAnsiTheme="minorBidi"/>
              </w:rPr>
              <w:t xml:space="preserve"> cassette, </w:t>
            </w:r>
            <w:proofErr w:type="spellStart"/>
            <w:r w:rsidRPr="00462454">
              <w:rPr>
                <w:rFonts w:asciiTheme="minorBidi" w:hAnsiTheme="minorBidi"/>
              </w:rPr>
              <w:t>araC</w:t>
            </w:r>
            <w:proofErr w:type="spellEnd"/>
            <w:r w:rsidRPr="00462454">
              <w:rPr>
                <w:rFonts w:asciiTheme="minorBidi" w:hAnsiTheme="minorBidi"/>
              </w:rPr>
              <w:t xml:space="preserve">, and an MCS following a </w:t>
            </w:r>
            <w:proofErr w:type="spellStart"/>
            <w:r w:rsidRPr="00462454">
              <w:rPr>
                <w:rFonts w:asciiTheme="minorBidi" w:hAnsiTheme="minorBidi"/>
              </w:rPr>
              <w:t>P</w:t>
            </w:r>
            <w:r w:rsidRPr="00462454">
              <w:rPr>
                <w:rFonts w:asciiTheme="minorBidi" w:hAnsiTheme="minorBidi"/>
                <w:i/>
                <w:iCs/>
              </w:rPr>
              <w:t>bad</w:t>
            </w:r>
            <w:proofErr w:type="spellEnd"/>
            <w:r w:rsidRPr="00462454">
              <w:rPr>
                <w:rFonts w:asciiTheme="minorBidi" w:hAnsiTheme="minorBidi"/>
              </w:rPr>
              <w:t xml:space="preserve"> promoter</w:t>
            </w:r>
          </w:p>
        </w:tc>
        <w:tc>
          <w:tcPr>
            <w:tcW w:w="2372" w:type="dxa"/>
          </w:tcPr>
          <w:p w:rsidR="006C1F59" w:rsidRPr="0074033B" w:rsidRDefault="006C1F59" w:rsidP="00A063EB">
            <w:pPr>
              <w:rPr>
                <w:rFonts w:asciiTheme="minorBidi" w:hAnsiTheme="minorBidi"/>
              </w:rPr>
            </w:pPr>
            <w:r w:rsidRPr="0074033B">
              <w:rPr>
                <w:rFonts w:asciiTheme="minorBidi" w:hAnsiTheme="minorBidi"/>
              </w:rPr>
              <w:t xml:space="preserve">Used as </w:t>
            </w:r>
            <w:r>
              <w:rPr>
                <w:rFonts w:asciiTheme="minorBidi" w:hAnsiTheme="minorBidi"/>
              </w:rPr>
              <w:t xml:space="preserve">a </w:t>
            </w:r>
            <w:r w:rsidRPr="0074033B">
              <w:rPr>
                <w:rFonts w:asciiTheme="minorBidi" w:hAnsiTheme="minorBidi"/>
              </w:rPr>
              <w:t xml:space="preserve">backbone to construct plasmids for arabinose-inducible gene expression </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fldChar w:fldCharType="begin" w:fldLock="1"/>
            </w:r>
            <w:r>
              <w:rPr>
                <w:rFonts w:asciiTheme="minorBidi" w:hAnsiTheme="minorBidi"/>
              </w:rPr>
              <w:instrText>ADDIN CSL_CITATION {"citationItems":[{"id":"ITEM-1","itemData":{"DOI":"10.1371/journal.pone.0061086","ISSN":"19326203","PMID":"23613791","abstract":"Vibrio parahaemolyticus is a marine bacterium that thrives in warm climates. It is a leading cause of gastroenteritis resulting from consumption of contaminated uncooked shellfish. This bacterium harbors two putative type VI secretion systems (T6SS). T6SSs are widespread protein secretion systems found in many Gram-negative bacteria, and are often tightly regulated. For many T6SSs studied to date, the conditions and cues, as well as the regulatory mechanisms that control T6SS activity are unknown. In this study, we characterized the environmental conditions and cues that activate both V. parahaemolyticus T6SSs, and identified regulatory mechanisms that control T6SS gene expression and activity. We monitored the expression and secretion of the signature T6SS secreted proteins Hcp1 and Hcp2, and found that both T6SSs are differentially regulated by quorum sensing and surface sensing. We also showed that T6SS1 and T6SS2 require different temperature and salinity conditions to be active. Interestingly, T6SS1, which is found predominantly in clinical isolates, was most active under warm marine-like conditions. Moreover, we found that T6SS1 has anti-bacterial activity under these conditions. In addition, we identified two transcription regulators in the T6SS1 gene cluster that regulate Hcp1 expression, but are not required for immunity against self-intoxication. Further examination of environmental isolates revealed a correlation between the presence of T6SS1 and virulence of V. parahaemolyticus against other bacteria, and we also showed that different V. parahaemolyticus isolates can outcompete each other. We propose that T6SS1 and T6SS2 play different roles in the V. parahaemolyticus lifestyles, and suggest a role for T6SS1 in enhancing environmental fitness of V. parahaemolyticus in marine environments when competing for a niche in the presence of other bacterial populations. © 2013 Salomon et al.","author":[{"dropping-particle":"","family":"Salomon","given":"Dor","non-dropping-particle":"","parse-names":false,"suffix":""},{"dropping-particle":"","family":"Gonzalez","given":"Herman","non-dropping-particle":"","parse-names":false,"suffix":""},{"dropping-particle":"","family":"Updegraff","given":"Barrett L.","non-dropping-particle":"","parse-names":false,"suffix":""},{"dropping-particle":"","family":"Orth","given":"Kim","non-dropping-particle":"","parse-names":false,"suffix":""}],"container-title":"PLoS ONE","id":"ITEM-1","issue":"4","issued":{"date-parts":[["2013"]]},"page":"e61086","title":"Vibrio parahaemolyticus Type VI Secretion System 1 Is Activated in Marine Conditions to Target Bacteria, and Is Differentially Regulated from System 2","type":"article-journal","volume":"8"},"uris":["http://www.mendeley.com/documents/?uuid=900c22f5-d3cf-4bb7-b19e-9c77b1e7259a"]}],"mendeley":{"formattedCitation":"(Salomon et al., 2013)","plainTextFormattedCitation":"(Salomon et al., 2013)","previouslyFormattedCitation":"(Salomon et al., 2013)"},"properties":{"noteIndex":0},"schema":"https://github.com/citation-style-language/schema/raw/master/csl-citation.json"}</w:instrText>
            </w:r>
            <w:r w:rsidRPr="0074033B">
              <w:rPr>
                <w:rFonts w:asciiTheme="minorBidi" w:hAnsiTheme="minorBidi"/>
              </w:rPr>
              <w:fldChar w:fldCharType="separate"/>
            </w:r>
            <w:r w:rsidRPr="00704906">
              <w:rPr>
                <w:rFonts w:asciiTheme="minorBidi" w:hAnsiTheme="minorBidi"/>
                <w:noProof/>
              </w:rPr>
              <w:t>(Salomon et al., 2013)</w:t>
            </w:r>
            <w:r w:rsidRPr="0074033B">
              <w:rPr>
                <w:rFonts w:asciiTheme="minorBidi" w:hAnsiTheme="minorBidi"/>
              </w:rPr>
              <w:fldChar w:fldCharType="end"/>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pTssL3</w:t>
            </w:r>
          </w:p>
        </w:tc>
        <w:tc>
          <w:tcPr>
            <w:tcW w:w="2880" w:type="dxa"/>
          </w:tcPr>
          <w:p w:rsidR="006C1F59" w:rsidRPr="0074033B" w:rsidRDefault="006C1F59" w:rsidP="00A063EB">
            <w:pPr>
              <w:rPr>
                <w:rFonts w:asciiTheme="minorBidi" w:hAnsiTheme="minorBidi"/>
              </w:rPr>
            </w:pPr>
            <w:proofErr w:type="spellStart"/>
            <w:r w:rsidRPr="0074033B">
              <w:rPr>
                <w:rFonts w:asciiTheme="minorBidi" w:hAnsiTheme="minorBidi"/>
              </w:rPr>
              <w:t>pBAD</w:t>
            </w:r>
            <w:proofErr w:type="spellEnd"/>
            <w:r w:rsidRPr="0074033B">
              <w:rPr>
                <w:rFonts w:asciiTheme="minorBidi" w:hAnsiTheme="minorBidi"/>
              </w:rPr>
              <w:t>/</w:t>
            </w:r>
            <w:proofErr w:type="spellStart"/>
            <w:r w:rsidRPr="0074033B">
              <w:rPr>
                <w:rFonts w:asciiTheme="minorBidi" w:hAnsiTheme="minorBidi"/>
              </w:rPr>
              <w:t>Myc-His</w:t>
            </w:r>
            <w:r w:rsidRPr="0074033B">
              <w:rPr>
                <w:rFonts w:asciiTheme="minorBidi" w:hAnsiTheme="minorBidi"/>
                <w:vertAlign w:val="superscript"/>
              </w:rPr>
              <w:t>Kan</w:t>
            </w:r>
            <w:proofErr w:type="spellEnd"/>
            <w:r w:rsidRPr="0074033B">
              <w:rPr>
                <w:rFonts w:asciiTheme="minorBidi" w:hAnsiTheme="minorBidi"/>
              </w:rPr>
              <w:t xml:space="preserve"> containing the </w:t>
            </w:r>
            <w:r w:rsidRPr="0074033B">
              <w:rPr>
                <w:rFonts w:asciiTheme="minorBidi" w:hAnsiTheme="minorBidi"/>
                <w:i/>
                <w:iCs/>
              </w:rPr>
              <w:t>tssL3</w:t>
            </w:r>
            <w:r w:rsidRPr="0074033B">
              <w:rPr>
                <w:rFonts w:asciiTheme="minorBidi" w:hAnsiTheme="minorBidi"/>
              </w:rPr>
              <w:t xml:space="preserve"> ORF in its MCS, in frame with a C-terminal </w:t>
            </w:r>
            <w:proofErr w:type="spellStart"/>
            <w:r w:rsidRPr="0074033B">
              <w:rPr>
                <w:rFonts w:asciiTheme="minorBidi" w:hAnsiTheme="minorBidi"/>
              </w:rPr>
              <w:t>Myc</w:t>
            </w:r>
            <w:proofErr w:type="spellEnd"/>
            <w:r w:rsidRPr="0074033B">
              <w:rPr>
                <w:rFonts w:asciiTheme="minorBidi" w:hAnsiTheme="minorBidi"/>
              </w:rPr>
              <w:t>-His tag</w:t>
            </w:r>
          </w:p>
        </w:tc>
        <w:tc>
          <w:tcPr>
            <w:tcW w:w="2372" w:type="dxa"/>
          </w:tcPr>
          <w:p w:rsidR="006C1F59" w:rsidRPr="0074033B" w:rsidRDefault="006C1F59" w:rsidP="00A063EB">
            <w:pPr>
              <w:rPr>
                <w:rFonts w:asciiTheme="minorBidi" w:hAnsiTheme="minorBidi"/>
              </w:rPr>
            </w:pPr>
            <w:r w:rsidRPr="0074033B">
              <w:rPr>
                <w:rFonts w:asciiTheme="minorBidi" w:hAnsiTheme="minorBidi"/>
              </w:rPr>
              <w:t>Used for arabinose-inducible expression of TssL3</w:t>
            </w:r>
            <w:r w:rsidRPr="0074033B">
              <w:rPr>
                <w:rFonts w:asciiTheme="minorBidi" w:hAnsiTheme="minorBidi"/>
                <w:i/>
                <w:iCs/>
              </w:rPr>
              <w:t xml:space="preserve"> </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 xml:space="preserve">This study </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pAts3</w:t>
            </w:r>
          </w:p>
        </w:tc>
        <w:tc>
          <w:tcPr>
            <w:tcW w:w="2880" w:type="dxa"/>
          </w:tcPr>
          <w:p w:rsidR="006C1F59" w:rsidRPr="0074033B" w:rsidRDefault="006C1F59" w:rsidP="00A063EB">
            <w:pPr>
              <w:rPr>
                <w:rFonts w:asciiTheme="minorBidi" w:hAnsiTheme="minorBidi"/>
              </w:rPr>
            </w:pPr>
            <w:proofErr w:type="spellStart"/>
            <w:r w:rsidRPr="0074033B">
              <w:rPr>
                <w:rFonts w:asciiTheme="minorBidi" w:hAnsiTheme="minorBidi"/>
              </w:rPr>
              <w:t>pBAD</w:t>
            </w:r>
            <w:proofErr w:type="spellEnd"/>
            <w:r w:rsidRPr="0074033B">
              <w:rPr>
                <w:rFonts w:asciiTheme="minorBidi" w:hAnsiTheme="minorBidi"/>
              </w:rPr>
              <w:t>/</w:t>
            </w:r>
            <w:proofErr w:type="spellStart"/>
            <w:r w:rsidRPr="0074033B">
              <w:rPr>
                <w:rFonts w:asciiTheme="minorBidi" w:hAnsiTheme="minorBidi"/>
              </w:rPr>
              <w:t>Myc-His</w:t>
            </w:r>
            <w:r w:rsidRPr="0074033B">
              <w:rPr>
                <w:rFonts w:asciiTheme="minorBidi" w:hAnsiTheme="minorBidi"/>
                <w:vertAlign w:val="superscript"/>
              </w:rPr>
              <w:t>Kan</w:t>
            </w:r>
            <w:proofErr w:type="spellEnd"/>
            <w:r w:rsidRPr="0074033B">
              <w:rPr>
                <w:rFonts w:asciiTheme="minorBidi" w:hAnsiTheme="minorBidi"/>
              </w:rPr>
              <w:t xml:space="preserve"> containing the </w:t>
            </w:r>
            <w:r w:rsidRPr="0074033B">
              <w:rPr>
                <w:rFonts w:asciiTheme="minorBidi" w:hAnsiTheme="minorBidi"/>
                <w:i/>
                <w:iCs/>
              </w:rPr>
              <w:t>ats3</w:t>
            </w:r>
            <w:r w:rsidRPr="0074033B">
              <w:rPr>
                <w:rFonts w:asciiTheme="minorBidi" w:hAnsiTheme="minorBidi"/>
              </w:rPr>
              <w:t xml:space="preserve"> ORF in its MCS, not fused to a C-terminal tag</w:t>
            </w:r>
          </w:p>
        </w:tc>
        <w:tc>
          <w:tcPr>
            <w:tcW w:w="2372" w:type="dxa"/>
          </w:tcPr>
          <w:p w:rsidR="006C1F59" w:rsidRPr="0074033B" w:rsidRDefault="006C1F59" w:rsidP="00A063EB">
            <w:pPr>
              <w:rPr>
                <w:rFonts w:asciiTheme="minorBidi" w:hAnsiTheme="minorBidi"/>
              </w:rPr>
            </w:pPr>
            <w:r w:rsidRPr="0074033B">
              <w:rPr>
                <w:rFonts w:asciiTheme="minorBidi" w:hAnsiTheme="minorBidi"/>
              </w:rPr>
              <w:t>Used for arabinose-inducible expression of Ats3</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pTie1</w:t>
            </w:r>
          </w:p>
        </w:tc>
        <w:tc>
          <w:tcPr>
            <w:tcW w:w="2880" w:type="dxa"/>
          </w:tcPr>
          <w:p w:rsidR="006C1F59" w:rsidRPr="0074033B" w:rsidRDefault="006C1F59" w:rsidP="00A063EB">
            <w:pPr>
              <w:rPr>
                <w:rFonts w:asciiTheme="minorBidi" w:hAnsiTheme="minorBidi"/>
              </w:rPr>
            </w:pPr>
            <w:proofErr w:type="spellStart"/>
            <w:r w:rsidRPr="0074033B">
              <w:rPr>
                <w:rFonts w:asciiTheme="minorBidi" w:hAnsiTheme="minorBidi"/>
              </w:rPr>
              <w:t>pBAD</w:t>
            </w:r>
            <w:proofErr w:type="spellEnd"/>
            <w:r w:rsidRPr="0074033B">
              <w:rPr>
                <w:rFonts w:asciiTheme="minorBidi" w:hAnsiTheme="minorBidi"/>
              </w:rPr>
              <w:t>/</w:t>
            </w:r>
            <w:proofErr w:type="spellStart"/>
            <w:r w:rsidRPr="0074033B">
              <w:rPr>
                <w:rFonts w:asciiTheme="minorBidi" w:hAnsiTheme="minorBidi"/>
              </w:rPr>
              <w:t>Myc-His</w:t>
            </w:r>
            <w:r w:rsidRPr="0074033B">
              <w:rPr>
                <w:rFonts w:asciiTheme="minorBidi" w:hAnsiTheme="minorBidi"/>
                <w:vertAlign w:val="superscript"/>
              </w:rPr>
              <w:t>Kan</w:t>
            </w:r>
            <w:proofErr w:type="spellEnd"/>
            <w:r w:rsidRPr="0074033B">
              <w:rPr>
                <w:rFonts w:asciiTheme="minorBidi" w:hAnsiTheme="minorBidi"/>
              </w:rPr>
              <w:t xml:space="preserve"> containing the </w:t>
            </w:r>
            <w:r w:rsidRPr="0074033B">
              <w:rPr>
                <w:rFonts w:asciiTheme="minorBidi" w:hAnsiTheme="minorBidi"/>
                <w:i/>
                <w:iCs/>
              </w:rPr>
              <w:t>tie1</w:t>
            </w:r>
            <w:r w:rsidRPr="0074033B">
              <w:rPr>
                <w:rFonts w:asciiTheme="minorBidi" w:hAnsiTheme="minorBidi"/>
              </w:rPr>
              <w:t xml:space="preserve"> ORF in its MCS, not fused to a C-terminal tag</w:t>
            </w:r>
          </w:p>
        </w:tc>
        <w:tc>
          <w:tcPr>
            <w:tcW w:w="2372" w:type="dxa"/>
          </w:tcPr>
          <w:p w:rsidR="006C1F59" w:rsidRPr="0074033B" w:rsidRDefault="006C1F59" w:rsidP="00A063EB">
            <w:pPr>
              <w:rPr>
                <w:rFonts w:asciiTheme="minorBidi" w:hAnsiTheme="minorBidi"/>
              </w:rPr>
            </w:pPr>
            <w:r w:rsidRPr="0074033B">
              <w:rPr>
                <w:rFonts w:asciiTheme="minorBidi" w:hAnsiTheme="minorBidi"/>
              </w:rPr>
              <w:t>Used for arabinose-inducible expression of Tie1</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pTie2</w:t>
            </w:r>
          </w:p>
        </w:tc>
        <w:tc>
          <w:tcPr>
            <w:tcW w:w="2880" w:type="dxa"/>
          </w:tcPr>
          <w:p w:rsidR="006C1F59" w:rsidRPr="0074033B" w:rsidRDefault="006C1F59" w:rsidP="00A063EB">
            <w:pPr>
              <w:rPr>
                <w:rFonts w:asciiTheme="minorBidi" w:hAnsiTheme="minorBidi"/>
              </w:rPr>
            </w:pPr>
            <w:proofErr w:type="spellStart"/>
            <w:r w:rsidRPr="0074033B">
              <w:rPr>
                <w:rFonts w:asciiTheme="minorBidi" w:hAnsiTheme="minorBidi"/>
              </w:rPr>
              <w:t>pBAD</w:t>
            </w:r>
            <w:proofErr w:type="spellEnd"/>
            <w:r w:rsidRPr="0074033B">
              <w:rPr>
                <w:rFonts w:asciiTheme="minorBidi" w:hAnsiTheme="minorBidi"/>
              </w:rPr>
              <w:t>/</w:t>
            </w:r>
            <w:proofErr w:type="spellStart"/>
            <w:r w:rsidRPr="0074033B">
              <w:rPr>
                <w:rFonts w:asciiTheme="minorBidi" w:hAnsiTheme="minorBidi"/>
              </w:rPr>
              <w:t>Myc-His</w:t>
            </w:r>
            <w:r w:rsidRPr="0074033B">
              <w:rPr>
                <w:rFonts w:asciiTheme="minorBidi" w:hAnsiTheme="minorBidi"/>
                <w:vertAlign w:val="superscript"/>
              </w:rPr>
              <w:t>Kan</w:t>
            </w:r>
            <w:proofErr w:type="spellEnd"/>
            <w:r w:rsidRPr="0074033B">
              <w:rPr>
                <w:rFonts w:asciiTheme="minorBidi" w:hAnsiTheme="minorBidi"/>
              </w:rPr>
              <w:t xml:space="preserve"> containing the </w:t>
            </w:r>
            <w:r w:rsidRPr="0074033B">
              <w:rPr>
                <w:rFonts w:asciiTheme="minorBidi" w:hAnsiTheme="minorBidi"/>
                <w:i/>
                <w:iCs/>
              </w:rPr>
              <w:t>tie2</w:t>
            </w:r>
            <w:r w:rsidRPr="0074033B">
              <w:rPr>
                <w:rFonts w:asciiTheme="minorBidi" w:hAnsiTheme="minorBidi"/>
              </w:rPr>
              <w:t xml:space="preserve"> ORF in its MCS, not fused to a C-terminal tag</w:t>
            </w:r>
          </w:p>
        </w:tc>
        <w:tc>
          <w:tcPr>
            <w:tcW w:w="2372" w:type="dxa"/>
          </w:tcPr>
          <w:p w:rsidR="006C1F59" w:rsidRPr="0074033B" w:rsidRDefault="006C1F59" w:rsidP="00A063EB">
            <w:pPr>
              <w:rPr>
                <w:rFonts w:asciiTheme="minorBidi" w:hAnsiTheme="minorBidi"/>
              </w:rPr>
            </w:pPr>
            <w:r w:rsidRPr="0074033B">
              <w:rPr>
                <w:rFonts w:asciiTheme="minorBidi" w:hAnsiTheme="minorBidi"/>
              </w:rPr>
              <w:t>Used for arabinose-inducible expression of Tie2</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RDefault="006C1F59" w:rsidP="00A063EB">
            <w:pPr>
              <w:rPr>
                <w:rFonts w:asciiTheme="minorBidi" w:hAnsiTheme="minorBidi"/>
              </w:rPr>
            </w:pPr>
            <w:r w:rsidRPr="0074033B">
              <w:rPr>
                <w:rFonts w:asciiTheme="minorBidi" w:hAnsiTheme="minorBidi"/>
              </w:rPr>
              <w:t>pTie1-2</w:t>
            </w:r>
          </w:p>
        </w:tc>
        <w:tc>
          <w:tcPr>
            <w:tcW w:w="2880" w:type="dxa"/>
          </w:tcPr>
          <w:p w:rsidR="006C1F59" w:rsidRPr="0074033B" w:rsidRDefault="006C1F59" w:rsidP="00A063EB">
            <w:pPr>
              <w:rPr>
                <w:rFonts w:asciiTheme="minorBidi" w:hAnsiTheme="minorBidi"/>
              </w:rPr>
            </w:pPr>
            <w:proofErr w:type="spellStart"/>
            <w:r w:rsidRPr="0074033B">
              <w:rPr>
                <w:rFonts w:asciiTheme="minorBidi" w:hAnsiTheme="minorBidi"/>
              </w:rPr>
              <w:t>pBAD</w:t>
            </w:r>
            <w:proofErr w:type="spellEnd"/>
            <w:r w:rsidRPr="0074033B">
              <w:rPr>
                <w:rFonts w:asciiTheme="minorBidi" w:hAnsiTheme="minorBidi"/>
              </w:rPr>
              <w:t>/</w:t>
            </w:r>
            <w:proofErr w:type="spellStart"/>
            <w:r w:rsidRPr="0074033B">
              <w:rPr>
                <w:rFonts w:asciiTheme="minorBidi" w:hAnsiTheme="minorBidi"/>
              </w:rPr>
              <w:t>Myc-His</w:t>
            </w:r>
            <w:r w:rsidRPr="0074033B">
              <w:rPr>
                <w:rFonts w:asciiTheme="minorBidi" w:hAnsiTheme="minorBidi"/>
                <w:vertAlign w:val="superscript"/>
              </w:rPr>
              <w:t>Kan</w:t>
            </w:r>
            <w:proofErr w:type="spellEnd"/>
            <w:r w:rsidRPr="0074033B">
              <w:rPr>
                <w:rFonts w:asciiTheme="minorBidi" w:hAnsiTheme="minorBidi"/>
              </w:rPr>
              <w:t xml:space="preserve"> containing the ORFs of </w:t>
            </w:r>
            <w:r w:rsidRPr="00D852C8">
              <w:rPr>
                <w:rFonts w:asciiTheme="minorBidi" w:hAnsiTheme="minorBidi"/>
                <w:i/>
                <w:iCs/>
              </w:rPr>
              <w:t>tie1</w:t>
            </w:r>
            <w:r w:rsidRPr="0074033B">
              <w:rPr>
                <w:rFonts w:asciiTheme="minorBidi" w:hAnsiTheme="minorBidi"/>
              </w:rPr>
              <w:t xml:space="preserve"> and </w:t>
            </w:r>
            <w:r w:rsidRPr="00D852C8">
              <w:rPr>
                <w:rFonts w:asciiTheme="minorBidi" w:hAnsiTheme="minorBidi"/>
                <w:i/>
                <w:iCs/>
              </w:rPr>
              <w:t>tie2</w:t>
            </w:r>
            <w:r w:rsidRPr="0074033B">
              <w:rPr>
                <w:rFonts w:asciiTheme="minorBidi" w:hAnsiTheme="minorBidi"/>
              </w:rPr>
              <w:t xml:space="preserve"> in its MCS, not fused to a C-terminal tag</w:t>
            </w:r>
          </w:p>
        </w:tc>
        <w:tc>
          <w:tcPr>
            <w:tcW w:w="2372" w:type="dxa"/>
          </w:tcPr>
          <w:p w:rsidR="006C1F59" w:rsidRPr="0074033B" w:rsidRDefault="006C1F59" w:rsidP="00A063EB">
            <w:pPr>
              <w:rPr>
                <w:rFonts w:asciiTheme="minorBidi" w:hAnsiTheme="minorBidi"/>
              </w:rPr>
            </w:pPr>
            <w:r w:rsidRPr="0074033B">
              <w:rPr>
                <w:rFonts w:asciiTheme="minorBidi" w:hAnsiTheme="minorBidi"/>
              </w:rPr>
              <w:t>Used for arabinose-inducible expression of Tie1 and Tie2</w:t>
            </w:r>
            <w:r>
              <w:rPr>
                <w:rFonts w:asciiTheme="minorBidi" w:hAnsiTheme="minorBidi"/>
              </w:rPr>
              <w:t>,</w:t>
            </w:r>
            <w:r w:rsidRPr="0074033B">
              <w:rPr>
                <w:rFonts w:asciiTheme="minorBidi" w:hAnsiTheme="minorBidi"/>
              </w:rPr>
              <w:t xml:space="preserve"> together</w:t>
            </w:r>
          </w:p>
        </w:tc>
        <w:tc>
          <w:tcPr>
            <w:tcW w:w="2038" w:type="dxa"/>
          </w:tcPr>
          <w:p w:rsidR="006C1F59" w:rsidRPr="0074033B" w:rsidRDefault="006C1F59" w:rsidP="00A063EB">
            <w:pPr>
              <w:jc w:val="both"/>
              <w:rPr>
                <w:rFonts w:asciiTheme="minorBidi" w:hAnsiTheme="minorBidi"/>
              </w:rPr>
            </w:pPr>
            <w:r w:rsidRPr="0074033B">
              <w:rPr>
                <w:rFonts w:asciiTheme="minorBidi" w:hAnsiTheme="minorBidi"/>
              </w:rPr>
              <w:t>This study</w:t>
            </w:r>
          </w:p>
        </w:tc>
      </w:tr>
      <w:tr w:rsidR="006C1F59" w:rsidRPr="0074033B" w:rsidTr="00A063EB">
        <w:tc>
          <w:tcPr>
            <w:tcW w:w="1795" w:type="dxa"/>
          </w:tcPr>
          <w:p w:rsidR="006C1F59" w:rsidRPr="0074033B" w:rsidDel="000B426B" w:rsidRDefault="006C1F59" w:rsidP="00A063EB">
            <w:pPr>
              <w:rPr>
                <w:rFonts w:asciiTheme="minorBidi" w:hAnsiTheme="minorBidi"/>
                <w:vertAlign w:val="superscript"/>
              </w:rPr>
            </w:pPr>
            <w:r w:rsidRPr="0074033B">
              <w:rPr>
                <w:rFonts w:asciiTheme="minorBidi" w:hAnsiTheme="minorBidi"/>
              </w:rPr>
              <w:t>pBAD33.1</w:t>
            </w:r>
          </w:p>
        </w:tc>
        <w:tc>
          <w:tcPr>
            <w:tcW w:w="2880" w:type="dxa"/>
          </w:tcPr>
          <w:p w:rsidR="006C1F59" w:rsidRPr="0074033B" w:rsidRDefault="006C1F59" w:rsidP="00A063EB">
            <w:pPr>
              <w:rPr>
                <w:rFonts w:asciiTheme="minorBidi" w:hAnsiTheme="minorBidi"/>
              </w:rPr>
            </w:pPr>
            <w:proofErr w:type="gramStart"/>
            <w:r w:rsidRPr="00D93CC8">
              <w:rPr>
                <w:rFonts w:asciiTheme="minorBidi" w:hAnsiTheme="minorBidi"/>
              </w:rPr>
              <w:t>p15A</w:t>
            </w:r>
            <w:proofErr w:type="gramEnd"/>
            <w:r w:rsidRPr="00D93CC8">
              <w:rPr>
                <w:rFonts w:asciiTheme="minorBidi" w:hAnsiTheme="minorBidi"/>
              </w:rPr>
              <w:t xml:space="preserve"> </w:t>
            </w:r>
            <w:proofErr w:type="spellStart"/>
            <w:r w:rsidRPr="00D93CC8">
              <w:rPr>
                <w:rFonts w:asciiTheme="minorBidi" w:hAnsiTheme="minorBidi"/>
              </w:rPr>
              <w:t>ori</w:t>
            </w:r>
            <w:proofErr w:type="spellEnd"/>
            <w:r w:rsidRPr="00D93CC8">
              <w:rPr>
                <w:rFonts w:asciiTheme="minorBidi" w:hAnsiTheme="minorBidi"/>
              </w:rPr>
              <w:t xml:space="preserve">-containing plasmid carrying a </w:t>
            </w:r>
            <w:proofErr w:type="spellStart"/>
            <w:r w:rsidRPr="00D93CC8">
              <w:rPr>
                <w:rFonts w:asciiTheme="minorBidi" w:hAnsiTheme="minorBidi"/>
              </w:rPr>
              <w:t>CmR</w:t>
            </w:r>
            <w:proofErr w:type="spellEnd"/>
            <w:r w:rsidRPr="00D93CC8">
              <w:rPr>
                <w:rFonts w:asciiTheme="minorBidi" w:hAnsiTheme="minorBidi"/>
              </w:rPr>
              <w:t xml:space="preserve"> gene, </w:t>
            </w:r>
            <w:proofErr w:type="spellStart"/>
            <w:r w:rsidRPr="00D93CC8">
              <w:rPr>
                <w:rFonts w:asciiTheme="minorBidi" w:hAnsiTheme="minorBidi"/>
              </w:rPr>
              <w:t>araC</w:t>
            </w:r>
            <w:proofErr w:type="spellEnd"/>
            <w:r w:rsidRPr="00D93CC8">
              <w:rPr>
                <w:rFonts w:asciiTheme="minorBidi" w:hAnsiTheme="minorBidi"/>
              </w:rPr>
              <w:t xml:space="preserve">, and an MCS </w:t>
            </w:r>
            <w:r w:rsidRPr="00D93CC8">
              <w:rPr>
                <w:rFonts w:asciiTheme="minorBidi" w:hAnsiTheme="minorBidi"/>
              </w:rPr>
              <w:lastRenderedPageBreak/>
              <w:t xml:space="preserve">following a </w:t>
            </w:r>
            <w:proofErr w:type="spellStart"/>
            <w:r w:rsidRPr="00D93CC8">
              <w:rPr>
                <w:rFonts w:asciiTheme="minorBidi" w:hAnsiTheme="minorBidi"/>
              </w:rPr>
              <w:t>Pbad</w:t>
            </w:r>
            <w:proofErr w:type="spellEnd"/>
            <w:r w:rsidRPr="00D93CC8">
              <w:rPr>
                <w:rFonts w:asciiTheme="minorBidi" w:hAnsiTheme="minorBidi"/>
              </w:rPr>
              <w:t xml:space="preserve"> promoter.</w:t>
            </w:r>
          </w:p>
        </w:tc>
        <w:tc>
          <w:tcPr>
            <w:tcW w:w="2372" w:type="dxa"/>
          </w:tcPr>
          <w:p w:rsidR="006C1F59" w:rsidRPr="0074033B" w:rsidRDefault="006C1F59" w:rsidP="00A063EB">
            <w:pPr>
              <w:rPr>
                <w:rFonts w:asciiTheme="minorBidi" w:hAnsiTheme="minorBidi"/>
              </w:rPr>
            </w:pPr>
            <w:r w:rsidRPr="0074033B">
              <w:rPr>
                <w:rFonts w:asciiTheme="minorBidi" w:hAnsiTheme="minorBidi"/>
              </w:rPr>
              <w:lastRenderedPageBreak/>
              <w:t>Used for selection in competition assay</w:t>
            </w:r>
          </w:p>
        </w:tc>
        <w:tc>
          <w:tcPr>
            <w:tcW w:w="2038" w:type="dxa"/>
          </w:tcPr>
          <w:p w:rsidR="006C1F59" w:rsidRPr="0074033B" w:rsidRDefault="006C1F59" w:rsidP="00A063EB">
            <w:pPr>
              <w:rPr>
                <w:rFonts w:asciiTheme="minorBidi" w:hAnsiTheme="minorBidi"/>
              </w:rPr>
            </w:pPr>
            <w:r w:rsidRPr="00D93CC8">
              <w:rPr>
                <w:rFonts w:asciiTheme="minorBidi" w:hAnsiTheme="minorBidi"/>
              </w:rPr>
              <w:t xml:space="preserve">Purchased from </w:t>
            </w:r>
            <w:proofErr w:type="spellStart"/>
            <w:r w:rsidRPr="00D93CC8">
              <w:rPr>
                <w:rFonts w:asciiTheme="minorBidi" w:hAnsiTheme="minorBidi"/>
              </w:rPr>
              <w:t>Addgene</w:t>
            </w:r>
            <w:proofErr w:type="spellEnd"/>
            <w:r w:rsidRPr="00D93CC8">
              <w:rPr>
                <w:rFonts w:asciiTheme="minorBidi" w:hAnsiTheme="minorBidi"/>
              </w:rPr>
              <w:t xml:space="preserve">; </w:t>
            </w:r>
            <w:r w:rsidRPr="00D93CC8">
              <w:rPr>
                <w:rFonts w:asciiTheme="minorBidi" w:hAnsiTheme="minorBidi"/>
              </w:rPr>
              <w:lastRenderedPageBreak/>
              <w:fldChar w:fldCharType="begin" w:fldLock="1"/>
            </w:r>
            <w:r>
              <w:rPr>
                <w:rFonts w:asciiTheme="minorBidi" w:hAnsiTheme="minorBidi"/>
              </w:rPr>
              <w:instrText>ADDIN CSL_CITATION {"citationItems":[{"id":"ITEM-1","itemData":{"DOI":"10.1021/bi100343e","ISSN":"00062960","PMID":"20394418","abstract":"Kdo2-lipid A, a conserved substructure of lipopolysaccharide, plays critical roles in Gram-negative bacterial survival and interaction with host organisms. Inhibition of Kdo biosynthesis in Escherichia coli results in cell death and accumulation of the tetra-acylated precursor lipid IV A. E. coli KdtA (EcKdtA) is a bifunctional enzyme that transfers two Kdo units from two CMP-Kdo molecules to lipid IVA. In contrast, Haemophilus influenzae KdtA (HiKdtA) transfers only one Kdo unit. E. coli CMR300, which lacks Kdo transferase because of a deletion in kdtA, can be rescued to grow in broth at 37 °C if multiple copies of msbA are provided in trans. MsbA, the inner membrane transporter for nascent lipopolysaccharide, prefers hexa-acylated to tetra-acylated lipid A, but with the excess MsbA present in CMR300, lipid IVA is efficiently exported to the outer membrane. CMR300 is hypersensitive to hydrophobic antibiotics and bile salts and does not grow at 42 °C. Expressing HiKdtA in CMR300 results in the accumulation of Kdo-lipid IVA in place of lipid IVA without suppression of its growth phenotypes at 30 °C. EcKdtA restores intact lipopolysaccharide, together with normal antibiotic resistance, detergent resistance, and growth at 42 °C. To determine which residues are important for the mono- or bifunctional character of KdtA, protein chimeras were constructed using EcKdtA and HiKdtA. These chimeras, which are catalytically active, were characterized by in vitro assays and in vivo complementation. The N-terminal half of KdtA, especially the first 30 amino acid residues, specifies whether one or two Kdo units are transferred to lipid IVA. © 2010 American Chemical Society.","author":[{"dropping-particle":"","family":"Chung","given":"Hak Suk","non-dropping-particle":"","parse-names":false,"suffix":""},{"dropping-particle":"","family":"Raetz","given":"Christian R.H.","non-dropping-particle":"","parse-names":false,"suffix":""}],"container-title":"Biochemistry","id":"ITEM-1","issue":"19","issued":{"date-parts":[["2010","5"]]},"page":"4126-4137","publisher":"American Chemical Society","title":"Interchangeable domains in the Kdo transferases of escherichia coli and haemophilus influenzae","type":"article-journal","volume":"49"},"uris":["http://www.mendeley.com/documents/?uuid=21634b01-0c14-33bc-ad64-44e6412cf861","http://www.mendeley.com/documents/?uuid=c069bee0-bec0-4462-ad5f-eb3870c34aed"]}],"mendeley":{"formattedCitation":"(Chung and Raetz, 2010)","plainTextFormattedCitation":"(Chung and Raetz, 2010)","previouslyFormattedCitation":"(Chung and Raetz, 2010)"},"properties":{"noteIndex":0},"schema":"https://github.com/citation-style-language/schema/raw/master/csl-citation.json"}</w:instrText>
            </w:r>
            <w:r w:rsidRPr="00D93CC8">
              <w:rPr>
                <w:rFonts w:asciiTheme="minorBidi" w:hAnsiTheme="minorBidi"/>
              </w:rPr>
              <w:fldChar w:fldCharType="separate"/>
            </w:r>
            <w:r w:rsidRPr="00F463D9">
              <w:rPr>
                <w:rFonts w:asciiTheme="minorBidi" w:hAnsiTheme="minorBidi"/>
                <w:noProof/>
              </w:rPr>
              <w:t>(Chung and Raetz, 2010)</w:t>
            </w:r>
            <w:r w:rsidRPr="00D93CC8">
              <w:rPr>
                <w:rFonts w:asciiTheme="minorBidi" w:hAnsiTheme="minorBidi"/>
              </w:rPr>
              <w:fldChar w:fldCharType="end"/>
            </w:r>
          </w:p>
        </w:tc>
      </w:tr>
    </w:tbl>
    <w:p w:rsidR="003E3D5F" w:rsidRPr="006C1F59" w:rsidRDefault="003E3D5F" w:rsidP="00061104">
      <w:pPr>
        <w:spacing w:line="480" w:lineRule="auto"/>
        <w:jc w:val="both"/>
      </w:pPr>
      <w:bookmarkStart w:id="0" w:name="_GoBack"/>
      <w:bookmarkEnd w:id="0"/>
    </w:p>
    <w:sectPr w:rsidR="003E3D5F" w:rsidRPr="006C1F59" w:rsidSect="00B943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59"/>
    <w:rsid w:val="00061104"/>
    <w:rsid w:val="003E3D5F"/>
    <w:rsid w:val="006C1F59"/>
    <w:rsid w:val="00756A43"/>
    <w:rsid w:val="00B943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2B8C"/>
  <w15:chartTrackingRefBased/>
  <w15:docId w15:val="{CAEB3592-FBB3-4103-B0CF-26B76769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F59"/>
    <w:pPr>
      <w:spacing w:after="0" w:line="36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1F59"/>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6C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2339</Words>
  <Characters>11698</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gerlic Lab</dc:creator>
  <cp:keywords/>
  <dc:description/>
  <cp:lastModifiedBy>gerlic Lab</cp:lastModifiedBy>
  <cp:revision>2</cp:revision>
  <dcterms:created xsi:type="dcterms:W3CDTF">2022-09-14T08:29:00Z</dcterms:created>
  <dcterms:modified xsi:type="dcterms:W3CDTF">2022-09-14T08:29:00Z</dcterms:modified>
</cp:coreProperties>
</file>