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2A832" w14:textId="065B84C8" w:rsidR="00B10844" w:rsidRDefault="00707A91" w:rsidP="00B10844">
      <w:pPr>
        <w:rPr>
          <w:rFonts w:ascii="Times New Roman" w:hAnsi="Times New Roman" w:cs="Times New Roman"/>
          <w:b/>
          <w:bCs/>
          <w:sz w:val="28"/>
          <w:szCs w:val="28"/>
        </w:rPr>
      </w:pPr>
      <w:r w:rsidRPr="006B24F4">
        <w:rPr>
          <w:rFonts w:ascii="Times New Roman" w:hAnsi="Times New Roman" w:cs="Times New Roman"/>
          <w:b/>
          <w:bCs/>
          <w:sz w:val="28"/>
          <w:szCs w:val="28"/>
        </w:rPr>
        <w:t>Supplementary File 1A</w:t>
      </w:r>
    </w:p>
    <w:p w14:paraId="0001AAC7" w14:textId="77777777" w:rsidR="006B24F4" w:rsidRPr="006B24F4" w:rsidRDefault="006B24F4" w:rsidP="00B10844">
      <w:pPr>
        <w:rPr>
          <w:rFonts w:ascii="Times New Roman" w:hAnsi="Times New Roman" w:cs="Times New Roman"/>
          <w:b/>
          <w:bCs/>
          <w:sz w:val="28"/>
          <w:szCs w:val="28"/>
        </w:rPr>
      </w:pPr>
    </w:p>
    <w:p w14:paraId="1A5D586D" w14:textId="63A09435" w:rsidR="001E01CE" w:rsidRPr="001E01CE" w:rsidRDefault="001E01CE" w:rsidP="00B10844">
      <w:pPr>
        <w:rPr>
          <w:b/>
          <w:bCs/>
          <w:sz w:val="28"/>
          <w:szCs w:val="28"/>
        </w:rPr>
      </w:pPr>
      <w:r w:rsidRPr="001E01CE">
        <w:rPr>
          <w:rFonts w:ascii="Times New Roman" w:hAnsi="Times New Roman" w:cs="Times New Roman"/>
          <w:b/>
          <w:bCs/>
          <w:sz w:val="20"/>
          <w:szCs w:val="20"/>
          <w:lang w:val="en-AU"/>
        </w:rPr>
        <w:t>Ranking of women aged 50-74 in the queue for available screens during the recovery period.</w:t>
      </w:r>
    </w:p>
    <w:tbl>
      <w:tblPr>
        <w:tblW w:w="9175" w:type="dxa"/>
        <w:jc w:val="center"/>
        <w:tblLook w:val="04A0" w:firstRow="1" w:lastRow="0" w:firstColumn="1" w:lastColumn="0" w:noHBand="0" w:noVBand="1"/>
      </w:tblPr>
      <w:tblGrid>
        <w:gridCol w:w="4225"/>
        <w:gridCol w:w="1980"/>
        <w:gridCol w:w="2970"/>
      </w:tblGrid>
      <w:tr w:rsidR="001E01CE" w:rsidRPr="001E01CE" w14:paraId="63ACB6F6" w14:textId="77777777" w:rsidTr="003F1754">
        <w:trPr>
          <w:jc w:val="center"/>
        </w:trPr>
        <w:tc>
          <w:tcPr>
            <w:tcW w:w="4225" w:type="dxa"/>
            <w:tcBorders>
              <w:top w:val="single" w:sz="4" w:space="0" w:color="auto"/>
              <w:bottom w:val="single" w:sz="4" w:space="0" w:color="auto"/>
            </w:tcBorders>
            <w:vAlign w:val="center"/>
            <w:hideMark/>
          </w:tcPr>
          <w:p w14:paraId="0A16063F" w14:textId="77777777" w:rsidR="001E01CE" w:rsidRPr="001E01CE" w:rsidRDefault="001E01CE" w:rsidP="001E01CE">
            <w:pPr>
              <w:spacing w:line="276" w:lineRule="auto"/>
              <w:rPr>
                <w:rFonts w:ascii="Times New Roman" w:hAnsi="Times New Roman" w:cs="Times New Roman"/>
                <w:b/>
                <w:sz w:val="20"/>
                <w:szCs w:val="20"/>
                <w:lang w:val="en-AU"/>
              </w:rPr>
            </w:pPr>
            <w:r w:rsidRPr="001E01CE">
              <w:rPr>
                <w:rFonts w:ascii="Times New Roman" w:hAnsi="Times New Roman" w:cs="Times New Roman"/>
                <w:b/>
                <w:sz w:val="20"/>
                <w:szCs w:val="20"/>
                <w:lang w:val="en-AU"/>
              </w:rPr>
              <w:t>Client group</w:t>
            </w:r>
          </w:p>
        </w:tc>
        <w:tc>
          <w:tcPr>
            <w:tcW w:w="1980" w:type="dxa"/>
            <w:tcBorders>
              <w:top w:val="single" w:sz="4" w:space="0" w:color="auto"/>
              <w:bottom w:val="single" w:sz="4" w:space="0" w:color="auto"/>
            </w:tcBorders>
            <w:vAlign w:val="center"/>
            <w:hideMark/>
          </w:tcPr>
          <w:p w14:paraId="09FA5EA8" w14:textId="77777777" w:rsidR="001E01CE" w:rsidRPr="001E01CE" w:rsidRDefault="001E01CE" w:rsidP="001E01CE">
            <w:pPr>
              <w:spacing w:line="276" w:lineRule="auto"/>
              <w:rPr>
                <w:rFonts w:ascii="Times New Roman" w:hAnsi="Times New Roman" w:cs="Times New Roman"/>
                <w:b/>
                <w:bCs/>
                <w:sz w:val="20"/>
                <w:szCs w:val="20"/>
                <w:lang w:val="en-AU"/>
              </w:rPr>
            </w:pPr>
            <w:r w:rsidRPr="001E01CE">
              <w:rPr>
                <w:rFonts w:ascii="Times New Roman" w:hAnsi="Times New Roman" w:cs="Times New Roman"/>
                <w:b/>
                <w:bCs/>
                <w:sz w:val="20"/>
                <w:szCs w:val="20"/>
                <w:lang w:val="en-AU"/>
              </w:rPr>
              <w:t>Rank in queue</w:t>
            </w:r>
          </w:p>
        </w:tc>
        <w:tc>
          <w:tcPr>
            <w:tcW w:w="2970" w:type="dxa"/>
            <w:tcBorders>
              <w:top w:val="single" w:sz="4" w:space="0" w:color="auto"/>
              <w:bottom w:val="single" w:sz="4" w:space="0" w:color="auto"/>
            </w:tcBorders>
            <w:vAlign w:val="center"/>
            <w:hideMark/>
          </w:tcPr>
          <w:p w14:paraId="650DF63F" w14:textId="77777777" w:rsidR="001E01CE" w:rsidRPr="001E01CE" w:rsidRDefault="001E01CE" w:rsidP="001E01CE">
            <w:pPr>
              <w:spacing w:line="276" w:lineRule="auto"/>
              <w:rPr>
                <w:rFonts w:ascii="Times New Roman" w:hAnsi="Times New Roman" w:cs="Times New Roman"/>
                <w:sz w:val="20"/>
                <w:szCs w:val="20"/>
                <w:lang w:val="en-AU"/>
              </w:rPr>
            </w:pPr>
            <w:r w:rsidRPr="001E01CE">
              <w:rPr>
                <w:rFonts w:ascii="Times New Roman" w:hAnsi="Times New Roman" w:cs="Times New Roman"/>
                <w:b/>
                <w:bCs/>
                <w:sz w:val="20"/>
                <w:szCs w:val="20"/>
                <w:lang w:val="en-AU"/>
              </w:rPr>
              <w:t>Target criteria</w:t>
            </w:r>
          </w:p>
        </w:tc>
      </w:tr>
      <w:tr w:rsidR="001E01CE" w:rsidRPr="001E01CE" w14:paraId="47CF9C9B" w14:textId="77777777" w:rsidTr="003F1754">
        <w:trPr>
          <w:jc w:val="center"/>
        </w:trPr>
        <w:tc>
          <w:tcPr>
            <w:tcW w:w="4225" w:type="dxa"/>
            <w:tcBorders>
              <w:top w:val="single" w:sz="4" w:space="0" w:color="auto"/>
            </w:tcBorders>
            <w:vAlign w:val="center"/>
            <w:hideMark/>
          </w:tcPr>
          <w:p w14:paraId="73F3E0AB" w14:textId="77777777" w:rsidR="001E01CE" w:rsidRPr="001E01CE" w:rsidRDefault="001E01CE" w:rsidP="001E01CE">
            <w:pPr>
              <w:spacing w:line="276" w:lineRule="auto"/>
              <w:rPr>
                <w:rFonts w:ascii="Times New Roman" w:hAnsi="Times New Roman" w:cs="Times New Roman"/>
                <w:b/>
                <w:sz w:val="20"/>
                <w:szCs w:val="20"/>
                <w:lang w:val="en-AU"/>
              </w:rPr>
            </w:pPr>
            <w:r w:rsidRPr="001E01CE">
              <w:rPr>
                <w:rFonts w:ascii="Times New Roman" w:hAnsi="Times New Roman" w:cs="Times New Roman"/>
                <w:sz w:val="20"/>
                <w:szCs w:val="20"/>
                <w:lang w:val="en-AU"/>
              </w:rPr>
              <w:t xml:space="preserve">A. New </w:t>
            </w:r>
            <w:proofErr w:type="spellStart"/>
            <w:r w:rsidRPr="001E01CE">
              <w:rPr>
                <w:rFonts w:ascii="Times New Roman" w:hAnsi="Times New Roman" w:cs="Times New Roman"/>
                <w:sz w:val="20"/>
                <w:szCs w:val="20"/>
                <w:lang w:val="en-AU"/>
              </w:rPr>
              <w:t>BreastScreen</w:t>
            </w:r>
            <w:proofErr w:type="spellEnd"/>
            <w:r w:rsidRPr="001E01CE">
              <w:rPr>
                <w:rFonts w:ascii="Times New Roman" w:hAnsi="Times New Roman" w:cs="Times New Roman"/>
                <w:sz w:val="20"/>
                <w:szCs w:val="20"/>
                <w:lang w:val="en-AU"/>
              </w:rPr>
              <w:t xml:space="preserve"> clients who become eligible for screening (i.e., reach age 50) during </w:t>
            </w:r>
            <w:r w:rsidRPr="001E01CE">
              <w:rPr>
                <w:rFonts w:ascii="Times New Roman" w:hAnsi="Times New Roman" w:cs="Times New Roman"/>
                <w:i/>
                <w:iCs/>
                <w:sz w:val="20"/>
                <w:szCs w:val="20"/>
                <w:lang w:val="en-AU"/>
              </w:rPr>
              <w:t>screening pause</w:t>
            </w:r>
            <w:r w:rsidRPr="001E01CE">
              <w:rPr>
                <w:rFonts w:ascii="Times New Roman" w:hAnsi="Times New Roman" w:cs="Times New Roman"/>
                <w:sz w:val="20"/>
                <w:szCs w:val="20"/>
                <w:lang w:val="en-AU"/>
              </w:rPr>
              <w:t>; age range 50-74.</w:t>
            </w:r>
          </w:p>
        </w:tc>
        <w:tc>
          <w:tcPr>
            <w:tcW w:w="1980" w:type="dxa"/>
            <w:tcBorders>
              <w:top w:val="single" w:sz="4" w:space="0" w:color="auto"/>
            </w:tcBorders>
            <w:vAlign w:val="center"/>
            <w:hideMark/>
          </w:tcPr>
          <w:p w14:paraId="6DFEF023" w14:textId="77777777" w:rsidR="001E01CE" w:rsidRPr="001E01CE" w:rsidRDefault="001E01CE" w:rsidP="001E01CE">
            <w:pPr>
              <w:spacing w:line="276" w:lineRule="auto"/>
              <w:rPr>
                <w:rFonts w:ascii="Times New Roman" w:hAnsi="Times New Roman" w:cs="Times New Roman"/>
                <w:sz w:val="20"/>
                <w:szCs w:val="20"/>
                <w:lang w:val="en-AU"/>
              </w:rPr>
            </w:pPr>
            <w:r w:rsidRPr="001E01CE">
              <w:rPr>
                <w:rFonts w:ascii="Times New Roman" w:hAnsi="Times New Roman" w:cs="Times New Roman"/>
                <w:sz w:val="20"/>
                <w:szCs w:val="20"/>
                <w:lang w:val="en-AU"/>
              </w:rPr>
              <w:t>Rank = 1, also ensuring criteria is met</w:t>
            </w:r>
          </w:p>
        </w:tc>
        <w:tc>
          <w:tcPr>
            <w:tcW w:w="2970" w:type="dxa"/>
            <w:tcBorders>
              <w:top w:val="single" w:sz="4" w:space="0" w:color="auto"/>
            </w:tcBorders>
            <w:vAlign w:val="center"/>
            <w:hideMark/>
          </w:tcPr>
          <w:p w14:paraId="684F5DD5" w14:textId="77777777" w:rsidR="001E01CE" w:rsidRPr="001E01CE" w:rsidRDefault="001E01CE" w:rsidP="001E01CE">
            <w:pPr>
              <w:spacing w:line="276" w:lineRule="auto"/>
              <w:rPr>
                <w:rFonts w:ascii="Times New Roman" w:hAnsi="Times New Roman" w:cs="Times New Roman"/>
                <w:sz w:val="20"/>
                <w:szCs w:val="20"/>
                <w:lang w:val="en-AU"/>
              </w:rPr>
            </w:pPr>
            <w:r w:rsidRPr="001E01CE">
              <w:rPr>
                <w:rFonts w:ascii="Times New Roman" w:hAnsi="Times New Roman" w:cs="Times New Roman"/>
                <w:sz w:val="20"/>
                <w:szCs w:val="20"/>
                <w:lang w:val="en-AU"/>
              </w:rPr>
              <w:t>Screened at a maximum of 15 months later than would have been originally scheduled.</w:t>
            </w:r>
          </w:p>
        </w:tc>
      </w:tr>
      <w:tr w:rsidR="001E01CE" w:rsidRPr="001E01CE" w14:paraId="5EA19044" w14:textId="77777777" w:rsidTr="003F1754">
        <w:trPr>
          <w:jc w:val="center"/>
        </w:trPr>
        <w:tc>
          <w:tcPr>
            <w:tcW w:w="4225" w:type="dxa"/>
            <w:vAlign w:val="center"/>
            <w:hideMark/>
          </w:tcPr>
          <w:p w14:paraId="02B7B330" w14:textId="77777777" w:rsidR="001E01CE" w:rsidRPr="001E01CE" w:rsidRDefault="001E01CE" w:rsidP="001E01CE">
            <w:pPr>
              <w:spacing w:line="276" w:lineRule="auto"/>
              <w:rPr>
                <w:rFonts w:ascii="Times New Roman" w:hAnsi="Times New Roman" w:cs="Times New Roman"/>
                <w:b/>
                <w:sz w:val="20"/>
                <w:szCs w:val="20"/>
                <w:lang w:val="en-AU"/>
              </w:rPr>
            </w:pPr>
            <w:r w:rsidRPr="001E01CE">
              <w:rPr>
                <w:rFonts w:ascii="Times New Roman" w:hAnsi="Times New Roman" w:cs="Times New Roman"/>
                <w:sz w:val="20"/>
                <w:szCs w:val="20"/>
                <w:lang w:val="en-AU"/>
              </w:rPr>
              <w:t xml:space="preserve">B. New </w:t>
            </w:r>
            <w:proofErr w:type="spellStart"/>
            <w:r w:rsidRPr="001E01CE">
              <w:rPr>
                <w:rFonts w:ascii="Times New Roman" w:hAnsi="Times New Roman" w:cs="Times New Roman"/>
                <w:sz w:val="20"/>
                <w:szCs w:val="20"/>
                <w:lang w:val="en-AU"/>
              </w:rPr>
              <w:t>BreastScreen</w:t>
            </w:r>
            <w:proofErr w:type="spellEnd"/>
            <w:r w:rsidRPr="001E01CE">
              <w:rPr>
                <w:rFonts w:ascii="Times New Roman" w:hAnsi="Times New Roman" w:cs="Times New Roman"/>
                <w:sz w:val="20"/>
                <w:szCs w:val="20"/>
                <w:lang w:val="en-AU"/>
              </w:rPr>
              <w:t xml:space="preserve"> clients who become eligible for screening (i.e., reach age 50) during </w:t>
            </w:r>
            <w:r w:rsidRPr="001E01CE">
              <w:rPr>
                <w:rFonts w:ascii="Times New Roman" w:hAnsi="Times New Roman" w:cs="Times New Roman"/>
                <w:i/>
                <w:iCs/>
                <w:sz w:val="20"/>
                <w:szCs w:val="20"/>
                <w:lang w:val="en-AU"/>
              </w:rPr>
              <w:t>screening recovery</w:t>
            </w:r>
            <w:r w:rsidRPr="001E01CE">
              <w:rPr>
                <w:rFonts w:ascii="Times New Roman" w:hAnsi="Times New Roman" w:cs="Times New Roman"/>
                <w:sz w:val="20"/>
                <w:szCs w:val="20"/>
                <w:lang w:val="en-AU"/>
              </w:rPr>
              <w:t>; age range 50-74.</w:t>
            </w:r>
          </w:p>
        </w:tc>
        <w:tc>
          <w:tcPr>
            <w:tcW w:w="1980" w:type="dxa"/>
            <w:vAlign w:val="center"/>
            <w:hideMark/>
          </w:tcPr>
          <w:p w14:paraId="5C61F9D9" w14:textId="77777777" w:rsidR="001E01CE" w:rsidRPr="001E01CE" w:rsidRDefault="001E01CE" w:rsidP="001E01CE">
            <w:pPr>
              <w:spacing w:line="276" w:lineRule="auto"/>
              <w:rPr>
                <w:rFonts w:ascii="Times New Roman" w:hAnsi="Times New Roman" w:cs="Times New Roman"/>
                <w:sz w:val="20"/>
                <w:szCs w:val="20"/>
                <w:lang w:val="en-AU"/>
              </w:rPr>
            </w:pPr>
            <w:r w:rsidRPr="001E01CE">
              <w:rPr>
                <w:rFonts w:ascii="Times New Roman" w:hAnsi="Times New Roman" w:cs="Times New Roman"/>
                <w:sz w:val="20"/>
                <w:szCs w:val="20"/>
                <w:lang w:val="en-AU"/>
              </w:rPr>
              <w:t>Rank = 2, also ensuring criteria is met</w:t>
            </w:r>
          </w:p>
        </w:tc>
        <w:tc>
          <w:tcPr>
            <w:tcW w:w="2970" w:type="dxa"/>
            <w:vAlign w:val="center"/>
            <w:hideMark/>
          </w:tcPr>
          <w:p w14:paraId="35BAE9A1" w14:textId="77777777" w:rsidR="001E01CE" w:rsidRPr="001E01CE" w:rsidRDefault="001E01CE" w:rsidP="001E01CE">
            <w:pPr>
              <w:spacing w:line="276" w:lineRule="auto"/>
              <w:rPr>
                <w:rFonts w:ascii="Times New Roman" w:hAnsi="Times New Roman" w:cs="Times New Roman"/>
                <w:sz w:val="20"/>
                <w:szCs w:val="20"/>
                <w:lang w:val="en-AU"/>
              </w:rPr>
            </w:pPr>
            <w:r w:rsidRPr="001E01CE">
              <w:rPr>
                <w:rFonts w:ascii="Times New Roman" w:hAnsi="Times New Roman" w:cs="Times New Roman"/>
                <w:sz w:val="20"/>
                <w:szCs w:val="20"/>
                <w:lang w:val="en-AU"/>
              </w:rPr>
              <w:t>Screened at a maximum of 15 months later than would have been originally scheduled.</w:t>
            </w:r>
          </w:p>
        </w:tc>
      </w:tr>
      <w:tr w:rsidR="001E01CE" w:rsidRPr="001E01CE" w14:paraId="2999151C" w14:textId="77777777" w:rsidTr="003F1754">
        <w:trPr>
          <w:jc w:val="center"/>
        </w:trPr>
        <w:tc>
          <w:tcPr>
            <w:tcW w:w="4225" w:type="dxa"/>
            <w:vAlign w:val="center"/>
            <w:hideMark/>
          </w:tcPr>
          <w:p w14:paraId="7728652E" w14:textId="77777777" w:rsidR="001E01CE" w:rsidRPr="001E01CE" w:rsidRDefault="001E01CE" w:rsidP="001E01CE">
            <w:pPr>
              <w:spacing w:line="276" w:lineRule="auto"/>
              <w:rPr>
                <w:rFonts w:ascii="Times New Roman" w:hAnsi="Times New Roman" w:cs="Times New Roman"/>
                <w:b/>
                <w:sz w:val="20"/>
                <w:szCs w:val="20"/>
                <w:lang w:val="en-AU"/>
              </w:rPr>
            </w:pPr>
            <w:r w:rsidRPr="001E01CE">
              <w:rPr>
                <w:rFonts w:ascii="Times New Roman" w:hAnsi="Times New Roman" w:cs="Times New Roman"/>
                <w:sz w:val="20"/>
                <w:szCs w:val="20"/>
                <w:lang w:val="en-AU"/>
              </w:rPr>
              <w:t xml:space="preserve">C. Existing </w:t>
            </w:r>
            <w:proofErr w:type="spellStart"/>
            <w:r w:rsidRPr="001E01CE">
              <w:rPr>
                <w:rFonts w:ascii="Times New Roman" w:hAnsi="Times New Roman" w:cs="Times New Roman"/>
                <w:sz w:val="20"/>
                <w:szCs w:val="20"/>
                <w:lang w:val="en-AU"/>
              </w:rPr>
              <w:t>BreastScreen</w:t>
            </w:r>
            <w:proofErr w:type="spellEnd"/>
            <w:r w:rsidRPr="001E01CE">
              <w:rPr>
                <w:rFonts w:ascii="Times New Roman" w:hAnsi="Times New Roman" w:cs="Times New Roman"/>
                <w:sz w:val="20"/>
                <w:szCs w:val="20"/>
                <w:lang w:val="en-AU"/>
              </w:rPr>
              <w:t xml:space="preserve"> clients who would have been scheduled for screening during </w:t>
            </w:r>
            <w:r w:rsidRPr="001E01CE">
              <w:rPr>
                <w:rFonts w:ascii="Times New Roman" w:hAnsi="Times New Roman" w:cs="Times New Roman"/>
                <w:i/>
                <w:iCs/>
                <w:sz w:val="20"/>
                <w:szCs w:val="20"/>
                <w:lang w:val="en-AU"/>
              </w:rPr>
              <w:t>screening pause</w:t>
            </w:r>
            <w:r w:rsidRPr="001E01CE">
              <w:rPr>
                <w:rFonts w:ascii="Times New Roman" w:hAnsi="Times New Roman" w:cs="Times New Roman"/>
                <w:sz w:val="20"/>
                <w:szCs w:val="20"/>
                <w:lang w:val="en-AU"/>
              </w:rPr>
              <w:t>; age range 50-74.</w:t>
            </w:r>
          </w:p>
        </w:tc>
        <w:tc>
          <w:tcPr>
            <w:tcW w:w="1980" w:type="dxa"/>
            <w:vAlign w:val="center"/>
            <w:hideMark/>
          </w:tcPr>
          <w:p w14:paraId="63BE85CD" w14:textId="77777777" w:rsidR="001E01CE" w:rsidRPr="001E01CE" w:rsidRDefault="001E01CE" w:rsidP="001E01CE">
            <w:pPr>
              <w:spacing w:line="276" w:lineRule="auto"/>
              <w:rPr>
                <w:rFonts w:ascii="Times New Roman" w:hAnsi="Times New Roman" w:cs="Times New Roman"/>
                <w:sz w:val="20"/>
                <w:szCs w:val="20"/>
                <w:lang w:val="en-AU"/>
              </w:rPr>
            </w:pPr>
            <w:r w:rsidRPr="001E01CE">
              <w:rPr>
                <w:rFonts w:ascii="Times New Roman" w:hAnsi="Times New Roman" w:cs="Times New Roman"/>
                <w:sz w:val="20"/>
                <w:szCs w:val="20"/>
                <w:lang w:val="en-AU"/>
              </w:rPr>
              <w:t>Rank = 3, also ensuring criteria is met</w:t>
            </w:r>
          </w:p>
        </w:tc>
        <w:tc>
          <w:tcPr>
            <w:tcW w:w="2970" w:type="dxa"/>
            <w:vAlign w:val="center"/>
            <w:hideMark/>
          </w:tcPr>
          <w:p w14:paraId="1F1FFF7D" w14:textId="77777777" w:rsidR="001E01CE" w:rsidRPr="001E01CE" w:rsidRDefault="001E01CE" w:rsidP="001E01CE">
            <w:pPr>
              <w:spacing w:line="276" w:lineRule="auto"/>
              <w:rPr>
                <w:rFonts w:ascii="Times New Roman" w:hAnsi="Times New Roman" w:cs="Times New Roman"/>
                <w:sz w:val="20"/>
                <w:szCs w:val="20"/>
                <w:lang w:val="en-AU"/>
              </w:rPr>
            </w:pPr>
            <w:r w:rsidRPr="001E01CE">
              <w:rPr>
                <w:rFonts w:ascii="Times New Roman" w:hAnsi="Times New Roman" w:cs="Times New Roman"/>
                <w:sz w:val="20"/>
                <w:szCs w:val="20"/>
                <w:lang w:val="en-AU"/>
              </w:rPr>
              <w:t>Screened at a maximum of 21 months later than originally scheduled.</w:t>
            </w:r>
          </w:p>
        </w:tc>
      </w:tr>
      <w:tr w:rsidR="001E01CE" w:rsidRPr="001E01CE" w14:paraId="3F626AE4" w14:textId="77777777" w:rsidTr="003F1754">
        <w:trPr>
          <w:jc w:val="center"/>
        </w:trPr>
        <w:tc>
          <w:tcPr>
            <w:tcW w:w="4225" w:type="dxa"/>
            <w:tcBorders>
              <w:bottom w:val="single" w:sz="4" w:space="0" w:color="auto"/>
            </w:tcBorders>
            <w:vAlign w:val="center"/>
            <w:hideMark/>
          </w:tcPr>
          <w:p w14:paraId="70CB9D93" w14:textId="77777777" w:rsidR="001E01CE" w:rsidRPr="001E01CE" w:rsidRDefault="001E01CE" w:rsidP="001E01CE">
            <w:pPr>
              <w:spacing w:line="276" w:lineRule="auto"/>
              <w:rPr>
                <w:rFonts w:ascii="Times New Roman" w:hAnsi="Times New Roman" w:cs="Times New Roman"/>
                <w:b/>
                <w:sz w:val="20"/>
                <w:szCs w:val="20"/>
                <w:lang w:val="en-AU"/>
              </w:rPr>
            </w:pPr>
            <w:r w:rsidRPr="001E01CE">
              <w:rPr>
                <w:rFonts w:ascii="Times New Roman" w:hAnsi="Times New Roman" w:cs="Times New Roman"/>
                <w:sz w:val="20"/>
                <w:szCs w:val="20"/>
                <w:lang w:val="en-AU"/>
              </w:rPr>
              <w:t xml:space="preserve">D. Existing </w:t>
            </w:r>
            <w:proofErr w:type="spellStart"/>
            <w:r w:rsidRPr="001E01CE">
              <w:rPr>
                <w:rFonts w:ascii="Times New Roman" w:hAnsi="Times New Roman" w:cs="Times New Roman"/>
                <w:sz w:val="20"/>
                <w:szCs w:val="20"/>
                <w:lang w:val="en-AU"/>
              </w:rPr>
              <w:t>BreastScreen</w:t>
            </w:r>
            <w:proofErr w:type="spellEnd"/>
            <w:r w:rsidRPr="001E01CE">
              <w:rPr>
                <w:rFonts w:ascii="Times New Roman" w:hAnsi="Times New Roman" w:cs="Times New Roman"/>
                <w:sz w:val="20"/>
                <w:szCs w:val="20"/>
                <w:lang w:val="en-AU"/>
              </w:rPr>
              <w:t xml:space="preserve"> clients who become eligible for screening (i.e., reach age 50) during </w:t>
            </w:r>
            <w:r w:rsidRPr="001E01CE">
              <w:rPr>
                <w:rFonts w:ascii="Times New Roman" w:hAnsi="Times New Roman" w:cs="Times New Roman"/>
                <w:i/>
                <w:iCs/>
                <w:sz w:val="20"/>
                <w:szCs w:val="20"/>
                <w:lang w:val="en-AU"/>
              </w:rPr>
              <w:t>screening recovery</w:t>
            </w:r>
            <w:r w:rsidRPr="001E01CE">
              <w:rPr>
                <w:rFonts w:ascii="Times New Roman" w:hAnsi="Times New Roman" w:cs="Times New Roman"/>
                <w:sz w:val="20"/>
                <w:szCs w:val="20"/>
                <w:lang w:val="en-AU"/>
              </w:rPr>
              <w:t>; age range 50-74.</w:t>
            </w:r>
          </w:p>
        </w:tc>
        <w:tc>
          <w:tcPr>
            <w:tcW w:w="1980" w:type="dxa"/>
            <w:tcBorders>
              <w:bottom w:val="single" w:sz="4" w:space="0" w:color="auto"/>
            </w:tcBorders>
            <w:vAlign w:val="center"/>
            <w:hideMark/>
          </w:tcPr>
          <w:p w14:paraId="4E68F867" w14:textId="77777777" w:rsidR="001E01CE" w:rsidRPr="001E01CE" w:rsidRDefault="001E01CE" w:rsidP="001E01CE">
            <w:pPr>
              <w:spacing w:line="276" w:lineRule="auto"/>
              <w:rPr>
                <w:rFonts w:ascii="Times New Roman" w:hAnsi="Times New Roman" w:cs="Times New Roman"/>
                <w:sz w:val="20"/>
                <w:szCs w:val="20"/>
                <w:lang w:val="en-AU"/>
              </w:rPr>
            </w:pPr>
            <w:r w:rsidRPr="001E01CE">
              <w:rPr>
                <w:rFonts w:ascii="Times New Roman" w:hAnsi="Times New Roman" w:cs="Times New Roman"/>
                <w:sz w:val="20"/>
                <w:szCs w:val="20"/>
                <w:lang w:val="en-AU"/>
              </w:rPr>
              <w:t>Rank = 4, also ensuring criteria is met</w:t>
            </w:r>
          </w:p>
        </w:tc>
        <w:tc>
          <w:tcPr>
            <w:tcW w:w="2970" w:type="dxa"/>
            <w:tcBorders>
              <w:bottom w:val="single" w:sz="4" w:space="0" w:color="auto"/>
            </w:tcBorders>
            <w:vAlign w:val="center"/>
            <w:hideMark/>
          </w:tcPr>
          <w:p w14:paraId="2C0E65C1" w14:textId="77777777" w:rsidR="001E01CE" w:rsidRPr="001E01CE" w:rsidRDefault="001E01CE" w:rsidP="001E01CE">
            <w:pPr>
              <w:spacing w:line="276" w:lineRule="auto"/>
              <w:rPr>
                <w:rFonts w:ascii="Times New Roman" w:hAnsi="Times New Roman" w:cs="Times New Roman"/>
                <w:sz w:val="20"/>
                <w:szCs w:val="20"/>
                <w:lang w:val="en-AU"/>
              </w:rPr>
            </w:pPr>
            <w:r w:rsidRPr="001E01CE">
              <w:rPr>
                <w:rFonts w:ascii="Times New Roman" w:hAnsi="Times New Roman" w:cs="Times New Roman"/>
                <w:sz w:val="20"/>
                <w:szCs w:val="20"/>
                <w:lang w:val="en-AU"/>
              </w:rPr>
              <w:t>Screened at a maximum of 21 months later than originally scheduled.</w:t>
            </w:r>
          </w:p>
        </w:tc>
      </w:tr>
    </w:tbl>
    <w:p w14:paraId="3DAB7522" w14:textId="77777777" w:rsidR="001E01CE" w:rsidRPr="001E01CE" w:rsidRDefault="001E01CE" w:rsidP="001E01CE">
      <w:pPr>
        <w:spacing w:after="0" w:line="240" w:lineRule="auto"/>
        <w:rPr>
          <w:rFonts w:ascii="Times New Roman" w:hAnsi="Times New Roman" w:cs="Times New Roman"/>
          <w:sz w:val="18"/>
          <w:szCs w:val="18"/>
          <w:lang w:val="en-AU"/>
        </w:rPr>
      </w:pPr>
      <w:r w:rsidRPr="001E01CE">
        <w:rPr>
          <w:rFonts w:ascii="Times New Roman" w:hAnsi="Times New Roman" w:cs="Times New Roman"/>
          <w:sz w:val="18"/>
          <w:szCs w:val="18"/>
          <w:lang w:val="en-AU"/>
        </w:rPr>
        <w:t>The prioritisation module prioritised clients during the recovery period and assigned them to available screens following screening resumption. Available screens were assigned as follows:</w:t>
      </w:r>
    </w:p>
    <w:p w14:paraId="75B97E0D" w14:textId="77777777" w:rsidR="001E01CE" w:rsidRPr="001E01CE" w:rsidRDefault="001E01CE" w:rsidP="001E01CE">
      <w:pPr>
        <w:spacing w:after="0" w:line="240" w:lineRule="auto"/>
        <w:rPr>
          <w:rFonts w:ascii="Times New Roman" w:hAnsi="Times New Roman" w:cs="Times New Roman"/>
          <w:sz w:val="18"/>
          <w:szCs w:val="18"/>
          <w:lang w:val="en-AU"/>
        </w:rPr>
      </w:pPr>
      <w:proofErr w:type="spellStart"/>
      <w:r w:rsidRPr="001E01CE">
        <w:rPr>
          <w:rFonts w:ascii="Times New Roman" w:hAnsi="Times New Roman" w:cs="Times New Roman"/>
          <w:sz w:val="18"/>
          <w:szCs w:val="18"/>
          <w:lang w:val="en-AU"/>
        </w:rPr>
        <w:t>i</w:t>
      </w:r>
      <w:proofErr w:type="spellEnd"/>
      <w:r w:rsidRPr="001E01CE">
        <w:rPr>
          <w:rFonts w:ascii="Times New Roman" w:hAnsi="Times New Roman" w:cs="Times New Roman"/>
          <w:sz w:val="18"/>
          <w:szCs w:val="18"/>
          <w:lang w:val="en-AU"/>
        </w:rPr>
        <w:t>) For each week of the recovery period, clients queued for screening (either carried over from the pause or due under status quo during the recovery period) were prioritised for available screening appointments according to their screening round (first or subsequent), age, and whether their screen was due or overdue, as shown in Table 2. Women who usually screen annually were indirectly prioritised. The queue included only women aged 50-74 years.</w:t>
      </w:r>
    </w:p>
    <w:p w14:paraId="6825BDB8" w14:textId="77777777" w:rsidR="001E01CE" w:rsidRPr="001E01CE" w:rsidRDefault="001E01CE" w:rsidP="001E01CE">
      <w:pPr>
        <w:spacing w:after="0" w:line="240" w:lineRule="auto"/>
        <w:rPr>
          <w:rFonts w:ascii="Times New Roman" w:hAnsi="Times New Roman" w:cs="Times New Roman"/>
          <w:sz w:val="18"/>
          <w:szCs w:val="18"/>
          <w:lang w:val="en-AU"/>
        </w:rPr>
      </w:pPr>
      <w:r w:rsidRPr="001E01CE">
        <w:rPr>
          <w:rFonts w:ascii="Times New Roman" w:hAnsi="Times New Roman" w:cs="Times New Roman"/>
          <w:sz w:val="18"/>
          <w:szCs w:val="18"/>
          <w:lang w:val="en-AU"/>
        </w:rPr>
        <w:t>ii) The module aimed to firstly assign clients at the top of the queue to available screening appointments for that week, and then push the remaining queue forward week by week until they were able to be assigned to an available appointment. This pushing forward was limited by a threshold using the maximum delays as described in Table2.</w:t>
      </w:r>
    </w:p>
    <w:p w14:paraId="0AEC2592" w14:textId="77777777" w:rsidR="001E01CE" w:rsidRPr="001E01CE" w:rsidRDefault="001E01CE" w:rsidP="001E01CE">
      <w:pPr>
        <w:spacing w:after="0" w:line="240" w:lineRule="auto"/>
        <w:rPr>
          <w:rFonts w:ascii="Times New Roman" w:hAnsi="Times New Roman" w:cs="Times New Roman"/>
          <w:sz w:val="18"/>
          <w:szCs w:val="18"/>
          <w:lang w:val="en-AU"/>
        </w:rPr>
      </w:pPr>
      <w:r w:rsidRPr="001E01CE">
        <w:rPr>
          <w:rFonts w:ascii="Times New Roman" w:hAnsi="Times New Roman" w:cs="Times New Roman"/>
          <w:sz w:val="18"/>
          <w:szCs w:val="18"/>
          <w:lang w:val="en-AU"/>
        </w:rPr>
        <w:t>iii) Clients resumed normal screening schedules after their first recovery screen.</w:t>
      </w:r>
    </w:p>
    <w:p w14:paraId="73806B91" w14:textId="102E1D37" w:rsidR="00F75BA8" w:rsidRDefault="00F75BA8">
      <w:r>
        <w:br w:type="page"/>
      </w:r>
    </w:p>
    <w:p w14:paraId="6FB17BB6" w14:textId="56E0B83A" w:rsidR="00707A91" w:rsidRPr="006B24F4" w:rsidRDefault="00707A91">
      <w:pPr>
        <w:rPr>
          <w:rFonts w:ascii="Times New Roman" w:hAnsi="Times New Roman" w:cs="Times New Roman"/>
          <w:b/>
          <w:bCs/>
          <w:sz w:val="28"/>
          <w:szCs w:val="28"/>
        </w:rPr>
      </w:pPr>
      <w:r w:rsidRPr="006B24F4">
        <w:rPr>
          <w:rFonts w:ascii="Times New Roman" w:hAnsi="Times New Roman" w:cs="Times New Roman"/>
          <w:b/>
          <w:bCs/>
          <w:sz w:val="28"/>
          <w:szCs w:val="28"/>
        </w:rPr>
        <w:lastRenderedPageBreak/>
        <w:t>Supplementary File 1B</w:t>
      </w:r>
    </w:p>
    <w:p w14:paraId="06087605" w14:textId="77777777" w:rsidR="006B24F4" w:rsidRPr="00F75BA8" w:rsidRDefault="006B24F4">
      <w:pPr>
        <w:rPr>
          <w:b/>
          <w:bCs/>
          <w:sz w:val="28"/>
          <w:szCs w:val="28"/>
        </w:rPr>
      </w:pPr>
    </w:p>
    <w:p w14:paraId="5D28D318" w14:textId="39DD06A8" w:rsidR="00F75BA8" w:rsidRPr="00F75BA8" w:rsidRDefault="00F75BA8" w:rsidP="00F75BA8">
      <w:pPr>
        <w:keepNext/>
        <w:spacing w:after="200" w:line="240" w:lineRule="auto"/>
        <w:rPr>
          <w:rFonts w:ascii="Times New Roman" w:eastAsia="Calibri" w:hAnsi="Times New Roman" w:cs="Times New Roman"/>
          <w:b/>
          <w:bCs/>
          <w:sz w:val="20"/>
          <w:szCs w:val="20"/>
          <w:lang w:val="en-AU"/>
        </w:rPr>
      </w:pPr>
      <w:r w:rsidRPr="00F75BA8">
        <w:rPr>
          <w:rFonts w:ascii="Times New Roman" w:eastAsia="Calibri" w:hAnsi="Times New Roman" w:cs="Times New Roman"/>
          <w:b/>
          <w:bCs/>
          <w:sz w:val="20"/>
          <w:szCs w:val="20"/>
          <w:lang w:val="en-AU"/>
        </w:rPr>
        <w:t xml:space="preserve">Proportion of eligible women with any Cervical Screening Test recorded – modelled assumption prior to disruption compared to observed data (1 Dec 2017-14 Jan 2020), by </w:t>
      </w:r>
      <w:proofErr w:type="gramStart"/>
      <w:r w:rsidRPr="00F75BA8">
        <w:rPr>
          <w:rFonts w:ascii="Times New Roman" w:eastAsia="Calibri" w:hAnsi="Times New Roman" w:cs="Times New Roman"/>
          <w:b/>
          <w:bCs/>
          <w:sz w:val="20"/>
          <w:szCs w:val="20"/>
          <w:lang w:val="en-AU"/>
        </w:rPr>
        <w:t>age</w:t>
      </w:r>
      <w:proofErr w:type="gramEnd"/>
    </w:p>
    <w:tbl>
      <w:tblPr>
        <w:tblW w:w="0" w:type="auto"/>
        <w:tblLook w:val="04A0" w:firstRow="1" w:lastRow="0" w:firstColumn="1" w:lastColumn="0" w:noHBand="0" w:noVBand="1"/>
      </w:tblPr>
      <w:tblGrid>
        <w:gridCol w:w="1511"/>
        <w:gridCol w:w="3167"/>
        <w:gridCol w:w="2792"/>
      </w:tblGrid>
      <w:tr w:rsidR="00F75BA8" w:rsidRPr="00F75BA8" w14:paraId="0E17DEC0" w14:textId="77777777" w:rsidTr="003F1754">
        <w:tc>
          <w:tcPr>
            <w:tcW w:w="1511" w:type="dxa"/>
            <w:tcBorders>
              <w:top w:val="single" w:sz="4" w:space="0" w:color="auto"/>
              <w:bottom w:val="single" w:sz="4" w:space="0" w:color="auto"/>
            </w:tcBorders>
          </w:tcPr>
          <w:p w14:paraId="023738BB" w14:textId="77777777" w:rsidR="00F75BA8" w:rsidRPr="00F75BA8" w:rsidRDefault="00F75BA8" w:rsidP="00F75BA8">
            <w:pPr>
              <w:rPr>
                <w:rFonts w:ascii="Times New Roman" w:eastAsia="Calibri" w:hAnsi="Times New Roman" w:cs="Times New Roman"/>
                <w:b/>
                <w:sz w:val="20"/>
                <w:szCs w:val="20"/>
                <w:lang w:val="en-AU"/>
              </w:rPr>
            </w:pPr>
            <w:r w:rsidRPr="00F75BA8">
              <w:rPr>
                <w:rFonts w:ascii="Times New Roman" w:eastAsia="Calibri" w:hAnsi="Times New Roman" w:cs="Times New Roman"/>
                <w:b/>
                <w:sz w:val="20"/>
                <w:szCs w:val="20"/>
                <w:lang w:val="en-AU"/>
              </w:rPr>
              <w:t>Age group</w:t>
            </w:r>
          </w:p>
        </w:tc>
        <w:tc>
          <w:tcPr>
            <w:tcW w:w="3167" w:type="dxa"/>
            <w:tcBorders>
              <w:top w:val="single" w:sz="4" w:space="0" w:color="auto"/>
              <w:bottom w:val="single" w:sz="4" w:space="0" w:color="auto"/>
            </w:tcBorders>
          </w:tcPr>
          <w:p w14:paraId="1B881ED3" w14:textId="77777777" w:rsidR="00F75BA8" w:rsidRPr="00F75BA8" w:rsidRDefault="00F75BA8" w:rsidP="00F75BA8">
            <w:pPr>
              <w:rPr>
                <w:rFonts w:ascii="Times New Roman" w:eastAsia="Calibri" w:hAnsi="Times New Roman" w:cs="Times New Roman"/>
                <w:b/>
                <w:sz w:val="20"/>
                <w:szCs w:val="20"/>
                <w:lang w:val="en-AU"/>
              </w:rPr>
            </w:pPr>
            <w:r w:rsidRPr="00F75BA8">
              <w:rPr>
                <w:rFonts w:ascii="Times New Roman" w:eastAsia="Calibri" w:hAnsi="Times New Roman" w:cs="Times New Roman"/>
                <w:b/>
                <w:sz w:val="20"/>
                <w:szCs w:val="20"/>
                <w:lang w:val="en-AU"/>
              </w:rPr>
              <w:t>Model assumption (% attended prior to disruption</w:t>
            </w:r>
          </w:p>
        </w:tc>
        <w:tc>
          <w:tcPr>
            <w:tcW w:w="2792" w:type="dxa"/>
            <w:tcBorders>
              <w:top w:val="single" w:sz="4" w:space="0" w:color="auto"/>
              <w:bottom w:val="single" w:sz="4" w:space="0" w:color="auto"/>
            </w:tcBorders>
          </w:tcPr>
          <w:p w14:paraId="501343AB" w14:textId="77777777" w:rsidR="00F75BA8" w:rsidRPr="00F75BA8" w:rsidRDefault="00F75BA8" w:rsidP="00F75BA8">
            <w:pPr>
              <w:rPr>
                <w:rFonts w:ascii="Times New Roman" w:eastAsia="Calibri" w:hAnsi="Times New Roman" w:cs="Times New Roman"/>
                <w:b/>
                <w:sz w:val="20"/>
                <w:szCs w:val="20"/>
                <w:lang w:val="en-AU"/>
              </w:rPr>
            </w:pPr>
            <w:r w:rsidRPr="00F75BA8">
              <w:rPr>
                <w:rFonts w:ascii="Times New Roman" w:eastAsia="Calibri" w:hAnsi="Times New Roman" w:cs="Times New Roman"/>
                <w:b/>
                <w:sz w:val="20"/>
                <w:szCs w:val="20"/>
                <w:lang w:val="en-AU"/>
              </w:rPr>
              <w:t>Observed data (1 Dec 2017-14 Jan 2020)</w:t>
            </w:r>
          </w:p>
        </w:tc>
      </w:tr>
      <w:tr w:rsidR="00F75BA8" w:rsidRPr="00F75BA8" w14:paraId="2433AD6E" w14:textId="77777777" w:rsidTr="003F1754">
        <w:tc>
          <w:tcPr>
            <w:tcW w:w="1511" w:type="dxa"/>
            <w:tcBorders>
              <w:top w:val="single" w:sz="4" w:space="0" w:color="auto"/>
            </w:tcBorders>
          </w:tcPr>
          <w:p w14:paraId="44C9273E" w14:textId="77777777" w:rsidR="00F75BA8" w:rsidRPr="00F75BA8" w:rsidRDefault="00F75BA8" w:rsidP="00F75BA8">
            <w:pPr>
              <w:rPr>
                <w:rFonts w:ascii="Times New Roman" w:eastAsia="Calibri" w:hAnsi="Times New Roman" w:cs="Times New Roman"/>
                <w:bCs/>
                <w:sz w:val="20"/>
                <w:szCs w:val="20"/>
                <w:lang w:val="en-AU"/>
              </w:rPr>
            </w:pPr>
            <w:r w:rsidRPr="00F75BA8">
              <w:rPr>
                <w:rFonts w:ascii="Times New Roman" w:eastAsia="Calibri" w:hAnsi="Times New Roman" w:cs="Times New Roman"/>
                <w:bCs/>
                <w:sz w:val="20"/>
                <w:szCs w:val="20"/>
                <w:lang w:val="en-AU"/>
              </w:rPr>
              <w:t>25–29</w:t>
            </w:r>
          </w:p>
        </w:tc>
        <w:tc>
          <w:tcPr>
            <w:tcW w:w="3167" w:type="dxa"/>
            <w:tcBorders>
              <w:top w:val="single" w:sz="4" w:space="0" w:color="auto"/>
            </w:tcBorders>
          </w:tcPr>
          <w:p w14:paraId="73F357E7" w14:textId="77777777" w:rsidR="00F75BA8" w:rsidRPr="00F75BA8" w:rsidRDefault="00F75BA8" w:rsidP="00F75BA8">
            <w:pPr>
              <w:rPr>
                <w:rFonts w:ascii="Times New Roman" w:eastAsia="Calibri" w:hAnsi="Times New Roman" w:cs="Times New Roman"/>
                <w:bCs/>
                <w:sz w:val="20"/>
                <w:szCs w:val="20"/>
                <w:lang w:val="en-AU"/>
              </w:rPr>
            </w:pPr>
            <w:r w:rsidRPr="00F75BA8">
              <w:rPr>
                <w:rFonts w:ascii="Times New Roman" w:eastAsia="Calibri" w:hAnsi="Times New Roman" w:cs="Times New Roman"/>
                <w:bCs/>
                <w:sz w:val="20"/>
                <w:szCs w:val="20"/>
                <w:lang w:val="en-AU"/>
              </w:rPr>
              <w:t>39.3</w:t>
            </w:r>
          </w:p>
        </w:tc>
        <w:tc>
          <w:tcPr>
            <w:tcW w:w="2792" w:type="dxa"/>
            <w:tcBorders>
              <w:top w:val="single" w:sz="4" w:space="0" w:color="auto"/>
            </w:tcBorders>
          </w:tcPr>
          <w:p w14:paraId="598025B6" w14:textId="77777777" w:rsidR="00F75BA8" w:rsidRPr="00F75BA8" w:rsidRDefault="00F75BA8" w:rsidP="00F75BA8">
            <w:pPr>
              <w:rPr>
                <w:rFonts w:ascii="Times New Roman" w:eastAsia="Calibri" w:hAnsi="Times New Roman" w:cs="Times New Roman"/>
                <w:bCs/>
                <w:sz w:val="20"/>
                <w:szCs w:val="20"/>
                <w:lang w:val="en-AU"/>
              </w:rPr>
            </w:pPr>
            <w:r w:rsidRPr="00F75BA8">
              <w:rPr>
                <w:rFonts w:ascii="Times New Roman" w:eastAsia="Calibri" w:hAnsi="Times New Roman" w:cs="Times New Roman"/>
                <w:bCs/>
                <w:sz w:val="20"/>
                <w:szCs w:val="20"/>
                <w:lang w:val="en-AU"/>
              </w:rPr>
              <w:t>39.0</w:t>
            </w:r>
          </w:p>
        </w:tc>
      </w:tr>
      <w:tr w:rsidR="00F75BA8" w:rsidRPr="00F75BA8" w14:paraId="55A2C9E1" w14:textId="77777777" w:rsidTr="003F1754">
        <w:tc>
          <w:tcPr>
            <w:tcW w:w="1511" w:type="dxa"/>
          </w:tcPr>
          <w:p w14:paraId="6D912788" w14:textId="77777777" w:rsidR="00F75BA8" w:rsidRPr="00F75BA8" w:rsidRDefault="00F75BA8" w:rsidP="00F75BA8">
            <w:pPr>
              <w:rPr>
                <w:rFonts w:ascii="Times New Roman" w:eastAsia="Calibri" w:hAnsi="Times New Roman" w:cs="Times New Roman"/>
                <w:bCs/>
                <w:sz w:val="20"/>
                <w:szCs w:val="20"/>
                <w:lang w:val="en-AU"/>
              </w:rPr>
            </w:pPr>
            <w:r w:rsidRPr="00F75BA8">
              <w:rPr>
                <w:rFonts w:ascii="Times New Roman" w:eastAsia="Calibri" w:hAnsi="Times New Roman" w:cs="Times New Roman"/>
                <w:bCs/>
                <w:sz w:val="20"/>
                <w:szCs w:val="20"/>
                <w:lang w:val="en-AU"/>
              </w:rPr>
              <w:t>30–34</w:t>
            </w:r>
          </w:p>
        </w:tc>
        <w:tc>
          <w:tcPr>
            <w:tcW w:w="3167" w:type="dxa"/>
          </w:tcPr>
          <w:p w14:paraId="74A66CB0" w14:textId="77777777" w:rsidR="00F75BA8" w:rsidRPr="00F75BA8" w:rsidRDefault="00F75BA8" w:rsidP="00F75BA8">
            <w:pPr>
              <w:rPr>
                <w:rFonts w:ascii="Times New Roman" w:eastAsia="Calibri" w:hAnsi="Times New Roman" w:cs="Times New Roman"/>
                <w:bCs/>
                <w:sz w:val="20"/>
                <w:szCs w:val="20"/>
                <w:lang w:val="en-AU"/>
              </w:rPr>
            </w:pPr>
            <w:r w:rsidRPr="00F75BA8">
              <w:rPr>
                <w:rFonts w:ascii="Times New Roman" w:eastAsia="Calibri" w:hAnsi="Times New Roman" w:cs="Times New Roman"/>
                <w:bCs/>
                <w:sz w:val="20"/>
                <w:szCs w:val="20"/>
                <w:lang w:val="en-AU"/>
              </w:rPr>
              <w:t>48.5</w:t>
            </w:r>
          </w:p>
        </w:tc>
        <w:tc>
          <w:tcPr>
            <w:tcW w:w="2792" w:type="dxa"/>
          </w:tcPr>
          <w:p w14:paraId="2FA48583" w14:textId="77777777" w:rsidR="00F75BA8" w:rsidRPr="00F75BA8" w:rsidRDefault="00F75BA8" w:rsidP="00F75BA8">
            <w:pPr>
              <w:rPr>
                <w:rFonts w:ascii="Times New Roman" w:eastAsia="Calibri" w:hAnsi="Times New Roman" w:cs="Times New Roman"/>
                <w:bCs/>
                <w:sz w:val="20"/>
                <w:szCs w:val="20"/>
                <w:lang w:val="en-AU"/>
              </w:rPr>
            </w:pPr>
            <w:r w:rsidRPr="00F75BA8">
              <w:rPr>
                <w:rFonts w:ascii="Times New Roman" w:eastAsia="Calibri" w:hAnsi="Times New Roman" w:cs="Times New Roman"/>
                <w:bCs/>
                <w:sz w:val="20"/>
                <w:szCs w:val="20"/>
                <w:lang w:val="en-AU"/>
              </w:rPr>
              <w:t>49.7</w:t>
            </w:r>
          </w:p>
        </w:tc>
      </w:tr>
      <w:tr w:rsidR="00F75BA8" w:rsidRPr="00F75BA8" w14:paraId="3DE0DBF5" w14:textId="77777777" w:rsidTr="003F1754">
        <w:tc>
          <w:tcPr>
            <w:tcW w:w="1511" w:type="dxa"/>
          </w:tcPr>
          <w:p w14:paraId="6127AE07" w14:textId="77777777" w:rsidR="00F75BA8" w:rsidRPr="00F75BA8" w:rsidRDefault="00F75BA8" w:rsidP="00F75BA8">
            <w:pPr>
              <w:rPr>
                <w:rFonts w:ascii="Times New Roman" w:eastAsia="Calibri" w:hAnsi="Times New Roman" w:cs="Times New Roman"/>
                <w:bCs/>
                <w:sz w:val="20"/>
                <w:szCs w:val="20"/>
                <w:lang w:val="en-AU"/>
              </w:rPr>
            </w:pPr>
            <w:r w:rsidRPr="00F75BA8">
              <w:rPr>
                <w:rFonts w:ascii="Times New Roman" w:eastAsia="Calibri" w:hAnsi="Times New Roman" w:cs="Times New Roman"/>
                <w:bCs/>
                <w:sz w:val="20"/>
                <w:szCs w:val="20"/>
                <w:lang w:val="en-AU"/>
              </w:rPr>
              <w:t>35–39</w:t>
            </w:r>
          </w:p>
        </w:tc>
        <w:tc>
          <w:tcPr>
            <w:tcW w:w="3167" w:type="dxa"/>
          </w:tcPr>
          <w:p w14:paraId="4A4C34F5" w14:textId="77777777" w:rsidR="00F75BA8" w:rsidRPr="00F75BA8" w:rsidRDefault="00F75BA8" w:rsidP="00F75BA8">
            <w:pPr>
              <w:rPr>
                <w:rFonts w:ascii="Times New Roman" w:eastAsia="Calibri" w:hAnsi="Times New Roman" w:cs="Times New Roman"/>
                <w:bCs/>
                <w:sz w:val="20"/>
                <w:szCs w:val="20"/>
                <w:lang w:val="en-AU"/>
              </w:rPr>
            </w:pPr>
            <w:r w:rsidRPr="00F75BA8">
              <w:rPr>
                <w:rFonts w:ascii="Times New Roman" w:eastAsia="Calibri" w:hAnsi="Times New Roman" w:cs="Times New Roman"/>
                <w:bCs/>
                <w:sz w:val="20"/>
                <w:szCs w:val="20"/>
                <w:lang w:val="en-AU"/>
              </w:rPr>
              <w:t>55.4</w:t>
            </w:r>
          </w:p>
        </w:tc>
        <w:tc>
          <w:tcPr>
            <w:tcW w:w="2792" w:type="dxa"/>
          </w:tcPr>
          <w:p w14:paraId="689882DA" w14:textId="77777777" w:rsidR="00F75BA8" w:rsidRPr="00F75BA8" w:rsidRDefault="00F75BA8" w:rsidP="00F75BA8">
            <w:pPr>
              <w:rPr>
                <w:rFonts w:ascii="Times New Roman" w:eastAsia="Calibri" w:hAnsi="Times New Roman" w:cs="Times New Roman"/>
                <w:bCs/>
                <w:sz w:val="20"/>
                <w:szCs w:val="20"/>
                <w:lang w:val="en-AU"/>
              </w:rPr>
            </w:pPr>
            <w:r w:rsidRPr="00F75BA8">
              <w:rPr>
                <w:rFonts w:ascii="Times New Roman" w:eastAsia="Calibri" w:hAnsi="Times New Roman" w:cs="Times New Roman"/>
                <w:bCs/>
                <w:sz w:val="20"/>
                <w:szCs w:val="20"/>
                <w:lang w:val="en-AU"/>
              </w:rPr>
              <w:t>54.6</w:t>
            </w:r>
          </w:p>
        </w:tc>
      </w:tr>
      <w:tr w:rsidR="00F75BA8" w:rsidRPr="00F75BA8" w14:paraId="4DD48059" w14:textId="77777777" w:rsidTr="003F1754">
        <w:tc>
          <w:tcPr>
            <w:tcW w:w="1511" w:type="dxa"/>
          </w:tcPr>
          <w:p w14:paraId="76631C05" w14:textId="77777777" w:rsidR="00F75BA8" w:rsidRPr="00F75BA8" w:rsidRDefault="00F75BA8" w:rsidP="00F75BA8">
            <w:pPr>
              <w:rPr>
                <w:rFonts w:ascii="Times New Roman" w:eastAsia="Calibri" w:hAnsi="Times New Roman" w:cs="Times New Roman"/>
                <w:bCs/>
                <w:sz w:val="20"/>
                <w:szCs w:val="20"/>
                <w:lang w:val="en-AU"/>
              </w:rPr>
            </w:pPr>
            <w:r w:rsidRPr="00F75BA8">
              <w:rPr>
                <w:rFonts w:ascii="Times New Roman" w:eastAsia="Calibri" w:hAnsi="Times New Roman" w:cs="Times New Roman"/>
                <w:bCs/>
                <w:sz w:val="20"/>
                <w:szCs w:val="20"/>
                <w:lang w:val="en-AU"/>
              </w:rPr>
              <w:t>40–44</w:t>
            </w:r>
          </w:p>
        </w:tc>
        <w:tc>
          <w:tcPr>
            <w:tcW w:w="3167" w:type="dxa"/>
          </w:tcPr>
          <w:p w14:paraId="5336D9BC" w14:textId="77777777" w:rsidR="00F75BA8" w:rsidRPr="00F75BA8" w:rsidRDefault="00F75BA8" w:rsidP="00F75BA8">
            <w:pPr>
              <w:rPr>
                <w:rFonts w:ascii="Times New Roman" w:eastAsia="Calibri" w:hAnsi="Times New Roman" w:cs="Times New Roman"/>
                <w:bCs/>
                <w:sz w:val="20"/>
                <w:szCs w:val="20"/>
                <w:lang w:val="en-AU"/>
              </w:rPr>
            </w:pPr>
            <w:r w:rsidRPr="00F75BA8">
              <w:rPr>
                <w:rFonts w:ascii="Times New Roman" w:eastAsia="Calibri" w:hAnsi="Times New Roman" w:cs="Times New Roman"/>
                <w:bCs/>
                <w:sz w:val="20"/>
                <w:szCs w:val="20"/>
                <w:lang w:val="en-AU"/>
              </w:rPr>
              <w:t>57.7</w:t>
            </w:r>
          </w:p>
        </w:tc>
        <w:tc>
          <w:tcPr>
            <w:tcW w:w="2792" w:type="dxa"/>
          </w:tcPr>
          <w:p w14:paraId="7A4BED1E" w14:textId="77777777" w:rsidR="00F75BA8" w:rsidRPr="00F75BA8" w:rsidRDefault="00F75BA8" w:rsidP="00F75BA8">
            <w:pPr>
              <w:rPr>
                <w:rFonts w:ascii="Times New Roman" w:eastAsia="Calibri" w:hAnsi="Times New Roman" w:cs="Times New Roman"/>
                <w:bCs/>
                <w:sz w:val="20"/>
                <w:szCs w:val="20"/>
                <w:lang w:val="en-AU"/>
              </w:rPr>
            </w:pPr>
            <w:r w:rsidRPr="00F75BA8">
              <w:rPr>
                <w:rFonts w:ascii="Times New Roman" w:eastAsia="Calibri" w:hAnsi="Times New Roman" w:cs="Times New Roman"/>
                <w:bCs/>
                <w:sz w:val="20"/>
                <w:szCs w:val="20"/>
                <w:lang w:val="en-AU"/>
              </w:rPr>
              <w:t>58.1</w:t>
            </w:r>
          </w:p>
        </w:tc>
      </w:tr>
      <w:tr w:rsidR="00F75BA8" w:rsidRPr="00F75BA8" w14:paraId="05CAA21A" w14:textId="77777777" w:rsidTr="003F1754">
        <w:tc>
          <w:tcPr>
            <w:tcW w:w="1511" w:type="dxa"/>
          </w:tcPr>
          <w:p w14:paraId="6C4CB843" w14:textId="77777777" w:rsidR="00F75BA8" w:rsidRPr="00F75BA8" w:rsidRDefault="00F75BA8" w:rsidP="00F75BA8">
            <w:pPr>
              <w:rPr>
                <w:rFonts w:ascii="Times New Roman" w:eastAsia="Calibri" w:hAnsi="Times New Roman" w:cs="Times New Roman"/>
                <w:bCs/>
                <w:sz w:val="20"/>
                <w:szCs w:val="20"/>
                <w:lang w:val="en-AU"/>
              </w:rPr>
            </w:pPr>
            <w:r w:rsidRPr="00F75BA8">
              <w:rPr>
                <w:rFonts w:ascii="Times New Roman" w:eastAsia="Calibri" w:hAnsi="Times New Roman" w:cs="Times New Roman"/>
                <w:bCs/>
                <w:sz w:val="20"/>
                <w:szCs w:val="20"/>
                <w:lang w:val="en-AU"/>
              </w:rPr>
              <w:t>45–49</w:t>
            </w:r>
          </w:p>
        </w:tc>
        <w:tc>
          <w:tcPr>
            <w:tcW w:w="3167" w:type="dxa"/>
          </w:tcPr>
          <w:p w14:paraId="5645CBB0" w14:textId="77777777" w:rsidR="00F75BA8" w:rsidRPr="00F75BA8" w:rsidRDefault="00F75BA8" w:rsidP="00F75BA8">
            <w:pPr>
              <w:rPr>
                <w:rFonts w:ascii="Times New Roman" w:eastAsia="Calibri" w:hAnsi="Times New Roman" w:cs="Times New Roman"/>
                <w:bCs/>
                <w:sz w:val="20"/>
                <w:szCs w:val="20"/>
                <w:lang w:val="en-AU"/>
              </w:rPr>
            </w:pPr>
            <w:r w:rsidRPr="00F75BA8">
              <w:rPr>
                <w:rFonts w:ascii="Times New Roman" w:eastAsia="Calibri" w:hAnsi="Times New Roman" w:cs="Times New Roman"/>
                <w:bCs/>
                <w:sz w:val="20"/>
                <w:szCs w:val="20"/>
                <w:lang w:val="en-AU"/>
              </w:rPr>
              <w:t>59.9</w:t>
            </w:r>
          </w:p>
        </w:tc>
        <w:tc>
          <w:tcPr>
            <w:tcW w:w="2792" w:type="dxa"/>
          </w:tcPr>
          <w:p w14:paraId="4EA407C3" w14:textId="77777777" w:rsidR="00F75BA8" w:rsidRPr="00F75BA8" w:rsidRDefault="00F75BA8" w:rsidP="00F75BA8">
            <w:pPr>
              <w:rPr>
                <w:rFonts w:ascii="Times New Roman" w:eastAsia="Calibri" w:hAnsi="Times New Roman" w:cs="Times New Roman"/>
                <w:bCs/>
                <w:sz w:val="20"/>
                <w:szCs w:val="20"/>
                <w:lang w:val="en-AU"/>
              </w:rPr>
            </w:pPr>
            <w:r w:rsidRPr="00F75BA8">
              <w:rPr>
                <w:rFonts w:ascii="Times New Roman" w:eastAsia="Calibri" w:hAnsi="Times New Roman" w:cs="Times New Roman"/>
                <w:bCs/>
                <w:sz w:val="20"/>
                <w:szCs w:val="20"/>
                <w:lang w:val="en-AU"/>
              </w:rPr>
              <w:t>60.7</w:t>
            </w:r>
          </w:p>
        </w:tc>
      </w:tr>
      <w:tr w:rsidR="00F75BA8" w:rsidRPr="00F75BA8" w14:paraId="4401AE99" w14:textId="77777777" w:rsidTr="003F1754">
        <w:tc>
          <w:tcPr>
            <w:tcW w:w="1511" w:type="dxa"/>
          </w:tcPr>
          <w:p w14:paraId="49B98641" w14:textId="77777777" w:rsidR="00F75BA8" w:rsidRPr="00F75BA8" w:rsidRDefault="00F75BA8" w:rsidP="00F75BA8">
            <w:pPr>
              <w:rPr>
                <w:rFonts w:ascii="Times New Roman" w:eastAsia="Calibri" w:hAnsi="Times New Roman" w:cs="Times New Roman"/>
                <w:bCs/>
                <w:sz w:val="20"/>
                <w:szCs w:val="20"/>
                <w:lang w:val="en-AU"/>
              </w:rPr>
            </w:pPr>
            <w:r w:rsidRPr="00F75BA8">
              <w:rPr>
                <w:rFonts w:ascii="Times New Roman" w:eastAsia="Calibri" w:hAnsi="Times New Roman" w:cs="Times New Roman"/>
                <w:bCs/>
                <w:sz w:val="20"/>
                <w:szCs w:val="20"/>
                <w:lang w:val="en-AU"/>
              </w:rPr>
              <w:t>50–54</w:t>
            </w:r>
          </w:p>
        </w:tc>
        <w:tc>
          <w:tcPr>
            <w:tcW w:w="3167" w:type="dxa"/>
          </w:tcPr>
          <w:p w14:paraId="6D60380A" w14:textId="77777777" w:rsidR="00F75BA8" w:rsidRPr="00F75BA8" w:rsidRDefault="00F75BA8" w:rsidP="00F75BA8">
            <w:pPr>
              <w:rPr>
                <w:rFonts w:ascii="Times New Roman" w:eastAsia="Calibri" w:hAnsi="Times New Roman" w:cs="Times New Roman"/>
                <w:bCs/>
                <w:sz w:val="20"/>
                <w:szCs w:val="20"/>
                <w:lang w:val="en-AU"/>
              </w:rPr>
            </w:pPr>
            <w:r w:rsidRPr="00F75BA8">
              <w:rPr>
                <w:rFonts w:ascii="Times New Roman" w:eastAsia="Calibri" w:hAnsi="Times New Roman" w:cs="Times New Roman"/>
                <w:bCs/>
                <w:sz w:val="20"/>
                <w:szCs w:val="20"/>
                <w:lang w:val="en-AU"/>
              </w:rPr>
              <w:t>62.6</w:t>
            </w:r>
          </w:p>
        </w:tc>
        <w:tc>
          <w:tcPr>
            <w:tcW w:w="2792" w:type="dxa"/>
          </w:tcPr>
          <w:p w14:paraId="1F52BBF7" w14:textId="77777777" w:rsidR="00F75BA8" w:rsidRPr="00F75BA8" w:rsidRDefault="00F75BA8" w:rsidP="00F75BA8">
            <w:pPr>
              <w:rPr>
                <w:rFonts w:ascii="Times New Roman" w:eastAsia="Calibri" w:hAnsi="Times New Roman" w:cs="Times New Roman"/>
                <w:bCs/>
                <w:sz w:val="20"/>
                <w:szCs w:val="20"/>
                <w:lang w:val="en-AU"/>
              </w:rPr>
            </w:pPr>
            <w:r w:rsidRPr="00F75BA8">
              <w:rPr>
                <w:rFonts w:ascii="Times New Roman" w:eastAsia="Calibri" w:hAnsi="Times New Roman" w:cs="Times New Roman"/>
                <w:bCs/>
                <w:sz w:val="20"/>
                <w:szCs w:val="20"/>
                <w:lang w:val="en-AU"/>
              </w:rPr>
              <w:t>61.5</w:t>
            </w:r>
          </w:p>
        </w:tc>
      </w:tr>
      <w:tr w:rsidR="00F75BA8" w:rsidRPr="00F75BA8" w14:paraId="0F0A8C4C" w14:textId="77777777" w:rsidTr="003F1754">
        <w:tc>
          <w:tcPr>
            <w:tcW w:w="1511" w:type="dxa"/>
          </w:tcPr>
          <w:p w14:paraId="0F940272" w14:textId="77777777" w:rsidR="00F75BA8" w:rsidRPr="00F75BA8" w:rsidRDefault="00F75BA8" w:rsidP="00F75BA8">
            <w:pPr>
              <w:rPr>
                <w:rFonts w:ascii="Times New Roman" w:eastAsia="Calibri" w:hAnsi="Times New Roman" w:cs="Times New Roman"/>
                <w:bCs/>
                <w:sz w:val="20"/>
                <w:szCs w:val="20"/>
                <w:lang w:val="en-AU"/>
              </w:rPr>
            </w:pPr>
            <w:r w:rsidRPr="00F75BA8">
              <w:rPr>
                <w:rFonts w:ascii="Times New Roman" w:eastAsia="Calibri" w:hAnsi="Times New Roman" w:cs="Times New Roman"/>
                <w:bCs/>
                <w:sz w:val="20"/>
                <w:szCs w:val="20"/>
                <w:lang w:val="en-AU"/>
              </w:rPr>
              <w:t>55–59</w:t>
            </w:r>
          </w:p>
        </w:tc>
        <w:tc>
          <w:tcPr>
            <w:tcW w:w="3167" w:type="dxa"/>
          </w:tcPr>
          <w:p w14:paraId="3C2E813E" w14:textId="77777777" w:rsidR="00F75BA8" w:rsidRPr="00F75BA8" w:rsidRDefault="00F75BA8" w:rsidP="00F75BA8">
            <w:pPr>
              <w:rPr>
                <w:rFonts w:ascii="Times New Roman" w:eastAsia="Calibri" w:hAnsi="Times New Roman" w:cs="Times New Roman"/>
                <w:bCs/>
                <w:sz w:val="20"/>
                <w:szCs w:val="20"/>
                <w:lang w:val="en-AU"/>
              </w:rPr>
            </w:pPr>
            <w:r w:rsidRPr="00F75BA8">
              <w:rPr>
                <w:rFonts w:ascii="Times New Roman" w:eastAsia="Calibri" w:hAnsi="Times New Roman" w:cs="Times New Roman"/>
                <w:bCs/>
                <w:sz w:val="20"/>
                <w:szCs w:val="20"/>
                <w:lang w:val="en-AU"/>
              </w:rPr>
              <w:t>61.4</w:t>
            </w:r>
          </w:p>
        </w:tc>
        <w:tc>
          <w:tcPr>
            <w:tcW w:w="2792" w:type="dxa"/>
          </w:tcPr>
          <w:p w14:paraId="5F20F958" w14:textId="77777777" w:rsidR="00F75BA8" w:rsidRPr="00F75BA8" w:rsidRDefault="00F75BA8" w:rsidP="00F75BA8">
            <w:pPr>
              <w:rPr>
                <w:rFonts w:ascii="Times New Roman" w:eastAsia="Calibri" w:hAnsi="Times New Roman" w:cs="Times New Roman"/>
                <w:bCs/>
                <w:sz w:val="20"/>
                <w:szCs w:val="20"/>
                <w:lang w:val="en-AU"/>
              </w:rPr>
            </w:pPr>
            <w:r w:rsidRPr="00F75BA8">
              <w:rPr>
                <w:rFonts w:ascii="Times New Roman" w:eastAsia="Calibri" w:hAnsi="Times New Roman" w:cs="Times New Roman"/>
                <w:bCs/>
                <w:sz w:val="20"/>
                <w:szCs w:val="20"/>
                <w:lang w:val="en-AU"/>
              </w:rPr>
              <w:t>61.6</w:t>
            </w:r>
          </w:p>
        </w:tc>
      </w:tr>
      <w:tr w:rsidR="00F75BA8" w:rsidRPr="00F75BA8" w14:paraId="73628D1C" w14:textId="77777777" w:rsidTr="003F1754">
        <w:tc>
          <w:tcPr>
            <w:tcW w:w="1511" w:type="dxa"/>
          </w:tcPr>
          <w:p w14:paraId="22B50598" w14:textId="77777777" w:rsidR="00F75BA8" w:rsidRPr="00F75BA8" w:rsidRDefault="00F75BA8" w:rsidP="00F75BA8">
            <w:pPr>
              <w:rPr>
                <w:rFonts w:ascii="Times New Roman" w:eastAsia="Calibri" w:hAnsi="Times New Roman" w:cs="Times New Roman"/>
                <w:bCs/>
                <w:sz w:val="20"/>
                <w:szCs w:val="20"/>
                <w:lang w:val="en-AU"/>
              </w:rPr>
            </w:pPr>
            <w:r w:rsidRPr="00F75BA8">
              <w:rPr>
                <w:rFonts w:ascii="Times New Roman" w:eastAsia="Calibri" w:hAnsi="Times New Roman" w:cs="Times New Roman"/>
                <w:bCs/>
                <w:sz w:val="20"/>
                <w:szCs w:val="20"/>
                <w:lang w:val="en-AU"/>
              </w:rPr>
              <w:t>60–64</w:t>
            </w:r>
          </w:p>
        </w:tc>
        <w:tc>
          <w:tcPr>
            <w:tcW w:w="3167" w:type="dxa"/>
          </w:tcPr>
          <w:p w14:paraId="15A464B9" w14:textId="77777777" w:rsidR="00F75BA8" w:rsidRPr="00F75BA8" w:rsidRDefault="00F75BA8" w:rsidP="00F75BA8">
            <w:pPr>
              <w:rPr>
                <w:rFonts w:ascii="Times New Roman" w:eastAsia="Calibri" w:hAnsi="Times New Roman" w:cs="Times New Roman"/>
                <w:bCs/>
                <w:sz w:val="20"/>
                <w:szCs w:val="20"/>
                <w:lang w:val="en-AU"/>
              </w:rPr>
            </w:pPr>
            <w:r w:rsidRPr="00F75BA8">
              <w:rPr>
                <w:rFonts w:ascii="Times New Roman" w:eastAsia="Calibri" w:hAnsi="Times New Roman" w:cs="Times New Roman"/>
                <w:bCs/>
                <w:sz w:val="20"/>
                <w:szCs w:val="20"/>
                <w:lang w:val="en-AU"/>
              </w:rPr>
              <w:t>60.5</w:t>
            </w:r>
          </w:p>
        </w:tc>
        <w:tc>
          <w:tcPr>
            <w:tcW w:w="2792" w:type="dxa"/>
          </w:tcPr>
          <w:p w14:paraId="5EB8D224" w14:textId="77777777" w:rsidR="00F75BA8" w:rsidRPr="00F75BA8" w:rsidRDefault="00F75BA8" w:rsidP="00F75BA8">
            <w:pPr>
              <w:rPr>
                <w:rFonts w:ascii="Times New Roman" w:eastAsia="Calibri" w:hAnsi="Times New Roman" w:cs="Times New Roman"/>
                <w:bCs/>
                <w:sz w:val="20"/>
                <w:szCs w:val="20"/>
                <w:lang w:val="en-AU"/>
              </w:rPr>
            </w:pPr>
            <w:r w:rsidRPr="00F75BA8">
              <w:rPr>
                <w:rFonts w:ascii="Times New Roman" w:eastAsia="Calibri" w:hAnsi="Times New Roman" w:cs="Times New Roman"/>
                <w:bCs/>
                <w:sz w:val="20"/>
                <w:szCs w:val="20"/>
                <w:lang w:val="en-AU"/>
              </w:rPr>
              <w:t>60.6</w:t>
            </w:r>
          </w:p>
        </w:tc>
      </w:tr>
      <w:tr w:rsidR="00F75BA8" w:rsidRPr="00F75BA8" w14:paraId="637893FF" w14:textId="77777777" w:rsidTr="003F1754">
        <w:tc>
          <w:tcPr>
            <w:tcW w:w="1511" w:type="dxa"/>
          </w:tcPr>
          <w:p w14:paraId="26CC69CD" w14:textId="77777777" w:rsidR="00F75BA8" w:rsidRPr="00F75BA8" w:rsidRDefault="00F75BA8" w:rsidP="00F75BA8">
            <w:pPr>
              <w:rPr>
                <w:rFonts w:ascii="Times New Roman" w:eastAsia="Calibri" w:hAnsi="Times New Roman" w:cs="Times New Roman"/>
                <w:bCs/>
                <w:sz w:val="20"/>
                <w:szCs w:val="20"/>
                <w:lang w:val="en-AU"/>
              </w:rPr>
            </w:pPr>
            <w:r w:rsidRPr="00F75BA8">
              <w:rPr>
                <w:rFonts w:ascii="Times New Roman" w:eastAsia="Calibri" w:hAnsi="Times New Roman" w:cs="Times New Roman"/>
                <w:bCs/>
                <w:sz w:val="20"/>
                <w:szCs w:val="20"/>
                <w:lang w:val="en-AU"/>
              </w:rPr>
              <w:t>65–69</w:t>
            </w:r>
          </w:p>
        </w:tc>
        <w:tc>
          <w:tcPr>
            <w:tcW w:w="3167" w:type="dxa"/>
          </w:tcPr>
          <w:p w14:paraId="0B03B66B" w14:textId="77777777" w:rsidR="00F75BA8" w:rsidRPr="00F75BA8" w:rsidRDefault="00F75BA8" w:rsidP="00F75BA8">
            <w:pPr>
              <w:rPr>
                <w:rFonts w:ascii="Times New Roman" w:eastAsia="Calibri" w:hAnsi="Times New Roman" w:cs="Times New Roman"/>
                <w:bCs/>
                <w:sz w:val="20"/>
                <w:szCs w:val="20"/>
                <w:lang w:val="en-AU"/>
              </w:rPr>
            </w:pPr>
            <w:r w:rsidRPr="00F75BA8">
              <w:rPr>
                <w:rFonts w:ascii="Times New Roman" w:eastAsia="Calibri" w:hAnsi="Times New Roman" w:cs="Times New Roman"/>
                <w:bCs/>
                <w:sz w:val="20"/>
                <w:szCs w:val="20"/>
                <w:lang w:val="en-AU"/>
              </w:rPr>
              <w:t>58.0</w:t>
            </w:r>
          </w:p>
        </w:tc>
        <w:tc>
          <w:tcPr>
            <w:tcW w:w="2792" w:type="dxa"/>
          </w:tcPr>
          <w:p w14:paraId="2879CB4A" w14:textId="77777777" w:rsidR="00F75BA8" w:rsidRPr="00F75BA8" w:rsidRDefault="00F75BA8" w:rsidP="00F75BA8">
            <w:pPr>
              <w:rPr>
                <w:rFonts w:ascii="Times New Roman" w:eastAsia="Calibri" w:hAnsi="Times New Roman" w:cs="Times New Roman"/>
                <w:bCs/>
                <w:sz w:val="20"/>
                <w:szCs w:val="20"/>
                <w:lang w:val="en-AU"/>
              </w:rPr>
            </w:pPr>
            <w:r w:rsidRPr="00F75BA8">
              <w:rPr>
                <w:rFonts w:ascii="Times New Roman" w:eastAsia="Calibri" w:hAnsi="Times New Roman" w:cs="Times New Roman"/>
                <w:bCs/>
                <w:sz w:val="20"/>
                <w:szCs w:val="20"/>
                <w:lang w:val="en-AU"/>
              </w:rPr>
              <w:t>58.1</w:t>
            </w:r>
          </w:p>
        </w:tc>
      </w:tr>
      <w:tr w:rsidR="00F75BA8" w:rsidRPr="00F75BA8" w14:paraId="7BB7ED34" w14:textId="77777777" w:rsidTr="003F1754">
        <w:tc>
          <w:tcPr>
            <w:tcW w:w="1511" w:type="dxa"/>
            <w:tcBorders>
              <w:bottom w:val="single" w:sz="4" w:space="0" w:color="auto"/>
            </w:tcBorders>
          </w:tcPr>
          <w:p w14:paraId="23D28DBB" w14:textId="77777777" w:rsidR="00F75BA8" w:rsidRPr="00F75BA8" w:rsidRDefault="00F75BA8" w:rsidP="00F75BA8">
            <w:pPr>
              <w:rPr>
                <w:rFonts w:ascii="Times New Roman" w:eastAsia="Calibri" w:hAnsi="Times New Roman" w:cs="Times New Roman"/>
                <w:bCs/>
                <w:sz w:val="20"/>
                <w:szCs w:val="20"/>
                <w:lang w:val="en-AU"/>
              </w:rPr>
            </w:pPr>
            <w:r w:rsidRPr="00F75BA8">
              <w:rPr>
                <w:rFonts w:ascii="Times New Roman" w:eastAsia="Calibri" w:hAnsi="Times New Roman" w:cs="Times New Roman"/>
                <w:bCs/>
                <w:sz w:val="20"/>
                <w:szCs w:val="20"/>
                <w:lang w:val="en-AU"/>
              </w:rPr>
              <w:t>70–74</w:t>
            </w:r>
          </w:p>
        </w:tc>
        <w:tc>
          <w:tcPr>
            <w:tcW w:w="3167" w:type="dxa"/>
            <w:tcBorders>
              <w:bottom w:val="single" w:sz="4" w:space="0" w:color="auto"/>
            </w:tcBorders>
          </w:tcPr>
          <w:p w14:paraId="5F940E95" w14:textId="77777777" w:rsidR="00F75BA8" w:rsidRPr="00F75BA8" w:rsidRDefault="00F75BA8" w:rsidP="00F75BA8">
            <w:pPr>
              <w:rPr>
                <w:rFonts w:ascii="Times New Roman" w:eastAsia="Calibri" w:hAnsi="Times New Roman" w:cs="Times New Roman"/>
                <w:bCs/>
                <w:sz w:val="20"/>
                <w:szCs w:val="20"/>
                <w:lang w:val="en-AU"/>
              </w:rPr>
            </w:pPr>
            <w:r w:rsidRPr="00F75BA8">
              <w:rPr>
                <w:rFonts w:ascii="Times New Roman" w:eastAsia="Calibri" w:hAnsi="Times New Roman" w:cs="Times New Roman"/>
                <w:bCs/>
                <w:sz w:val="20"/>
                <w:szCs w:val="20"/>
                <w:lang w:val="en-AU"/>
              </w:rPr>
              <w:t>32.0</w:t>
            </w:r>
          </w:p>
        </w:tc>
        <w:tc>
          <w:tcPr>
            <w:tcW w:w="2792" w:type="dxa"/>
            <w:tcBorders>
              <w:bottom w:val="single" w:sz="4" w:space="0" w:color="auto"/>
            </w:tcBorders>
          </w:tcPr>
          <w:p w14:paraId="4E004730" w14:textId="77777777" w:rsidR="00F75BA8" w:rsidRPr="00F75BA8" w:rsidRDefault="00F75BA8" w:rsidP="00F75BA8">
            <w:pPr>
              <w:rPr>
                <w:rFonts w:ascii="Times New Roman" w:eastAsia="Calibri" w:hAnsi="Times New Roman" w:cs="Times New Roman"/>
                <w:bCs/>
                <w:sz w:val="20"/>
                <w:szCs w:val="20"/>
                <w:lang w:val="en-AU"/>
              </w:rPr>
            </w:pPr>
            <w:r w:rsidRPr="00F75BA8">
              <w:rPr>
                <w:rFonts w:ascii="Times New Roman" w:eastAsia="Calibri" w:hAnsi="Times New Roman" w:cs="Times New Roman"/>
                <w:bCs/>
                <w:sz w:val="20"/>
                <w:szCs w:val="20"/>
                <w:lang w:val="en-AU"/>
              </w:rPr>
              <w:t>35.2</w:t>
            </w:r>
          </w:p>
        </w:tc>
      </w:tr>
    </w:tbl>
    <w:p w14:paraId="6D509610" w14:textId="6106EE55" w:rsidR="003D6452" w:rsidRDefault="003D6452"/>
    <w:p w14:paraId="61F21076" w14:textId="77777777" w:rsidR="003D6452" w:rsidRDefault="003D6452">
      <w:r>
        <w:br w:type="page"/>
      </w:r>
    </w:p>
    <w:p w14:paraId="75DE7E6C" w14:textId="2724D8B9" w:rsidR="00707A91" w:rsidRPr="006B24F4" w:rsidRDefault="00707A91">
      <w:pPr>
        <w:rPr>
          <w:rFonts w:ascii="Times New Roman" w:hAnsi="Times New Roman" w:cs="Times New Roman"/>
          <w:b/>
          <w:bCs/>
          <w:sz w:val="28"/>
          <w:szCs w:val="28"/>
        </w:rPr>
      </w:pPr>
      <w:r w:rsidRPr="006B24F4">
        <w:rPr>
          <w:rFonts w:ascii="Times New Roman" w:hAnsi="Times New Roman" w:cs="Times New Roman"/>
          <w:b/>
          <w:bCs/>
          <w:sz w:val="28"/>
          <w:szCs w:val="28"/>
        </w:rPr>
        <w:lastRenderedPageBreak/>
        <w:t>Supplementary File 1C</w:t>
      </w:r>
    </w:p>
    <w:p w14:paraId="2E685F5B" w14:textId="6DD8EE6B" w:rsidR="003D6452" w:rsidRPr="003D6452" w:rsidRDefault="003D6452" w:rsidP="003D6452">
      <w:pPr>
        <w:keepNext/>
        <w:spacing w:after="200" w:line="240" w:lineRule="auto"/>
        <w:rPr>
          <w:rFonts w:ascii="Times New Roman" w:hAnsi="Times New Roman" w:cs="Times New Roman"/>
          <w:b/>
          <w:bCs/>
          <w:color w:val="000000" w:themeColor="text1"/>
          <w:sz w:val="20"/>
          <w:szCs w:val="20"/>
          <w:lang w:val="en-AU"/>
        </w:rPr>
      </w:pPr>
      <w:r w:rsidRPr="003D6452">
        <w:rPr>
          <w:rFonts w:ascii="Times New Roman" w:hAnsi="Times New Roman" w:cs="Times New Roman"/>
          <w:b/>
          <w:bCs/>
          <w:color w:val="000000" w:themeColor="text1"/>
          <w:sz w:val="20"/>
          <w:szCs w:val="20"/>
          <w:lang w:val="en-AU"/>
        </w:rPr>
        <w:t>Routine and follow-up attendance assumptions for counterfactual (no-disruption) and disruption scenarios to the NCSP.</w:t>
      </w:r>
    </w:p>
    <w:tbl>
      <w:tblPr>
        <w:tblStyle w:val="TableGrid"/>
        <w:tblW w:w="9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1620"/>
        <w:gridCol w:w="2910"/>
        <w:gridCol w:w="4630"/>
      </w:tblGrid>
      <w:tr w:rsidR="003D6452" w:rsidRPr="003D6452" w14:paraId="5ADED82E" w14:textId="77777777" w:rsidTr="003F1754">
        <w:tc>
          <w:tcPr>
            <w:tcW w:w="1620" w:type="dxa"/>
            <w:tcBorders>
              <w:top w:val="single" w:sz="4" w:space="0" w:color="auto"/>
              <w:bottom w:val="single" w:sz="4" w:space="0" w:color="auto"/>
            </w:tcBorders>
          </w:tcPr>
          <w:p w14:paraId="751EF900" w14:textId="77777777" w:rsidR="003D6452" w:rsidRPr="003D6452" w:rsidRDefault="003D6452" w:rsidP="003D6452">
            <w:pPr>
              <w:rPr>
                <w:rFonts w:ascii="Times New Roman" w:hAnsi="Times New Roman" w:cs="Times New Roman"/>
                <w:b/>
                <w:bCs/>
                <w:sz w:val="20"/>
                <w:szCs w:val="20"/>
                <w:lang w:val="en-AU"/>
              </w:rPr>
            </w:pPr>
            <w:r w:rsidRPr="003D6452">
              <w:rPr>
                <w:rFonts w:ascii="Times New Roman" w:hAnsi="Times New Roman" w:cs="Times New Roman"/>
                <w:b/>
                <w:bCs/>
                <w:sz w:val="20"/>
                <w:szCs w:val="20"/>
                <w:lang w:val="en-AU"/>
              </w:rPr>
              <w:t>Scenario</w:t>
            </w:r>
          </w:p>
        </w:tc>
        <w:tc>
          <w:tcPr>
            <w:tcW w:w="2910" w:type="dxa"/>
            <w:tcBorders>
              <w:top w:val="single" w:sz="4" w:space="0" w:color="auto"/>
              <w:bottom w:val="single" w:sz="4" w:space="0" w:color="auto"/>
            </w:tcBorders>
          </w:tcPr>
          <w:p w14:paraId="40437820" w14:textId="77777777" w:rsidR="003D6452" w:rsidRPr="003D6452" w:rsidRDefault="003D6452" w:rsidP="003D6452">
            <w:pPr>
              <w:rPr>
                <w:rFonts w:ascii="Times New Roman" w:hAnsi="Times New Roman" w:cs="Times New Roman"/>
                <w:b/>
                <w:bCs/>
                <w:sz w:val="20"/>
                <w:szCs w:val="20"/>
                <w:vertAlign w:val="superscript"/>
                <w:lang w:val="en-AU"/>
              </w:rPr>
            </w:pPr>
            <w:r w:rsidRPr="003D6452">
              <w:rPr>
                <w:rFonts w:ascii="Times New Roman" w:hAnsi="Times New Roman" w:cs="Times New Roman"/>
                <w:b/>
                <w:bCs/>
                <w:sz w:val="20"/>
                <w:szCs w:val="20"/>
                <w:lang w:val="en-AU"/>
              </w:rPr>
              <w:t xml:space="preserve">Routine screening attendance assumptions </w:t>
            </w:r>
            <w:r w:rsidRPr="003D6452">
              <w:rPr>
                <w:rFonts w:ascii="Times New Roman" w:hAnsi="Times New Roman" w:cs="Times New Roman"/>
                <w:b/>
                <w:bCs/>
                <w:sz w:val="20"/>
                <w:szCs w:val="20"/>
                <w:vertAlign w:val="superscript"/>
                <w:lang w:val="en-AU"/>
              </w:rPr>
              <w:t>a</w:t>
            </w:r>
          </w:p>
        </w:tc>
        <w:tc>
          <w:tcPr>
            <w:tcW w:w="4630" w:type="dxa"/>
            <w:tcBorders>
              <w:top w:val="single" w:sz="4" w:space="0" w:color="auto"/>
              <w:bottom w:val="single" w:sz="4" w:space="0" w:color="auto"/>
            </w:tcBorders>
          </w:tcPr>
          <w:p w14:paraId="776438AA" w14:textId="77777777" w:rsidR="003D6452" w:rsidRPr="003D6452" w:rsidRDefault="003D6452" w:rsidP="003D6452">
            <w:pPr>
              <w:rPr>
                <w:rFonts w:ascii="Times New Roman" w:hAnsi="Times New Roman" w:cs="Times New Roman"/>
                <w:b/>
                <w:bCs/>
                <w:sz w:val="20"/>
                <w:szCs w:val="20"/>
                <w:lang w:val="en-AU"/>
              </w:rPr>
            </w:pPr>
            <w:r w:rsidRPr="003D6452">
              <w:rPr>
                <w:rFonts w:ascii="Times New Roman" w:hAnsi="Times New Roman" w:cs="Times New Roman"/>
                <w:b/>
                <w:bCs/>
                <w:sz w:val="20"/>
                <w:szCs w:val="20"/>
                <w:lang w:val="en-AU"/>
              </w:rPr>
              <w:t xml:space="preserve">Follow-up attendance assumptions </w:t>
            </w:r>
            <w:r w:rsidRPr="003D6452">
              <w:rPr>
                <w:rFonts w:ascii="Times New Roman" w:hAnsi="Times New Roman" w:cs="Times New Roman"/>
                <w:b/>
                <w:bCs/>
                <w:sz w:val="20"/>
                <w:szCs w:val="20"/>
                <w:vertAlign w:val="superscript"/>
                <w:lang w:val="en-AU"/>
              </w:rPr>
              <w:t>b</w:t>
            </w:r>
          </w:p>
        </w:tc>
      </w:tr>
      <w:tr w:rsidR="003D6452" w:rsidRPr="003D6452" w14:paraId="6D362690" w14:textId="77777777" w:rsidTr="003F1754">
        <w:tc>
          <w:tcPr>
            <w:tcW w:w="1620" w:type="dxa"/>
            <w:tcBorders>
              <w:top w:val="single" w:sz="4" w:space="0" w:color="auto"/>
              <w:bottom w:val="single" w:sz="4" w:space="0" w:color="auto"/>
            </w:tcBorders>
          </w:tcPr>
          <w:p w14:paraId="32183175" w14:textId="77777777" w:rsidR="003D6452" w:rsidRPr="003D6452" w:rsidRDefault="003D6452" w:rsidP="003D6452">
            <w:pPr>
              <w:rPr>
                <w:rFonts w:ascii="Times New Roman" w:hAnsi="Times New Roman" w:cs="Times New Roman"/>
                <w:sz w:val="20"/>
                <w:szCs w:val="20"/>
                <w:lang w:val="en-AU"/>
              </w:rPr>
            </w:pPr>
            <w:r w:rsidRPr="003D6452">
              <w:rPr>
                <w:rFonts w:ascii="Times New Roman" w:hAnsi="Times New Roman" w:cs="Times New Roman"/>
                <w:sz w:val="20"/>
                <w:szCs w:val="20"/>
                <w:lang w:val="en-AU"/>
              </w:rPr>
              <w:t>Status quo – no disruption</w:t>
            </w:r>
          </w:p>
        </w:tc>
        <w:tc>
          <w:tcPr>
            <w:tcW w:w="2910" w:type="dxa"/>
            <w:tcBorders>
              <w:top w:val="single" w:sz="4" w:space="0" w:color="auto"/>
              <w:bottom w:val="single" w:sz="4" w:space="0" w:color="auto"/>
            </w:tcBorders>
          </w:tcPr>
          <w:p w14:paraId="652E19B0" w14:textId="77777777" w:rsidR="003D6452" w:rsidRPr="003D6452" w:rsidRDefault="003D6452" w:rsidP="003D6452">
            <w:pPr>
              <w:rPr>
                <w:rFonts w:ascii="Times New Roman" w:hAnsi="Times New Roman" w:cs="Times New Roman"/>
                <w:sz w:val="20"/>
                <w:szCs w:val="20"/>
                <w:lang w:val="en-AU"/>
              </w:rPr>
            </w:pPr>
            <w:r w:rsidRPr="003D6452">
              <w:rPr>
                <w:rFonts w:ascii="Times New Roman" w:hAnsi="Times New Roman" w:cs="Times New Roman"/>
                <w:sz w:val="20"/>
                <w:szCs w:val="20"/>
                <w:lang w:val="en-AU"/>
              </w:rPr>
              <w:t xml:space="preserve">No disruption to routine attendance in 2020.  </w:t>
            </w:r>
          </w:p>
        </w:tc>
        <w:tc>
          <w:tcPr>
            <w:tcW w:w="4630" w:type="dxa"/>
            <w:tcBorders>
              <w:top w:val="single" w:sz="4" w:space="0" w:color="auto"/>
              <w:bottom w:val="single" w:sz="4" w:space="0" w:color="auto"/>
            </w:tcBorders>
          </w:tcPr>
          <w:p w14:paraId="349C5A04" w14:textId="77777777" w:rsidR="003D6452" w:rsidRPr="003D6452" w:rsidRDefault="003D6452" w:rsidP="003D6452">
            <w:pPr>
              <w:rPr>
                <w:rFonts w:ascii="Times New Roman" w:hAnsi="Times New Roman" w:cs="Times New Roman"/>
                <w:sz w:val="20"/>
                <w:szCs w:val="20"/>
                <w:lang w:val="en-AU"/>
              </w:rPr>
            </w:pPr>
            <w:r w:rsidRPr="003D6452">
              <w:rPr>
                <w:rFonts w:ascii="Times New Roman" w:hAnsi="Times New Roman" w:cs="Times New Roman"/>
                <w:sz w:val="20"/>
                <w:szCs w:val="20"/>
                <w:lang w:val="en-AU"/>
              </w:rPr>
              <w:t>No disruption to follow-up in 2020.</w:t>
            </w:r>
          </w:p>
        </w:tc>
      </w:tr>
      <w:tr w:rsidR="003D6452" w:rsidRPr="003D6452" w14:paraId="485EA517" w14:textId="77777777" w:rsidTr="003F1754">
        <w:tc>
          <w:tcPr>
            <w:tcW w:w="1620" w:type="dxa"/>
            <w:tcBorders>
              <w:top w:val="single" w:sz="4" w:space="0" w:color="auto"/>
              <w:bottom w:val="single" w:sz="4" w:space="0" w:color="auto"/>
            </w:tcBorders>
          </w:tcPr>
          <w:p w14:paraId="51725DB8" w14:textId="77777777" w:rsidR="003D6452" w:rsidRPr="003D6452" w:rsidRDefault="003D6452" w:rsidP="003D6452">
            <w:pPr>
              <w:rPr>
                <w:rFonts w:ascii="Times New Roman" w:hAnsi="Times New Roman" w:cs="Times New Roman"/>
                <w:sz w:val="20"/>
                <w:szCs w:val="20"/>
                <w:lang w:val="en-AU"/>
              </w:rPr>
            </w:pPr>
            <w:r w:rsidRPr="003D6452">
              <w:rPr>
                <w:rFonts w:ascii="Times New Roman" w:hAnsi="Times New Roman" w:cs="Times New Roman"/>
                <w:sz w:val="20"/>
                <w:szCs w:val="20"/>
                <w:lang w:val="en-AU"/>
              </w:rPr>
              <w:t>Disruption scenarios (see Table 1)</w:t>
            </w:r>
          </w:p>
        </w:tc>
        <w:tc>
          <w:tcPr>
            <w:tcW w:w="2910" w:type="dxa"/>
            <w:tcBorders>
              <w:top w:val="single" w:sz="4" w:space="0" w:color="auto"/>
              <w:bottom w:val="single" w:sz="4" w:space="0" w:color="auto"/>
            </w:tcBorders>
          </w:tcPr>
          <w:p w14:paraId="2B823BFA" w14:textId="77777777" w:rsidR="003D6452" w:rsidRPr="003D6452" w:rsidRDefault="003D6452" w:rsidP="003D6452">
            <w:pPr>
              <w:rPr>
                <w:rFonts w:ascii="Times New Roman" w:hAnsi="Times New Roman" w:cs="Times New Roman"/>
                <w:sz w:val="20"/>
                <w:szCs w:val="20"/>
                <w:lang w:val="en-AU"/>
              </w:rPr>
            </w:pPr>
            <w:r w:rsidRPr="003D6452">
              <w:rPr>
                <w:rFonts w:ascii="Times New Roman" w:hAnsi="Times New Roman" w:cs="Times New Roman"/>
                <w:sz w:val="20"/>
                <w:szCs w:val="20"/>
                <w:lang w:val="en-AU"/>
              </w:rPr>
              <w:t xml:space="preserve">Screening disruption reflected as a percent decrease in attendance across 2020 </w:t>
            </w:r>
            <w:r w:rsidRPr="003D6452">
              <w:rPr>
                <w:rFonts w:ascii="Times New Roman" w:hAnsi="Times New Roman" w:cs="Times New Roman"/>
                <w:sz w:val="20"/>
                <w:szCs w:val="20"/>
                <w:vertAlign w:val="superscript"/>
                <w:lang w:val="en-AU"/>
              </w:rPr>
              <w:t>c</w:t>
            </w:r>
            <w:r w:rsidRPr="003D6452">
              <w:rPr>
                <w:rFonts w:ascii="Times New Roman" w:hAnsi="Times New Roman" w:cs="Times New Roman"/>
                <w:sz w:val="20"/>
                <w:szCs w:val="20"/>
                <w:lang w:val="en-AU"/>
              </w:rPr>
              <w:t>.</w:t>
            </w:r>
          </w:p>
        </w:tc>
        <w:tc>
          <w:tcPr>
            <w:tcW w:w="4630" w:type="dxa"/>
            <w:tcBorders>
              <w:top w:val="single" w:sz="4" w:space="0" w:color="auto"/>
              <w:bottom w:val="single" w:sz="4" w:space="0" w:color="auto"/>
            </w:tcBorders>
          </w:tcPr>
          <w:p w14:paraId="3E43C162" w14:textId="77777777" w:rsidR="003D6452" w:rsidRPr="003D6452" w:rsidRDefault="003D6452" w:rsidP="003D6452">
            <w:pPr>
              <w:rPr>
                <w:rFonts w:ascii="Times New Roman" w:hAnsi="Times New Roman" w:cs="Times New Roman"/>
                <w:sz w:val="20"/>
                <w:szCs w:val="20"/>
                <w:lang w:val="en-AU"/>
              </w:rPr>
            </w:pPr>
            <w:r w:rsidRPr="003D6452">
              <w:rPr>
                <w:rFonts w:ascii="Times New Roman" w:hAnsi="Times New Roman" w:cs="Times New Roman"/>
                <w:sz w:val="20"/>
                <w:szCs w:val="20"/>
                <w:lang w:val="en-AU"/>
              </w:rPr>
              <w:t>Women who are HPV not 16/18 positive with LBC &lt;= LSIL receive 12-month follow-up. If this follow-up occurred in 2020, and they were still HPV not 16/18 positive with LBC &lt;= LSIL, they were recommended to return for further follow-up in an additional 12 months instead of being referred for colposcopy (under pre-COVID management). If at this third test they are still any HPV positive, they will be referred to colposcopy. Management of HPV negative, HPV 16/18 positive and HPV not 16/18 positive women with LBC &gt;= HSIL was unchanged. This change to the 2017 Guidelines (40) was assumed to be temporary and in place for the period of COVID-19 disruption only.</w:t>
            </w:r>
          </w:p>
        </w:tc>
      </w:tr>
    </w:tbl>
    <w:p w14:paraId="7878C95D" w14:textId="77777777" w:rsidR="003D6452" w:rsidRDefault="003D6452" w:rsidP="003D6452">
      <w:pPr>
        <w:spacing w:after="120" w:line="240" w:lineRule="auto"/>
        <w:rPr>
          <w:rFonts w:ascii="Times New Roman" w:hAnsi="Times New Roman" w:cs="Times New Roman"/>
          <w:sz w:val="18"/>
          <w:szCs w:val="18"/>
          <w:vertAlign w:val="superscript"/>
          <w:lang w:val="en-AU"/>
        </w:rPr>
      </w:pPr>
    </w:p>
    <w:p w14:paraId="71F0510C" w14:textId="1A66E556" w:rsidR="003D6452" w:rsidRPr="003D6452" w:rsidRDefault="003D6452" w:rsidP="003D6452">
      <w:pPr>
        <w:spacing w:after="120" w:line="240" w:lineRule="auto"/>
        <w:rPr>
          <w:rFonts w:ascii="Arial" w:hAnsi="Arial" w:cs="Arial"/>
          <w:lang w:val="en-AU"/>
        </w:rPr>
      </w:pPr>
      <w:r w:rsidRPr="003D6452">
        <w:rPr>
          <w:rFonts w:ascii="Times New Roman" w:hAnsi="Times New Roman" w:cs="Times New Roman"/>
          <w:sz w:val="18"/>
          <w:szCs w:val="18"/>
          <w:vertAlign w:val="superscript"/>
          <w:lang w:val="en-AU"/>
        </w:rPr>
        <w:t>a</w:t>
      </w:r>
      <w:r w:rsidRPr="003D6452">
        <w:rPr>
          <w:rFonts w:ascii="Times New Roman" w:hAnsi="Times New Roman" w:cs="Times New Roman"/>
          <w:color w:val="000000" w:themeColor="text1"/>
          <w:sz w:val="18"/>
          <w:szCs w:val="18"/>
          <w:lang w:val="en-AU"/>
        </w:rPr>
        <w:t xml:space="preserve"> Majority of routine screening attenders previously screened with cytology 2+ years prior, with 38.4-64.8% of eligible women failing to attend for their first HPV test (NCSR data; see Data sources www.policy1.org/models/cervix). Re-attendance after 2+ years reflects pre-renewed NCSP data indicating that women are likely to re-attend by 3-5 years</w:t>
      </w:r>
      <w:r w:rsidRPr="003D6452">
        <w:rPr>
          <w:rFonts w:ascii="Times New Roman" w:hAnsi="Times New Roman" w:cs="Times New Roman"/>
          <w:sz w:val="18"/>
          <w:szCs w:val="18"/>
          <w:lang w:val="en-AU"/>
        </w:rPr>
        <w:t xml:space="preserve">. </w:t>
      </w:r>
      <w:r w:rsidRPr="003D6452">
        <w:rPr>
          <w:rFonts w:ascii="Times New Roman" w:hAnsi="Times New Roman" w:cs="Times New Roman"/>
          <w:sz w:val="18"/>
          <w:szCs w:val="18"/>
          <w:vertAlign w:val="superscript"/>
          <w:lang w:val="en-AU"/>
        </w:rPr>
        <w:t xml:space="preserve">b </w:t>
      </w:r>
      <w:r w:rsidRPr="003D6452">
        <w:rPr>
          <w:rFonts w:ascii="Times New Roman" w:hAnsi="Times New Roman" w:cs="Times New Roman"/>
          <w:sz w:val="18"/>
          <w:szCs w:val="18"/>
          <w:lang w:val="en-AU"/>
        </w:rPr>
        <w:t xml:space="preserve">No changes in follow-up management or attendance are assumed for women already under follow-up management.  </w:t>
      </w:r>
      <w:r w:rsidRPr="003D6452">
        <w:rPr>
          <w:rFonts w:ascii="Times New Roman" w:hAnsi="Times New Roman" w:cs="Times New Roman"/>
          <w:sz w:val="18"/>
          <w:szCs w:val="18"/>
          <w:vertAlign w:val="superscript"/>
          <w:lang w:val="en-AU"/>
        </w:rPr>
        <w:t xml:space="preserve">c </w:t>
      </w:r>
      <w:r w:rsidRPr="003D6452">
        <w:rPr>
          <w:rFonts w:ascii="Times New Roman" w:hAnsi="Times New Roman" w:cs="Times New Roman"/>
          <w:sz w:val="18"/>
          <w:szCs w:val="18"/>
          <w:lang w:val="en-AU"/>
        </w:rPr>
        <w:t>As the disruption in practise occurred from ~late March 2020, rather than at the beginning of the year, model predictions for 2020 correspond to approximately late March 2020 – late March 2021, and so on for later years.</w:t>
      </w:r>
      <w:r w:rsidRPr="003D6452">
        <w:rPr>
          <w:rFonts w:ascii="Arial" w:hAnsi="Arial" w:cs="Arial"/>
          <w:lang w:val="en-AU"/>
        </w:rPr>
        <w:t xml:space="preserve"> </w:t>
      </w:r>
    </w:p>
    <w:p w14:paraId="7E903F39" w14:textId="1035AACB" w:rsidR="00707A91" w:rsidRPr="006B24F4" w:rsidRDefault="003874EA">
      <w:pPr>
        <w:rPr>
          <w:rFonts w:ascii="Times New Roman" w:hAnsi="Times New Roman" w:cs="Times New Roman"/>
        </w:rPr>
      </w:pPr>
      <w:r>
        <w:br w:type="page"/>
      </w:r>
      <w:r w:rsidR="00707A91" w:rsidRPr="006B24F4">
        <w:rPr>
          <w:rFonts w:ascii="Times New Roman" w:hAnsi="Times New Roman" w:cs="Times New Roman"/>
          <w:b/>
          <w:bCs/>
          <w:sz w:val="28"/>
          <w:szCs w:val="28"/>
        </w:rPr>
        <w:lastRenderedPageBreak/>
        <w:t>Supplementary File 1D</w:t>
      </w:r>
    </w:p>
    <w:p w14:paraId="099AC93E" w14:textId="3A8F6BEC" w:rsidR="006A699C" w:rsidRPr="006A699C" w:rsidRDefault="006A699C" w:rsidP="006A699C">
      <w:pPr>
        <w:spacing w:after="200" w:line="240" w:lineRule="auto"/>
        <w:rPr>
          <w:rFonts w:ascii="Times New Roman" w:hAnsi="Times New Roman" w:cs="Times New Roman"/>
          <w:b/>
          <w:bCs/>
          <w:color w:val="000000" w:themeColor="text1"/>
          <w:sz w:val="20"/>
          <w:szCs w:val="20"/>
          <w:lang w:val="en-AU"/>
        </w:rPr>
      </w:pPr>
      <w:r w:rsidRPr="006A699C">
        <w:rPr>
          <w:rFonts w:ascii="Times New Roman" w:hAnsi="Times New Roman" w:cs="Times New Roman"/>
          <w:b/>
          <w:bCs/>
          <w:color w:val="000000" w:themeColor="text1"/>
          <w:sz w:val="20"/>
          <w:szCs w:val="20"/>
          <w:lang w:val="en-AU"/>
        </w:rPr>
        <w:t>Selected estimated outcomes by two-year calendar period (2020-2021), 2021-2022 and 2022-2023 assuming a 12-month disruption, for women aged 50-74. Proportional changes compared to status quo are shown in brackets. For all scenarios, screening is assumed to resume gradually after the pause to services, reaching status quo rates by the seventh month after resumption.</w:t>
      </w:r>
    </w:p>
    <w:tbl>
      <w:tblPr>
        <w:tblStyle w:val="TableGrid3"/>
        <w:tblW w:w="920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0"/>
        <w:gridCol w:w="1035"/>
        <w:gridCol w:w="1035"/>
        <w:gridCol w:w="1035"/>
        <w:gridCol w:w="1332"/>
        <w:gridCol w:w="1276"/>
        <w:gridCol w:w="1275"/>
      </w:tblGrid>
      <w:tr w:rsidR="006A699C" w:rsidRPr="006A699C" w14:paraId="5CF9D607" w14:textId="77777777" w:rsidTr="003F1754">
        <w:trPr>
          <w:trHeight w:val="288"/>
          <w:jc w:val="center"/>
        </w:trPr>
        <w:tc>
          <w:tcPr>
            <w:tcW w:w="2220" w:type="dxa"/>
            <w:vMerge w:val="restart"/>
            <w:tcBorders>
              <w:top w:val="single" w:sz="4" w:space="0" w:color="auto"/>
            </w:tcBorders>
            <w:vAlign w:val="center"/>
          </w:tcPr>
          <w:p w14:paraId="12270733" w14:textId="77777777" w:rsidR="006A699C" w:rsidRPr="006A699C" w:rsidRDefault="006A699C" w:rsidP="006A699C">
            <w:pPr>
              <w:rPr>
                <w:rFonts w:ascii="Times New Roman" w:eastAsia="Calibri" w:hAnsi="Times New Roman" w:cs="Times New Roman"/>
                <w:b/>
                <w:bCs/>
                <w:sz w:val="20"/>
                <w:szCs w:val="20"/>
                <w:lang w:val="en-AU"/>
              </w:rPr>
            </w:pPr>
            <w:r w:rsidRPr="006A699C">
              <w:rPr>
                <w:rFonts w:ascii="Times New Roman" w:eastAsia="Calibri" w:hAnsi="Times New Roman" w:cs="Times New Roman"/>
                <w:b/>
                <w:bCs/>
                <w:sz w:val="20"/>
                <w:szCs w:val="20"/>
                <w:lang w:val="en-AU"/>
              </w:rPr>
              <w:t>Outcome</w:t>
            </w:r>
          </w:p>
        </w:tc>
        <w:tc>
          <w:tcPr>
            <w:tcW w:w="3105" w:type="dxa"/>
            <w:gridSpan w:val="3"/>
            <w:tcBorders>
              <w:top w:val="single" w:sz="4" w:space="0" w:color="auto"/>
              <w:right w:val="single" w:sz="4" w:space="0" w:color="auto"/>
            </w:tcBorders>
            <w:vAlign w:val="center"/>
          </w:tcPr>
          <w:p w14:paraId="7E4BE16D" w14:textId="77777777" w:rsidR="006A699C" w:rsidRPr="006A699C" w:rsidRDefault="006A699C" w:rsidP="006A699C">
            <w:pPr>
              <w:jc w:val="center"/>
              <w:rPr>
                <w:rFonts w:ascii="Times New Roman" w:eastAsia="Calibri" w:hAnsi="Times New Roman" w:cs="Times New Roman"/>
                <w:b/>
                <w:bCs/>
                <w:sz w:val="20"/>
                <w:szCs w:val="20"/>
                <w:lang w:val="en-AU"/>
              </w:rPr>
            </w:pPr>
            <w:r w:rsidRPr="006A699C">
              <w:rPr>
                <w:rFonts w:ascii="Times New Roman" w:eastAsia="Calibri" w:hAnsi="Times New Roman" w:cs="Times New Roman"/>
                <w:b/>
                <w:bCs/>
                <w:sz w:val="20"/>
                <w:szCs w:val="20"/>
                <w:lang w:val="en-AU"/>
              </w:rPr>
              <w:t>Status quo</w:t>
            </w:r>
          </w:p>
        </w:tc>
        <w:tc>
          <w:tcPr>
            <w:tcW w:w="3883" w:type="dxa"/>
            <w:gridSpan w:val="3"/>
            <w:tcBorders>
              <w:top w:val="single" w:sz="4" w:space="0" w:color="auto"/>
              <w:left w:val="single" w:sz="4" w:space="0" w:color="auto"/>
            </w:tcBorders>
            <w:vAlign w:val="center"/>
          </w:tcPr>
          <w:p w14:paraId="401411C0" w14:textId="77777777" w:rsidR="006A699C" w:rsidRPr="006A699C" w:rsidRDefault="006A699C" w:rsidP="006A699C">
            <w:pPr>
              <w:jc w:val="center"/>
              <w:rPr>
                <w:rFonts w:ascii="Times New Roman" w:eastAsia="Calibri" w:hAnsi="Times New Roman" w:cs="Times New Roman"/>
                <w:b/>
                <w:bCs/>
                <w:sz w:val="20"/>
                <w:szCs w:val="20"/>
                <w:lang w:val="en-AU"/>
              </w:rPr>
            </w:pPr>
            <w:r w:rsidRPr="006A699C">
              <w:rPr>
                <w:rFonts w:ascii="Times New Roman" w:eastAsia="Calibri" w:hAnsi="Times New Roman" w:cs="Times New Roman"/>
                <w:b/>
                <w:bCs/>
                <w:sz w:val="20"/>
                <w:szCs w:val="20"/>
                <w:lang w:val="en-AU"/>
              </w:rPr>
              <w:t>12-month pause</w:t>
            </w:r>
          </w:p>
        </w:tc>
      </w:tr>
      <w:tr w:rsidR="006A699C" w:rsidRPr="006A699C" w14:paraId="5B6234E5" w14:textId="77777777" w:rsidTr="003F1754">
        <w:trPr>
          <w:trHeight w:val="288"/>
          <w:jc w:val="center"/>
        </w:trPr>
        <w:tc>
          <w:tcPr>
            <w:tcW w:w="2220" w:type="dxa"/>
            <w:vMerge/>
            <w:tcBorders>
              <w:bottom w:val="single" w:sz="4" w:space="0" w:color="auto"/>
            </w:tcBorders>
            <w:vAlign w:val="center"/>
            <w:hideMark/>
          </w:tcPr>
          <w:p w14:paraId="7794BE3B" w14:textId="77777777" w:rsidR="006A699C" w:rsidRPr="006A699C" w:rsidRDefault="006A699C" w:rsidP="006A699C">
            <w:pPr>
              <w:rPr>
                <w:rFonts w:ascii="Times New Roman" w:eastAsia="Calibri" w:hAnsi="Times New Roman" w:cs="Times New Roman"/>
                <w:b/>
                <w:bCs/>
                <w:sz w:val="20"/>
                <w:szCs w:val="20"/>
                <w:lang w:val="en-AU"/>
              </w:rPr>
            </w:pPr>
          </w:p>
        </w:tc>
        <w:tc>
          <w:tcPr>
            <w:tcW w:w="1035" w:type="dxa"/>
            <w:tcBorders>
              <w:bottom w:val="single" w:sz="4" w:space="0" w:color="auto"/>
            </w:tcBorders>
            <w:vAlign w:val="center"/>
          </w:tcPr>
          <w:p w14:paraId="2052C8A9" w14:textId="77777777" w:rsidR="006A699C" w:rsidRPr="006A699C" w:rsidRDefault="006A699C" w:rsidP="006A699C">
            <w:pPr>
              <w:jc w:val="center"/>
              <w:rPr>
                <w:rFonts w:ascii="Times New Roman" w:eastAsia="Calibri" w:hAnsi="Times New Roman" w:cs="Times New Roman"/>
                <w:b/>
                <w:bCs/>
                <w:sz w:val="20"/>
                <w:szCs w:val="20"/>
                <w:lang w:val="en-AU"/>
              </w:rPr>
            </w:pPr>
            <w:r w:rsidRPr="006A699C">
              <w:rPr>
                <w:rFonts w:ascii="Times New Roman" w:eastAsia="Calibri" w:hAnsi="Times New Roman" w:cs="Times New Roman"/>
                <w:b/>
                <w:bCs/>
                <w:sz w:val="20"/>
                <w:szCs w:val="20"/>
                <w:lang w:val="en-AU"/>
              </w:rPr>
              <w:t>2020-2021</w:t>
            </w:r>
          </w:p>
        </w:tc>
        <w:tc>
          <w:tcPr>
            <w:tcW w:w="1035" w:type="dxa"/>
            <w:tcBorders>
              <w:bottom w:val="single" w:sz="4" w:space="0" w:color="auto"/>
            </w:tcBorders>
            <w:vAlign w:val="center"/>
          </w:tcPr>
          <w:p w14:paraId="22E8AC2D" w14:textId="77777777" w:rsidR="006A699C" w:rsidRPr="006A699C" w:rsidRDefault="006A699C" w:rsidP="006A699C">
            <w:pPr>
              <w:jc w:val="center"/>
              <w:rPr>
                <w:rFonts w:ascii="Times New Roman" w:eastAsia="Calibri" w:hAnsi="Times New Roman" w:cs="Times New Roman"/>
                <w:b/>
                <w:bCs/>
                <w:sz w:val="20"/>
                <w:szCs w:val="20"/>
                <w:lang w:val="en-AU"/>
              </w:rPr>
            </w:pPr>
            <w:r w:rsidRPr="006A699C">
              <w:rPr>
                <w:rFonts w:ascii="Times New Roman" w:eastAsia="Calibri" w:hAnsi="Times New Roman" w:cs="Times New Roman"/>
                <w:b/>
                <w:bCs/>
                <w:sz w:val="20"/>
                <w:szCs w:val="20"/>
                <w:lang w:val="en-AU"/>
              </w:rPr>
              <w:t>2021-2022</w:t>
            </w:r>
          </w:p>
        </w:tc>
        <w:tc>
          <w:tcPr>
            <w:tcW w:w="1035" w:type="dxa"/>
            <w:tcBorders>
              <w:bottom w:val="single" w:sz="4" w:space="0" w:color="auto"/>
              <w:right w:val="single" w:sz="4" w:space="0" w:color="auto"/>
            </w:tcBorders>
            <w:vAlign w:val="center"/>
            <w:hideMark/>
          </w:tcPr>
          <w:p w14:paraId="5321F757" w14:textId="77777777" w:rsidR="006A699C" w:rsidRPr="006A699C" w:rsidRDefault="006A699C" w:rsidP="006A699C">
            <w:pPr>
              <w:jc w:val="center"/>
              <w:rPr>
                <w:rFonts w:ascii="Times New Roman" w:eastAsia="Calibri" w:hAnsi="Times New Roman" w:cs="Times New Roman"/>
                <w:b/>
                <w:bCs/>
                <w:sz w:val="20"/>
                <w:szCs w:val="20"/>
                <w:lang w:val="en-AU"/>
              </w:rPr>
            </w:pPr>
            <w:r w:rsidRPr="006A699C">
              <w:rPr>
                <w:rFonts w:ascii="Times New Roman" w:eastAsia="Calibri" w:hAnsi="Times New Roman" w:cs="Times New Roman"/>
                <w:b/>
                <w:bCs/>
                <w:sz w:val="20"/>
                <w:szCs w:val="20"/>
                <w:lang w:val="en-AU"/>
              </w:rPr>
              <w:t>2022-2023</w:t>
            </w:r>
          </w:p>
        </w:tc>
        <w:tc>
          <w:tcPr>
            <w:tcW w:w="1332" w:type="dxa"/>
            <w:tcBorders>
              <w:left w:val="single" w:sz="4" w:space="0" w:color="auto"/>
              <w:bottom w:val="single" w:sz="4" w:space="0" w:color="auto"/>
            </w:tcBorders>
            <w:vAlign w:val="center"/>
            <w:hideMark/>
          </w:tcPr>
          <w:p w14:paraId="591A98E6" w14:textId="77777777" w:rsidR="006A699C" w:rsidRPr="006A699C" w:rsidRDefault="006A699C" w:rsidP="006A699C">
            <w:pPr>
              <w:jc w:val="center"/>
              <w:rPr>
                <w:rFonts w:ascii="Times New Roman" w:eastAsia="Calibri" w:hAnsi="Times New Roman" w:cs="Times New Roman"/>
                <w:b/>
                <w:bCs/>
                <w:sz w:val="20"/>
                <w:szCs w:val="20"/>
                <w:lang w:val="en-AU"/>
              </w:rPr>
            </w:pPr>
            <w:r w:rsidRPr="006A699C">
              <w:rPr>
                <w:rFonts w:ascii="Times New Roman" w:eastAsia="Calibri" w:hAnsi="Times New Roman" w:cs="Times New Roman"/>
                <w:b/>
                <w:bCs/>
                <w:sz w:val="20"/>
                <w:szCs w:val="20"/>
                <w:lang w:val="en-AU"/>
              </w:rPr>
              <w:t>2020-2021</w:t>
            </w:r>
          </w:p>
        </w:tc>
        <w:tc>
          <w:tcPr>
            <w:tcW w:w="1276" w:type="dxa"/>
            <w:tcBorders>
              <w:bottom w:val="single" w:sz="4" w:space="0" w:color="auto"/>
            </w:tcBorders>
            <w:vAlign w:val="center"/>
            <w:hideMark/>
          </w:tcPr>
          <w:p w14:paraId="6C6896A7" w14:textId="77777777" w:rsidR="006A699C" w:rsidRPr="006A699C" w:rsidRDefault="006A699C" w:rsidP="006A699C">
            <w:pPr>
              <w:jc w:val="center"/>
              <w:rPr>
                <w:rFonts w:ascii="Times New Roman" w:eastAsia="Calibri" w:hAnsi="Times New Roman" w:cs="Times New Roman"/>
                <w:b/>
                <w:bCs/>
                <w:sz w:val="20"/>
                <w:szCs w:val="20"/>
                <w:lang w:val="en-AU"/>
              </w:rPr>
            </w:pPr>
            <w:r w:rsidRPr="006A699C">
              <w:rPr>
                <w:rFonts w:ascii="Times New Roman" w:eastAsia="Calibri" w:hAnsi="Times New Roman" w:cs="Times New Roman"/>
                <w:b/>
                <w:bCs/>
                <w:sz w:val="20"/>
                <w:szCs w:val="20"/>
                <w:lang w:val="en-AU"/>
              </w:rPr>
              <w:t>2021-2022</w:t>
            </w:r>
          </w:p>
        </w:tc>
        <w:tc>
          <w:tcPr>
            <w:tcW w:w="1275" w:type="dxa"/>
            <w:tcBorders>
              <w:bottom w:val="single" w:sz="4" w:space="0" w:color="auto"/>
            </w:tcBorders>
            <w:vAlign w:val="center"/>
            <w:hideMark/>
          </w:tcPr>
          <w:p w14:paraId="0368827A" w14:textId="77777777" w:rsidR="006A699C" w:rsidRPr="006A699C" w:rsidRDefault="006A699C" w:rsidP="006A699C">
            <w:pPr>
              <w:jc w:val="center"/>
              <w:rPr>
                <w:rFonts w:ascii="Times New Roman" w:eastAsia="Calibri" w:hAnsi="Times New Roman" w:cs="Times New Roman"/>
                <w:b/>
                <w:bCs/>
                <w:sz w:val="20"/>
                <w:szCs w:val="20"/>
                <w:lang w:val="en-AU"/>
              </w:rPr>
            </w:pPr>
            <w:r w:rsidRPr="006A699C">
              <w:rPr>
                <w:rFonts w:ascii="Times New Roman" w:eastAsia="Calibri" w:hAnsi="Times New Roman" w:cs="Times New Roman"/>
                <w:b/>
                <w:bCs/>
                <w:sz w:val="20"/>
                <w:szCs w:val="20"/>
                <w:lang w:val="en-AU"/>
              </w:rPr>
              <w:t>2022-2023</w:t>
            </w:r>
          </w:p>
        </w:tc>
      </w:tr>
      <w:tr w:rsidR="006A699C" w:rsidRPr="006A699C" w14:paraId="07C3F427" w14:textId="77777777" w:rsidTr="003F1754">
        <w:trPr>
          <w:trHeight w:val="288"/>
          <w:jc w:val="center"/>
        </w:trPr>
        <w:tc>
          <w:tcPr>
            <w:tcW w:w="2220" w:type="dxa"/>
            <w:tcBorders>
              <w:top w:val="single" w:sz="4" w:space="0" w:color="auto"/>
            </w:tcBorders>
            <w:vAlign w:val="center"/>
          </w:tcPr>
          <w:p w14:paraId="61942655" w14:textId="77777777" w:rsidR="006A699C" w:rsidRPr="006A699C" w:rsidRDefault="006A699C" w:rsidP="006A699C">
            <w:pPr>
              <w:spacing w:before="60" w:after="60"/>
              <w:rPr>
                <w:rFonts w:ascii="Times New Roman" w:eastAsia="Calibri" w:hAnsi="Times New Roman" w:cs="Times New Roman"/>
                <w:sz w:val="20"/>
                <w:szCs w:val="20"/>
                <w:lang w:val="en-AU"/>
              </w:rPr>
            </w:pPr>
            <w:r w:rsidRPr="006A699C">
              <w:rPr>
                <w:rFonts w:ascii="Times New Roman" w:eastAsia="Calibri" w:hAnsi="Times New Roman" w:cs="Times New Roman"/>
                <w:sz w:val="20"/>
                <w:szCs w:val="20"/>
                <w:lang w:val="en-AU"/>
              </w:rPr>
              <w:t xml:space="preserve">Invasive breast cancers per 100,000 </w:t>
            </w:r>
            <w:proofErr w:type="spellStart"/>
            <w:r w:rsidRPr="006A699C">
              <w:rPr>
                <w:rFonts w:ascii="Times New Roman" w:eastAsia="Calibri" w:hAnsi="Times New Roman" w:cs="Times New Roman"/>
                <w:sz w:val="20"/>
                <w:szCs w:val="20"/>
                <w:lang w:val="en-AU"/>
              </w:rPr>
              <w:t>women</w:t>
            </w:r>
            <w:r w:rsidRPr="006A699C">
              <w:rPr>
                <w:rFonts w:ascii="Times New Roman" w:eastAsia="Calibri" w:hAnsi="Times New Roman" w:cs="Times New Roman"/>
                <w:sz w:val="20"/>
                <w:szCs w:val="20"/>
                <w:vertAlign w:val="superscript"/>
                <w:lang w:val="en-AU"/>
              </w:rPr>
              <w:t>a</w:t>
            </w:r>
            <w:proofErr w:type="spellEnd"/>
          </w:p>
        </w:tc>
        <w:tc>
          <w:tcPr>
            <w:tcW w:w="1035" w:type="dxa"/>
            <w:tcBorders>
              <w:top w:val="single" w:sz="4" w:space="0" w:color="auto"/>
            </w:tcBorders>
            <w:vAlign w:val="center"/>
          </w:tcPr>
          <w:p w14:paraId="0B8F6F5C" w14:textId="77777777" w:rsidR="006A699C" w:rsidRPr="006A699C" w:rsidRDefault="006A699C" w:rsidP="006A699C">
            <w:pPr>
              <w:spacing w:before="60" w:after="60"/>
              <w:jc w:val="center"/>
              <w:rPr>
                <w:rFonts w:ascii="Times New Roman" w:eastAsia="Calibri" w:hAnsi="Times New Roman" w:cs="Times New Roman"/>
                <w:sz w:val="20"/>
                <w:szCs w:val="20"/>
                <w:lang w:val="en-AU"/>
              </w:rPr>
            </w:pPr>
            <w:r w:rsidRPr="006A699C">
              <w:rPr>
                <w:rFonts w:ascii="Times New Roman" w:eastAsia="Calibri" w:hAnsi="Times New Roman" w:cs="Times New Roman"/>
                <w:sz w:val="20"/>
                <w:szCs w:val="20"/>
                <w:lang w:val="en-AU"/>
              </w:rPr>
              <w:t>298</w:t>
            </w:r>
          </w:p>
        </w:tc>
        <w:tc>
          <w:tcPr>
            <w:tcW w:w="1035" w:type="dxa"/>
            <w:tcBorders>
              <w:top w:val="single" w:sz="4" w:space="0" w:color="auto"/>
            </w:tcBorders>
            <w:vAlign w:val="center"/>
          </w:tcPr>
          <w:p w14:paraId="18AFE627" w14:textId="77777777" w:rsidR="006A699C" w:rsidRPr="006A699C" w:rsidRDefault="006A699C" w:rsidP="006A699C">
            <w:pPr>
              <w:spacing w:before="60" w:after="60"/>
              <w:jc w:val="center"/>
              <w:rPr>
                <w:rFonts w:ascii="Times New Roman" w:eastAsia="Calibri" w:hAnsi="Times New Roman" w:cs="Times New Roman"/>
                <w:sz w:val="20"/>
                <w:szCs w:val="20"/>
                <w:lang w:val="en-AU"/>
              </w:rPr>
            </w:pPr>
            <w:r w:rsidRPr="006A699C">
              <w:rPr>
                <w:rFonts w:ascii="Times New Roman" w:eastAsia="Calibri" w:hAnsi="Times New Roman" w:cs="Times New Roman"/>
                <w:sz w:val="20"/>
                <w:szCs w:val="20"/>
                <w:lang w:val="en-AU"/>
              </w:rPr>
              <w:t>298</w:t>
            </w:r>
          </w:p>
        </w:tc>
        <w:tc>
          <w:tcPr>
            <w:tcW w:w="1035" w:type="dxa"/>
            <w:tcBorders>
              <w:top w:val="single" w:sz="4" w:space="0" w:color="auto"/>
              <w:right w:val="single" w:sz="4" w:space="0" w:color="auto"/>
            </w:tcBorders>
            <w:vAlign w:val="center"/>
          </w:tcPr>
          <w:p w14:paraId="2F1D35D1" w14:textId="77777777" w:rsidR="006A699C" w:rsidRPr="006A699C" w:rsidRDefault="006A699C" w:rsidP="006A699C">
            <w:pPr>
              <w:spacing w:before="60" w:after="60"/>
              <w:jc w:val="center"/>
              <w:rPr>
                <w:rFonts w:ascii="Times New Roman" w:eastAsia="Calibri" w:hAnsi="Times New Roman" w:cs="Times New Roman"/>
                <w:sz w:val="20"/>
                <w:szCs w:val="20"/>
                <w:lang w:val="en-AU"/>
              </w:rPr>
            </w:pPr>
            <w:r w:rsidRPr="006A699C">
              <w:rPr>
                <w:rFonts w:ascii="Times New Roman" w:eastAsia="Calibri" w:hAnsi="Times New Roman" w:cs="Times New Roman"/>
                <w:sz w:val="20"/>
                <w:szCs w:val="20"/>
                <w:lang w:val="en-AU"/>
              </w:rPr>
              <w:t>299</w:t>
            </w:r>
          </w:p>
        </w:tc>
        <w:tc>
          <w:tcPr>
            <w:tcW w:w="1332" w:type="dxa"/>
            <w:tcBorders>
              <w:top w:val="single" w:sz="4" w:space="0" w:color="auto"/>
              <w:left w:val="single" w:sz="4" w:space="0" w:color="auto"/>
            </w:tcBorders>
            <w:vAlign w:val="center"/>
          </w:tcPr>
          <w:p w14:paraId="0EA66FFD" w14:textId="77777777" w:rsidR="006A699C" w:rsidRPr="006A699C" w:rsidRDefault="006A699C" w:rsidP="006A699C">
            <w:pPr>
              <w:spacing w:before="60" w:after="60"/>
              <w:jc w:val="center"/>
              <w:rPr>
                <w:rFonts w:ascii="Times New Roman" w:eastAsia="Calibri" w:hAnsi="Times New Roman" w:cs="Times New Roman"/>
                <w:sz w:val="20"/>
                <w:szCs w:val="20"/>
                <w:lang w:val="en-AU"/>
              </w:rPr>
            </w:pPr>
            <w:r w:rsidRPr="006A699C">
              <w:rPr>
                <w:rFonts w:ascii="Times New Roman" w:hAnsi="Times New Roman" w:cs="Times New Roman"/>
                <w:sz w:val="20"/>
                <w:szCs w:val="20"/>
                <w:lang w:val="en-AU"/>
              </w:rPr>
              <w:t>270 (-9%)</w:t>
            </w:r>
          </w:p>
        </w:tc>
        <w:tc>
          <w:tcPr>
            <w:tcW w:w="1276" w:type="dxa"/>
            <w:tcBorders>
              <w:top w:val="single" w:sz="4" w:space="0" w:color="auto"/>
            </w:tcBorders>
            <w:vAlign w:val="center"/>
          </w:tcPr>
          <w:p w14:paraId="22230751" w14:textId="77777777" w:rsidR="006A699C" w:rsidRPr="006A699C" w:rsidRDefault="006A699C" w:rsidP="006A699C">
            <w:pPr>
              <w:spacing w:before="60" w:after="60"/>
              <w:jc w:val="center"/>
              <w:rPr>
                <w:rFonts w:ascii="Times New Roman" w:eastAsia="Calibri" w:hAnsi="Times New Roman" w:cs="Times New Roman"/>
                <w:sz w:val="20"/>
                <w:szCs w:val="20"/>
                <w:lang w:val="en-AU"/>
              </w:rPr>
            </w:pPr>
            <w:r w:rsidRPr="006A699C">
              <w:rPr>
                <w:rFonts w:ascii="Times New Roman" w:eastAsia="Calibri" w:hAnsi="Times New Roman" w:cs="Times New Roman"/>
                <w:sz w:val="20"/>
                <w:szCs w:val="20"/>
                <w:lang w:val="en-AU"/>
              </w:rPr>
              <w:t>300 (1%)</w:t>
            </w:r>
          </w:p>
        </w:tc>
        <w:tc>
          <w:tcPr>
            <w:tcW w:w="1275" w:type="dxa"/>
            <w:tcBorders>
              <w:top w:val="single" w:sz="4" w:space="0" w:color="auto"/>
            </w:tcBorders>
            <w:vAlign w:val="center"/>
          </w:tcPr>
          <w:p w14:paraId="34DC7010" w14:textId="77777777" w:rsidR="006A699C" w:rsidRPr="006A699C" w:rsidRDefault="006A699C" w:rsidP="006A699C">
            <w:pPr>
              <w:spacing w:before="60" w:after="60"/>
              <w:jc w:val="center"/>
              <w:rPr>
                <w:rFonts w:ascii="Times New Roman" w:eastAsia="Calibri" w:hAnsi="Times New Roman" w:cs="Times New Roman"/>
                <w:sz w:val="20"/>
                <w:szCs w:val="20"/>
                <w:lang w:val="en-AU"/>
              </w:rPr>
            </w:pPr>
            <w:r w:rsidRPr="006A699C">
              <w:rPr>
                <w:rFonts w:ascii="Times New Roman" w:eastAsia="Calibri" w:hAnsi="Times New Roman" w:cs="Times New Roman"/>
                <w:sz w:val="20"/>
                <w:szCs w:val="20"/>
                <w:lang w:val="en-AU"/>
              </w:rPr>
              <w:t>296 (-1%)</w:t>
            </w:r>
          </w:p>
        </w:tc>
      </w:tr>
      <w:tr w:rsidR="006A699C" w:rsidRPr="006A699C" w14:paraId="624E4052" w14:textId="77777777" w:rsidTr="003F1754">
        <w:trPr>
          <w:trHeight w:val="288"/>
          <w:jc w:val="center"/>
        </w:trPr>
        <w:tc>
          <w:tcPr>
            <w:tcW w:w="2220" w:type="dxa"/>
            <w:vAlign w:val="center"/>
          </w:tcPr>
          <w:p w14:paraId="037A2396" w14:textId="77777777" w:rsidR="006A699C" w:rsidRPr="006A699C" w:rsidRDefault="006A699C" w:rsidP="006A699C">
            <w:pPr>
              <w:spacing w:before="60" w:after="60"/>
              <w:rPr>
                <w:rFonts w:ascii="Times New Roman" w:eastAsia="Calibri" w:hAnsi="Times New Roman" w:cs="Times New Roman"/>
                <w:sz w:val="20"/>
                <w:szCs w:val="20"/>
                <w:lang w:val="en-AU"/>
              </w:rPr>
            </w:pPr>
            <w:r w:rsidRPr="006A699C">
              <w:rPr>
                <w:rFonts w:ascii="Times New Roman" w:eastAsia="Calibri" w:hAnsi="Times New Roman" w:cs="Times New Roman"/>
                <w:sz w:val="20"/>
                <w:szCs w:val="20"/>
                <w:lang w:val="en-AU"/>
              </w:rPr>
              <w:t xml:space="preserve">Screen-detected invasive breast cancers per 100,000 </w:t>
            </w:r>
            <w:proofErr w:type="spellStart"/>
            <w:r w:rsidRPr="006A699C">
              <w:rPr>
                <w:rFonts w:ascii="Times New Roman" w:eastAsia="Calibri" w:hAnsi="Times New Roman" w:cs="Times New Roman"/>
                <w:sz w:val="20"/>
                <w:szCs w:val="20"/>
                <w:lang w:val="en-AU"/>
              </w:rPr>
              <w:t>women</w:t>
            </w:r>
            <w:r w:rsidRPr="006A699C">
              <w:rPr>
                <w:rFonts w:ascii="Times New Roman" w:eastAsia="Calibri" w:hAnsi="Times New Roman" w:cs="Times New Roman"/>
                <w:sz w:val="20"/>
                <w:szCs w:val="20"/>
                <w:vertAlign w:val="superscript"/>
                <w:lang w:val="en-AU"/>
              </w:rPr>
              <w:t>a</w:t>
            </w:r>
            <w:proofErr w:type="spellEnd"/>
          </w:p>
        </w:tc>
        <w:tc>
          <w:tcPr>
            <w:tcW w:w="1035" w:type="dxa"/>
            <w:vAlign w:val="center"/>
          </w:tcPr>
          <w:p w14:paraId="7FB3D36E" w14:textId="77777777" w:rsidR="006A699C" w:rsidRPr="006A699C" w:rsidRDefault="006A699C" w:rsidP="006A699C">
            <w:pPr>
              <w:spacing w:before="60" w:after="60"/>
              <w:jc w:val="center"/>
              <w:rPr>
                <w:rFonts w:ascii="Times New Roman" w:eastAsia="Calibri" w:hAnsi="Times New Roman" w:cs="Times New Roman"/>
                <w:sz w:val="20"/>
                <w:szCs w:val="20"/>
                <w:lang w:val="en-AU"/>
              </w:rPr>
            </w:pPr>
            <w:r w:rsidRPr="006A699C">
              <w:rPr>
                <w:rFonts w:ascii="Times New Roman" w:eastAsia="Calibri" w:hAnsi="Times New Roman" w:cs="Times New Roman"/>
                <w:sz w:val="20"/>
                <w:szCs w:val="20"/>
                <w:lang w:val="en-AU"/>
              </w:rPr>
              <w:t>127</w:t>
            </w:r>
          </w:p>
        </w:tc>
        <w:tc>
          <w:tcPr>
            <w:tcW w:w="1035" w:type="dxa"/>
            <w:vAlign w:val="center"/>
          </w:tcPr>
          <w:p w14:paraId="30C32E07" w14:textId="77777777" w:rsidR="006A699C" w:rsidRPr="006A699C" w:rsidRDefault="006A699C" w:rsidP="006A699C">
            <w:pPr>
              <w:spacing w:before="60" w:after="60"/>
              <w:jc w:val="center"/>
              <w:rPr>
                <w:rFonts w:ascii="Times New Roman" w:eastAsia="Calibri" w:hAnsi="Times New Roman" w:cs="Times New Roman"/>
                <w:sz w:val="20"/>
                <w:szCs w:val="20"/>
                <w:lang w:val="en-AU"/>
              </w:rPr>
            </w:pPr>
            <w:r w:rsidRPr="006A699C">
              <w:rPr>
                <w:rFonts w:ascii="Times New Roman" w:eastAsia="Calibri" w:hAnsi="Times New Roman" w:cs="Times New Roman"/>
                <w:sz w:val="20"/>
                <w:szCs w:val="20"/>
                <w:lang w:val="en-AU"/>
              </w:rPr>
              <w:t>123</w:t>
            </w:r>
          </w:p>
        </w:tc>
        <w:tc>
          <w:tcPr>
            <w:tcW w:w="1035" w:type="dxa"/>
            <w:tcBorders>
              <w:right w:val="single" w:sz="4" w:space="0" w:color="auto"/>
            </w:tcBorders>
            <w:vAlign w:val="center"/>
          </w:tcPr>
          <w:p w14:paraId="4AC9A12D" w14:textId="77777777" w:rsidR="006A699C" w:rsidRPr="006A699C" w:rsidRDefault="006A699C" w:rsidP="006A699C">
            <w:pPr>
              <w:spacing w:before="60" w:after="60"/>
              <w:jc w:val="center"/>
              <w:rPr>
                <w:rFonts w:ascii="Times New Roman" w:eastAsia="Calibri" w:hAnsi="Times New Roman" w:cs="Times New Roman"/>
                <w:sz w:val="20"/>
                <w:szCs w:val="20"/>
                <w:lang w:val="en-AU"/>
              </w:rPr>
            </w:pPr>
            <w:r w:rsidRPr="006A699C">
              <w:rPr>
                <w:rFonts w:ascii="Times New Roman" w:eastAsia="Calibri" w:hAnsi="Times New Roman" w:cs="Times New Roman"/>
                <w:sz w:val="20"/>
                <w:szCs w:val="20"/>
                <w:lang w:val="en-AU"/>
              </w:rPr>
              <w:t>122</w:t>
            </w:r>
          </w:p>
        </w:tc>
        <w:tc>
          <w:tcPr>
            <w:tcW w:w="1332" w:type="dxa"/>
            <w:tcBorders>
              <w:left w:val="single" w:sz="4" w:space="0" w:color="auto"/>
            </w:tcBorders>
            <w:vAlign w:val="center"/>
          </w:tcPr>
          <w:p w14:paraId="343924FF" w14:textId="77777777" w:rsidR="006A699C" w:rsidRPr="006A699C" w:rsidRDefault="006A699C" w:rsidP="006A699C">
            <w:pPr>
              <w:spacing w:before="60" w:after="60"/>
              <w:jc w:val="center"/>
              <w:rPr>
                <w:rFonts w:ascii="Times New Roman" w:eastAsia="Calibri" w:hAnsi="Times New Roman" w:cs="Times New Roman"/>
                <w:sz w:val="20"/>
                <w:szCs w:val="20"/>
                <w:lang w:val="en-AU"/>
              </w:rPr>
            </w:pPr>
            <w:r w:rsidRPr="006A699C">
              <w:rPr>
                <w:rFonts w:ascii="Times New Roman" w:hAnsi="Times New Roman" w:cs="Times New Roman"/>
                <w:sz w:val="20"/>
                <w:szCs w:val="20"/>
                <w:lang w:val="en-AU"/>
              </w:rPr>
              <w:t>97 (-24%)</w:t>
            </w:r>
          </w:p>
        </w:tc>
        <w:tc>
          <w:tcPr>
            <w:tcW w:w="1276" w:type="dxa"/>
            <w:vAlign w:val="center"/>
          </w:tcPr>
          <w:p w14:paraId="0F4D28D3" w14:textId="77777777" w:rsidR="006A699C" w:rsidRPr="006A699C" w:rsidRDefault="006A699C" w:rsidP="006A699C">
            <w:pPr>
              <w:spacing w:before="60" w:after="60"/>
              <w:jc w:val="center"/>
              <w:rPr>
                <w:rFonts w:ascii="Times New Roman" w:eastAsia="Calibri" w:hAnsi="Times New Roman" w:cs="Times New Roman"/>
                <w:sz w:val="20"/>
                <w:szCs w:val="20"/>
                <w:lang w:val="en-AU"/>
              </w:rPr>
            </w:pPr>
            <w:r w:rsidRPr="006A699C">
              <w:rPr>
                <w:rFonts w:ascii="Times New Roman" w:eastAsia="Calibri" w:hAnsi="Times New Roman" w:cs="Times New Roman"/>
                <w:sz w:val="20"/>
                <w:szCs w:val="20"/>
                <w:lang w:val="en-AU"/>
              </w:rPr>
              <w:t xml:space="preserve">127 (3% </w:t>
            </w:r>
          </w:p>
        </w:tc>
        <w:tc>
          <w:tcPr>
            <w:tcW w:w="1275" w:type="dxa"/>
            <w:vAlign w:val="center"/>
          </w:tcPr>
          <w:p w14:paraId="1E23E67E" w14:textId="77777777" w:rsidR="006A699C" w:rsidRPr="006A699C" w:rsidRDefault="006A699C" w:rsidP="006A699C">
            <w:pPr>
              <w:spacing w:before="60" w:after="60"/>
              <w:jc w:val="center"/>
              <w:rPr>
                <w:rFonts w:ascii="Times New Roman" w:eastAsia="Calibri" w:hAnsi="Times New Roman" w:cs="Times New Roman"/>
                <w:sz w:val="20"/>
                <w:szCs w:val="20"/>
                <w:lang w:val="en-AU"/>
              </w:rPr>
            </w:pPr>
            <w:r w:rsidRPr="006A699C">
              <w:rPr>
                <w:rFonts w:ascii="Times New Roman" w:eastAsia="Calibri" w:hAnsi="Times New Roman" w:cs="Times New Roman"/>
                <w:sz w:val="20"/>
                <w:szCs w:val="20"/>
                <w:lang w:val="en-AU"/>
              </w:rPr>
              <w:t>119 (-2%)</w:t>
            </w:r>
          </w:p>
        </w:tc>
      </w:tr>
      <w:tr w:rsidR="006A699C" w:rsidRPr="006A699C" w14:paraId="655F7C23" w14:textId="77777777" w:rsidTr="003F1754">
        <w:trPr>
          <w:trHeight w:val="288"/>
          <w:jc w:val="center"/>
        </w:trPr>
        <w:tc>
          <w:tcPr>
            <w:tcW w:w="2220" w:type="dxa"/>
            <w:vAlign w:val="center"/>
          </w:tcPr>
          <w:p w14:paraId="6F066DBE" w14:textId="77777777" w:rsidR="006A699C" w:rsidRPr="006A699C" w:rsidRDefault="006A699C" w:rsidP="006A699C">
            <w:pPr>
              <w:spacing w:before="60" w:after="60"/>
              <w:rPr>
                <w:rFonts w:ascii="Times New Roman" w:eastAsia="Calibri" w:hAnsi="Times New Roman" w:cs="Times New Roman"/>
                <w:sz w:val="20"/>
                <w:szCs w:val="20"/>
                <w:lang w:val="en-AU"/>
              </w:rPr>
            </w:pPr>
            <w:r w:rsidRPr="006A699C">
              <w:rPr>
                <w:rFonts w:ascii="Times New Roman" w:eastAsia="Calibri" w:hAnsi="Times New Roman" w:cs="Times New Roman"/>
                <w:sz w:val="20"/>
                <w:szCs w:val="20"/>
                <w:lang w:val="en-AU"/>
              </w:rPr>
              <w:t xml:space="preserve">Interval cancers (12 </w:t>
            </w:r>
            <w:proofErr w:type="gramStart"/>
            <w:r w:rsidRPr="006A699C">
              <w:rPr>
                <w:rFonts w:ascii="Times New Roman" w:eastAsia="Calibri" w:hAnsi="Times New Roman" w:cs="Times New Roman"/>
                <w:sz w:val="20"/>
                <w:szCs w:val="20"/>
                <w:lang w:val="en-AU"/>
              </w:rPr>
              <w:t>month)</w:t>
            </w:r>
            <w:r w:rsidRPr="006A699C">
              <w:rPr>
                <w:rFonts w:ascii="Times New Roman" w:eastAsia="Calibri" w:hAnsi="Times New Roman" w:cs="Times New Roman"/>
                <w:sz w:val="20"/>
                <w:szCs w:val="20"/>
                <w:vertAlign w:val="superscript"/>
                <w:lang w:val="en-AU"/>
              </w:rPr>
              <w:t>b</w:t>
            </w:r>
            <w:proofErr w:type="gramEnd"/>
          </w:p>
        </w:tc>
        <w:tc>
          <w:tcPr>
            <w:tcW w:w="1035" w:type="dxa"/>
            <w:vAlign w:val="center"/>
          </w:tcPr>
          <w:p w14:paraId="64ACF7B3" w14:textId="77777777" w:rsidR="006A699C" w:rsidRPr="006A699C" w:rsidRDefault="006A699C" w:rsidP="006A699C">
            <w:pPr>
              <w:spacing w:before="60" w:after="60"/>
              <w:jc w:val="center"/>
              <w:rPr>
                <w:rFonts w:ascii="Times New Roman" w:eastAsia="Calibri" w:hAnsi="Times New Roman" w:cs="Times New Roman"/>
                <w:sz w:val="20"/>
                <w:szCs w:val="20"/>
                <w:lang w:val="en-AU"/>
              </w:rPr>
            </w:pPr>
            <w:r w:rsidRPr="006A699C">
              <w:rPr>
                <w:rFonts w:ascii="Times New Roman" w:eastAsia="Calibri" w:hAnsi="Times New Roman" w:cs="Times New Roman"/>
                <w:sz w:val="20"/>
                <w:szCs w:val="20"/>
                <w:lang w:val="en-AU"/>
              </w:rPr>
              <w:t>15</w:t>
            </w:r>
          </w:p>
        </w:tc>
        <w:tc>
          <w:tcPr>
            <w:tcW w:w="1035" w:type="dxa"/>
            <w:vAlign w:val="center"/>
          </w:tcPr>
          <w:p w14:paraId="5AA77A99" w14:textId="77777777" w:rsidR="006A699C" w:rsidRPr="006A699C" w:rsidRDefault="006A699C" w:rsidP="006A699C">
            <w:pPr>
              <w:spacing w:before="60" w:after="60"/>
              <w:jc w:val="center"/>
              <w:rPr>
                <w:rFonts w:ascii="Times New Roman" w:eastAsia="Calibri" w:hAnsi="Times New Roman" w:cs="Times New Roman"/>
                <w:sz w:val="20"/>
                <w:szCs w:val="20"/>
                <w:lang w:val="en-AU"/>
              </w:rPr>
            </w:pPr>
            <w:r w:rsidRPr="006A699C">
              <w:rPr>
                <w:rFonts w:ascii="Times New Roman" w:eastAsia="Calibri" w:hAnsi="Times New Roman" w:cs="Times New Roman"/>
                <w:sz w:val="20"/>
                <w:szCs w:val="20"/>
                <w:lang w:val="en-AU"/>
              </w:rPr>
              <w:t>15</w:t>
            </w:r>
          </w:p>
        </w:tc>
        <w:tc>
          <w:tcPr>
            <w:tcW w:w="1035" w:type="dxa"/>
            <w:tcBorders>
              <w:right w:val="single" w:sz="4" w:space="0" w:color="auto"/>
            </w:tcBorders>
            <w:vAlign w:val="center"/>
          </w:tcPr>
          <w:p w14:paraId="661720FD" w14:textId="77777777" w:rsidR="006A699C" w:rsidRPr="006A699C" w:rsidRDefault="006A699C" w:rsidP="006A699C">
            <w:pPr>
              <w:spacing w:before="60" w:after="60"/>
              <w:jc w:val="center"/>
              <w:rPr>
                <w:rFonts w:ascii="Times New Roman" w:eastAsia="Calibri" w:hAnsi="Times New Roman" w:cs="Times New Roman"/>
                <w:sz w:val="20"/>
                <w:szCs w:val="20"/>
                <w:lang w:val="en-AU"/>
              </w:rPr>
            </w:pPr>
            <w:r w:rsidRPr="006A699C">
              <w:rPr>
                <w:rFonts w:ascii="Times New Roman" w:eastAsia="Calibri" w:hAnsi="Times New Roman" w:cs="Times New Roman"/>
                <w:sz w:val="20"/>
                <w:szCs w:val="20"/>
                <w:lang w:val="en-AU"/>
              </w:rPr>
              <w:t>15</w:t>
            </w:r>
          </w:p>
        </w:tc>
        <w:tc>
          <w:tcPr>
            <w:tcW w:w="1332" w:type="dxa"/>
            <w:tcBorders>
              <w:left w:val="single" w:sz="4" w:space="0" w:color="auto"/>
            </w:tcBorders>
            <w:vAlign w:val="center"/>
          </w:tcPr>
          <w:p w14:paraId="205968D9" w14:textId="77777777" w:rsidR="006A699C" w:rsidRPr="006A699C" w:rsidRDefault="006A699C" w:rsidP="006A699C">
            <w:pPr>
              <w:spacing w:before="60" w:after="60"/>
              <w:jc w:val="center"/>
              <w:rPr>
                <w:rFonts w:ascii="Times New Roman" w:eastAsia="Calibri" w:hAnsi="Times New Roman" w:cs="Times New Roman"/>
                <w:sz w:val="20"/>
                <w:szCs w:val="20"/>
                <w:lang w:val="en-AU"/>
              </w:rPr>
            </w:pPr>
            <w:r w:rsidRPr="006A699C">
              <w:rPr>
                <w:rFonts w:ascii="Times New Roman" w:hAnsi="Times New Roman" w:cs="Times New Roman"/>
                <w:sz w:val="20"/>
                <w:szCs w:val="20"/>
                <w:lang w:val="en-AU"/>
              </w:rPr>
              <w:t>8 (-47%)</w:t>
            </w:r>
          </w:p>
        </w:tc>
        <w:tc>
          <w:tcPr>
            <w:tcW w:w="1276" w:type="dxa"/>
            <w:vAlign w:val="center"/>
          </w:tcPr>
          <w:p w14:paraId="211805A1" w14:textId="77777777" w:rsidR="006A699C" w:rsidRPr="006A699C" w:rsidRDefault="006A699C" w:rsidP="006A699C">
            <w:pPr>
              <w:spacing w:before="60" w:after="60"/>
              <w:jc w:val="center"/>
              <w:rPr>
                <w:rFonts w:ascii="Times New Roman" w:eastAsia="Calibri" w:hAnsi="Times New Roman" w:cs="Times New Roman"/>
                <w:sz w:val="20"/>
                <w:szCs w:val="20"/>
                <w:lang w:val="en-AU"/>
              </w:rPr>
            </w:pPr>
            <w:r w:rsidRPr="006A699C">
              <w:rPr>
                <w:rFonts w:ascii="Times New Roman" w:eastAsia="Calibri" w:hAnsi="Times New Roman" w:cs="Times New Roman"/>
                <w:sz w:val="20"/>
                <w:szCs w:val="20"/>
                <w:lang w:val="en-AU"/>
              </w:rPr>
              <w:t>10 (-33%)</w:t>
            </w:r>
          </w:p>
        </w:tc>
        <w:tc>
          <w:tcPr>
            <w:tcW w:w="1275" w:type="dxa"/>
            <w:vAlign w:val="center"/>
          </w:tcPr>
          <w:p w14:paraId="319CBF31" w14:textId="77777777" w:rsidR="006A699C" w:rsidRPr="006A699C" w:rsidRDefault="006A699C" w:rsidP="006A699C">
            <w:pPr>
              <w:spacing w:before="60" w:after="60"/>
              <w:jc w:val="center"/>
              <w:rPr>
                <w:rFonts w:ascii="Times New Roman" w:eastAsia="Calibri" w:hAnsi="Times New Roman" w:cs="Times New Roman"/>
                <w:sz w:val="20"/>
                <w:szCs w:val="20"/>
                <w:lang w:val="en-AU"/>
              </w:rPr>
            </w:pPr>
            <w:r w:rsidRPr="006A699C">
              <w:rPr>
                <w:rFonts w:ascii="Times New Roman" w:eastAsia="Calibri" w:hAnsi="Times New Roman" w:cs="Times New Roman"/>
                <w:sz w:val="20"/>
                <w:szCs w:val="20"/>
                <w:lang w:val="en-AU"/>
              </w:rPr>
              <w:t>13 (-13%)</w:t>
            </w:r>
          </w:p>
        </w:tc>
      </w:tr>
      <w:tr w:rsidR="006A699C" w:rsidRPr="006A699C" w14:paraId="3EEC17C0" w14:textId="77777777" w:rsidTr="003F1754">
        <w:trPr>
          <w:trHeight w:val="288"/>
          <w:jc w:val="center"/>
        </w:trPr>
        <w:tc>
          <w:tcPr>
            <w:tcW w:w="2220" w:type="dxa"/>
            <w:vAlign w:val="center"/>
          </w:tcPr>
          <w:p w14:paraId="1B2A338B" w14:textId="77777777" w:rsidR="006A699C" w:rsidRPr="006A699C" w:rsidRDefault="006A699C" w:rsidP="006A699C">
            <w:pPr>
              <w:spacing w:before="60" w:after="60"/>
              <w:rPr>
                <w:rFonts w:ascii="Times New Roman" w:eastAsia="Calibri" w:hAnsi="Times New Roman" w:cs="Times New Roman"/>
                <w:sz w:val="20"/>
                <w:szCs w:val="20"/>
                <w:lang w:val="en-AU"/>
              </w:rPr>
            </w:pPr>
            <w:r w:rsidRPr="006A699C">
              <w:rPr>
                <w:rFonts w:ascii="Times New Roman" w:eastAsia="Calibri" w:hAnsi="Times New Roman" w:cs="Times New Roman"/>
                <w:sz w:val="20"/>
                <w:szCs w:val="20"/>
                <w:lang w:val="en-AU"/>
              </w:rPr>
              <w:t xml:space="preserve">Interval cancers (27 </w:t>
            </w:r>
            <w:proofErr w:type="gramStart"/>
            <w:r w:rsidRPr="006A699C">
              <w:rPr>
                <w:rFonts w:ascii="Times New Roman" w:eastAsia="Calibri" w:hAnsi="Times New Roman" w:cs="Times New Roman"/>
                <w:sz w:val="20"/>
                <w:szCs w:val="20"/>
                <w:lang w:val="en-AU"/>
              </w:rPr>
              <w:t>month)</w:t>
            </w:r>
            <w:r w:rsidRPr="006A699C">
              <w:rPr>
                <w:rFonts w:ascii="Times New Roman" w:eastAsia="Calibri" w:hAnsi="Times New Roman" w:cs="Times New Roman"/>
                <w:sz w:val="20"/>
                <w:szCs w:val="20"/>
                <w:vertAlign w:val="superscript"/>
                <w:lang w:val="en-AU"/>
              </w:rPr>
              <w:t>b</w:t>
            </w:r>
            <w:proofErr w:type="gramEnd"/>
          </w:p>
        </w:tc>
        <w:tc>
          <w:tcPr>
            <w:tcW w:w="1035" w:type="dxa"/>
            <w:vAlign w:val="center"/>
          </w:tcPr>
          <w:p w14:paraId="3D081365" w14:textId="77777777" w:rsidR="006A699C" w:rsidRPr="006A699C" w:rsidRDefault="006A699C" w:rsidP="006A699C">
            <w:pPr>
              <w:spacing w:before="60" w:after="60"/>
              <w:jc w:val="center"/>
              <w:rPr>
                <w:rFonts w:ascii="Times New Roman" w:eastAsia="Calibri" w:hAnsi="Times New Roman" w:cs="Times New Roman"/>
                <w:sz w:val="20"/>
                <w:szCs w:val="20"/>
                <w:lang w:val="en-AU"/>
              </w:rPr>
            </w:pPr>
            <w:r w:rsidRPr="006A699C">
              <w:rPr>
                <w:rFonts w:ascii="Times New Roman" w:eastAsia="Calibri" w:hAnsi="Times New Roman" w:cs="Times New Roman"/>
                <w:sz w:val="20"/>
                <w:szCs w:val="20"/>
                <w:lang w:val="en-AU"/>
              </w:rPr>
              <w:t>38</w:t>
            </w:r>
          </w:p>
        </w:tc>
        <w:tc>
          <w:tcPr>
            <w:tcW w:w="1035" w:type="dxa"/>
            <w:vAlign w:val="center"/>
          </w:tcPr>
          <w:p w14:paraId="79DCD07F" w14:textId="77777777" w:rsidR="006A699C" w:rsidRPr="006A699C" w:rsidRDefault="006A699C" w:rsidP="006A699C">
            <w:pPr>
              <w:spacing w:before="60" w:after="60"/>
              <w:jc w:val="center"/>
              <w:rPr>
                <w:rFonts w:ascii="Times New Roman" w:eastAsia="Calibri" w:hAnsi="Times New Roman" w:cs="Times New Roman"/>
                <w:sz w:val="20"/>
                <w:szCs w:val="20"/>
                <w:lang w:val="en-AU"/>
              </w:rPr>
            </w:pPr>
            <w:r w:rsidRPr="006A699C">
              <w:rPr>
                <w:rFonts w:ascii="Times New Roman" w:eastAsia="Calibri" w:hAnsi="Times New Roman" w:cs="Times New Roman"/>
                <w:sz w:val="20"/>
                <w:szCs w:val="20"/>
                <w:lang w:val="en-AU"/>
              </w:rPr>
              <w:t>39</w:t>
            </w:r>
          </w:p>
        </w:tc>
        <w:tc>
          <w:tcPr>
            <w:tcW w:w="1035" w:type="dxa"/>
            <w:tcBorders>
              <w:right w:val="single" w:sz="4" w:space="0" w:color="auto"/>
            </w:tcBorders>
            <w:vAlign w:val="center"/>
          </w:tcPr>
          <w:p w14:paraId="27378AEE" w14:textId="77777777" w:rsidR="006A699C" w:rsidRPr="006A699C" w:rsidRDefault="006A699C" w:rsidP="006A699C">
            <w:pPr>
              <w:spacing w:before="60" w:after="60"/>
              <w:jc w:val="center"/>
              <w:rPr>
                <w:rFonts w:ascii="Times New Roman" w:eastAsia="Calibri" w:hAnsi="Times New Roman" w:cs="Times New Roman"/>
                <w:sz w:val="20"/>
                <w:szCs w:val="20"/>
                <w:lang w:val="en-AU"/>
              </w:rPr>
            </w:pPr>
            <w:r w:rsidRPr="006A699C">
              <w:rPr>
                <w:rFonts w:ascii="Times New Roman" w:eastAsia="Calibri" w:hAnsi="Times New Roman" w:cs="Times New Roman"/>
                <w:sz w:val="20"/>
                <w:szCs w:val="20"/>
                <w:lang w:val="en-AU"/>
              </w:rPr>
              <w:t>38</w:t>
            </w:r>
          </w:p>
        </w:tc>
        <w:tc>
          <w:tcPr>
            <w:tcW w:w="1332" w:type="dxa"/>
            <w:tcBorders>
              <w:left w:val="single" w:sz="4" w:space="0" w:color="auto"/>
            </w:tcBorders>
            <w:vAlign w:val="center"/>
          </w:tcPr>
          <w:p w14:paraId="18D98A6E" w14:textId="77777777" w:rsidR="006A699C" w:rsidRPr="006A699C" w:rsidRDefault="006A699C" w:rsidP="006A699C">
            <w:pPr>
              <w:spacing w:before="60" w:after="60"/>
              <w:jc w:val="center"/>
              <w:rPr>
                <w:rFonts w:ascii="Times New Roman" w:eastAsia="Calibri" w:hAnsi="Times New Roman" w:cs="Times New Roman"/>
                <w:sz w:val="20"/>
                <w:szCs w:val="20"/>
                <w:lang w:val="en-AU"/>
              </w:rPr>
            </w:pPr>
            <w:r w:rsidRPr="006A699C">
              <w:rPr>
                <w:rFonts w:ascii="Times New Roman" w:hAnsi="Times New Roman" w:cs="Times New Roman"/>
                <w:sz w:val="20"/>
                <w:szCs w:val="20"/>
                <w:lang w:val="en-AU"/>
              </w:rPr>
              <w:t>33 (-13%)</w:t>
            </w:r>
          </w:p>
        </w:tc>
        <w:tc>
          <w:tcPr>
            <w:tcW w:w="1276" w:type="dxa"/>
            <w:vAlign w:val="center"/>
          </w:tcPr>
          <w:p w14:paraId="6CA059C0" w14:textId="77777777" w:rsidR="006A699C" w:rsidRPr="006A699C" w:rsidRDefault="006A699C" w:rsidP="006A699C">
            <w:pPr>
              <w:spacing w:before="60" w:after="60"/>
              <w:jc w:val="center"/>
              <w:rPr>
                <w:rFonts w:ascii="Times New Roman" w:eastAsia="Calibri" w:hAnsi="Times New Roman" w:cs="Times New Roman"/>
                <w:sz w:val="20"/>
                <w:szCs w:val="20"/>
                <w:lang w:val="en-AU"/>
              </w:rPr>
            </w:pPr>
            <w:r w:rsidRPr="006A699C">
              <w:rPr>
                <w:rFonts w:ascii="Times New Roman" w:eastAsia="Calibri" w:hAnsi="Times New Roman" w:cs="Times New Roman"/>
                <w:sz w:val="20"/>
                <w:szCs w:val="20"/>
                <w:lang w:val="en-AU"/>
              </w:rPr>
              <w:t>26 (-33%)</w:t>
            </w:r>
          </w:p>
        </w:tc>
        <w:tc>
          <w:tcPr>
            <w:tcW w:w="1275" w:type="dxa"/>
            <w:vAlign w:val="center"/>
          </w:tcPr>
          <w:p w14:paraId="5EA01901" w14:textId="77777777" w:rsidR="006A699C" w:rsidRPr="006A699C" w:rsidRDefault="006A699C" w:rsidP="006A699C">
            <w:pPr>
              <w:spacing w:before="60" w:after="60"/>
              <w:jc w:val="center"/>
              <w:rPr>
                <w:rFonts w:ascii="Times New Roman" w:eastAsia="Calibri" w:hAnsi="Times New Roman" w:cs="Times New Roman"/>
                <w:sz w:val="20"/>
                <w:szCs w:val="20"/>
                <w:lang w:val="en-AU"/>
              </w:rPr>
            </w:pPr>
            <w:r w:rsidRPr="006A699C">
              <w:rPr>
                <w:rFonts w:ascii="Times New Roman" w:eastAsia="Calibri" w:hAnsi="Times New Roman" w:cs="Times New Roman"/>
                <w:sz w:val="20"/>
                <w:szCs w:val="20"/>
                <w:lang w:val="en-AU"/>
              </w:rPr>
              <w:t>30 (-21%)</w:t>
            </w:r>
          </w:p>
        </w:tc>
      </w:tr>
      <w:tr w:rsidR="006A699C" w:rsidRPr="006A699C" w14:paraId="28EA766E" w14:textId="77777777" w:rsidTr="003F1754">
        <w:trPr>
          <w:trHeight w:val="288"/>
          <w:jc w:val="center"/>
        </w:trPr>
        <w:tc>
          <w:tcPr>
            <w:tcW w:w="2220" w:type="dxa"/>
            <w:vAlign w:val="center"/>
          </w:tcPr>
          <w:p w14:paraId="0257F92B" w14:textId="77777777" w:rsidR="006A699C" w:rsidRPr="006A699C" w:rsidRDefault="006A699C" w:rsidP="006A699C">
            <w:pPr>
              <w:spacing w:before="60" w:after="60"/>
              <w:rPr>
                <w:rFonts w:ascii="Times New Roman" w:eastAsia="Calibri" w:hAnsi="Times New Roman" w:cs="Times New Roman"/>
                <w:sz w:val="20"/>
                <w:szCs w:val="20"/>
                <w:lang w:val="en-AU"/>
              </w:rPr>
            </w:pPr>
            <w:r w:rsidRPr="006A699C">
              <w:rPr>
                <w:rFonts w:ascii="Times New Roman" w:eastAsia="Calibri" w:hAnsi="Times New Roman" w:cs="Times New Roman"/>
                <w:sz w:val="20"/>
                <w:szCs w:val="20"/>
                <w:lang w:val="en-AU"/>
              </w:rPr>
              <w:t xml:space="preserve">Program </w:t>
            </w:r>
            <w:proofErr w:type="spellStart"/>
            <w:r w:rsidRPr="006A699C">
              <w:rPr>
                <w:rFonts w:ascii="Times New Roman" w:eastAsia="Calibri" w:hAnsi="Times New Roman" w:cs="Times New Roman"/>
                <w:sz w:val="20"/>
                <w:szCs w:val="20"/>
                <w:lang w:val="en-AU"/>
              </w:rPr>
              <w:t>sensitivity</w:t>
            </w:r>
            <w:r w:rsidRPr="006A699C">
              <w:rPr>
                <w:rFonts w:ascii="Times New Roman" w:eastAsia="Calibri" w:hAnsi="Times New Roman" w:cs="Times New Roman"/>
                <w:sz w:val="20"/>
                <w:szCs w:val="20"/>
                <w:vertAlign w:val="superscript"/>
                <w:lang w:val="en-AU"/>
              </w:rPr>
              <w:t>c</w:t>
            </w:r>
            <w:proofErr w:type="spellEnd"/>
          </w:p>
        </w:tc>
        <w:tc>
          <w:tcPr>
            <w:tcW w:w="1035" w:type="dxa"/>
            <w:vAlign w:val="center"/>
          </w:tcPr>
          <w:p w14:paraId="03FEA6FD" w14:textId="77777777" w:rsidR="006A699C" w:rsidRPr="006A699C" w:rsidRDefault="006A699C" w:rsidP="006A699C">
            <w:pPr>
              <w:spacing w:before="60" w:after="60"/>
              <w:jc w:val="center"/>
              <w:rPr>
                <w:rFonts w:ascii="Times New Roman" w:eastAsia="Calibri" w:hAnsi="Times New Roman" w:cs="Times New Roman"/>
                <w:sz w:val="20"/>
                <w:szCs w:val="20"/>
                <w:lang w:val="en-AU"/>
              </w:rPr>
            </w:pPr>
            <w:r w:rsidRPr="006A699C">
              <w:rPr>
                <w:rFonts w:ascii="Times New Roman" w:eastAsia="Calibri" w:hAnsi="Times New Roman" w:cs="Times New Roman"/>
                <w:sz w:val="20"/>
                <w:szCs w:val="20"/>
                <w:lang w:val="en-AU"/>
              </w:rPr>
              <w:t>76.8%</w:t>
            </w:r>
          </w:p>
        </w:tc>
        <w:tc>
          <w:tcPr>
            <w:tcW w:w="1035" w:type="dxa"/>
            <w:vAlign w:val="center"/>
          </w:tcPr>
          <w:p w14:paraId="5B58EC83" w14:textId="77777777" w:rsidR="006A699C" w:rsidRPr="006A699C" w:rsidRDefault="006A699C" w:rsidP="006A699C">
            <w:pPr>
              <w:spacing w:before="60" w:after="60"/>
              <w:jc w:val="center"/>
              <w:rPr>
                <w:rFonts w:ascii="Times New Roman" w:eastAsia="Calibri" w:hAnsi="Times New Roman" w:cs="Times New Roman"/>
                <w:sz w:val="20"/>
                <w:szCs w:val="20"/>
                <w:lang w:val="en-AU"/>
              </w:rPr>
            </w:pPr>
            <w:r w:rsidRPr="006A699C">
              <w:rPr>
                <w:rFonts w:ascii="Times New Roman" w:eastAsia="Calibri" w:hAnsi="Times New Roman" w:cs="Times New Roman"/>
                <w:sz w:val="20"/>
                <w:szCs w:val="20"/>
                <w:lang w:val="en-AU"/>
              </w:rPr>
              <w:t>76.2%</w:t>
            </w:r>
          </w:p>
        </w:tc>
        <w:tc>
          <w:tcPr>
            <w:tcW w:w="1035" w:type="dxa"/>
            <w:tcBorders>
              <w:right w:val="single" w:sz="4" w:space="0" w:color="auto"/>
            </w:tcBorders>
            <w:vAlign w:val="center"/>
          </w:tcPr>
          <w:p w14:paraId="7D763BB0" w14:textId="77777777" w:rsidR="006A699C" w:rsidRPr="006A699C" w:rsidRDefault="006A699C" w:rsidP="006A699C">
            <w:pPr>
              <w:spacing w:before="60" w:after="60"/>
              <w:jc w:val="center"/>
              <w:rPr>
                <w:rFonts w:ascii="Times New Roman" w:eastAsia="Calibri" w:hAnsi="Times New Roman" w:cs="Times New Roman"/>
                <w:sz w:val="20"/>
                <w:szCs w:val="20"/>
                <w:lang w:val="en-AU"/>
              </w:rPr>
            </w:pPr>
            <w:r w:rsidRPr="006A699C">
              <w:rPr>
                <w:rFonts w:ascii="Times New Roman" w:eastAsia="Calibri" w:hAnsi="Times New Roman" w:cs="Times New Roman"/>
                <w:sz w:val="20"/>
                <w:szCs w:val="20"/>
                <w:lang w:val="en-AU"/>
              </w:rPr>
              <w:t>76.4%</w:t>
            </w:r>
          </w:p>
        </w:tc>
        <w:tc>
          <w:tcPr>
            <w:tcW w:w="1332" w:type="dxa"/>
            <w:tcBorders>
              <w:left w:val="single" w:sz="4" w:space="0" w:color="auto"/>
            </w:tcBorders>
            <w:vAlign w:val="center"/>
          </w:tcPr>
          <w:p w14:paraId="3BDCC540" w14:textId="77777777" w:rsidR="006A699C" w:rsidRPr="006A699C" w:rsidRDefault="006A699C" w:rsidP="006A699C">
            <w:pPr>
              <w:spacing w:before="60" w:after="60"/>
              <w:jc w:val="center"/>
              <w:rPr>
                <w:rFonts w:ascii="Times New Roman" w:eastAsia="Calibri" w:hAnsi="Times New Roman" w:cs="Times New Roman"/>
                <w:sz w:val="20"/>
                <w:szCs w:val="20"/>
                <w:lang w:val="en-AU"/>
              </w:rPr>
            </w:pPr>
            <w:r w:rsidRPr="006A699C">
              <w:rPr>
                <w:rFonts w:ascii="Times New Roman" w:hAnsi="Times New Roman" w:cs="Times New Roman"/>
                <w:sz w:val="20"/>
                <w:szCs w:val="20"/>
                <w:lang w:val="en-AU"/>
              </w:rPr>
              <w:t>74.8% (-3%)</w:t>
            </w:r>
          </w:p>
        </w:tc>
        <w:tc>
          <w:tcPr>
            <w:tcW w:w="1276" w:type="dxa"/>
            <w:vAlign w:val="center"/>
          </w:tcPr>
          <w:p w14:paraId="1F87FAE6" w14:textId="77777777" w:rsidR="006A699C" w:rsidRPr="006A699C" w:rsidRDefault="006A699C" w:rsidP="006A699C">
            <w:pPr>
              <w:spacing w:before="60" w:after="60"/>
              <w:jc w:val="center"/>
              <w:rPr>
                <w:rFonts w:ascii="Times New Roman" w:eastAsia="Calibri" w:hAnsi="Times New Roman" w:cs="Times New Roman"/>
                <w:sz w:val="20"/>
                <w:szCs w:val="20"/>
                <w:lang w:val="en-AU"/>
              </w:rPr>
            </w:pPr>
            <w:r w:rsidRPr="006A699C">
              <w:rPr>
                <w:rFonts w:ascii="Times New Roman" w:eastAsia="Calibri" w:hAnsi="Times New Roman" w:cs="Times New Roman"/>
                <w:sz w:val="20"/>
                <w:szCs w:val="20"/>
                <w:lang w:val="en-AU"/>
              </w:rPr>
              <w:t>82.5% (8%)</w:t>
            </w:r>
          </w:p>
        </w:tc>
        <w:tc>
          <w:tcPr>
            <w:tcW w:w="1275" w:type="dxa"/>
            <w:vAlign w:val="center"/>
          </w:tcPr>
          <w:p w14:paraId="3EB10A71" w14:textId="77777777" w:rsidR="006A699C" w:rsidRPr="006A699C" w:rsidRDefault="006A699C" w:rsidP="006A699C">
            <w:pPr>
              <w:spacing w:before="60" w:after="60"/>
              <w:jc w:val="center"/>
              <w:rPr>
                <w:rFonts w:ascii="Times New Roman" w:eastAsia="Calibri" w:hAnsi="Times New Roman" w:cs="Times New Roman"/>
                <w:sz w:val="20"/>
                <w:szCs w:val="20"/>
                <w:lang w:val="en-AU"/>
              </w:rPr>
            </w:pPr>
            <w:r w:rsidRPr="006A699C">
              <w:rPr>
                <w:rFonts w:ascii="Times New Roman" w:eastAsia="Calibri" w:hAnsi="Times New Roman" w:cs="Times New Roman"/>
                <w:sz w:val="20"/>
                <w:szCs w:val="20"/>
                <w:lang w:val="en-AU"/>
              </w:rPr>
              <w:t>79.9% (5%)</w:t>
            </w:r>
          </w:p>
        </w:tc>
      </w:tr>
      <w:tr w:rsidR="006A699C" w:rsidRPr="006A699C" w14:paraId="60D17A8D" w14:textId="77777777" w:rsidTr="003F1754">
        <w:trPr>
          <w:trHeight w:val="288"/>
          <w:jc w:val="center"/>
        </w:trPr>
        <w:tc>
          <w:tcPr>
            <w:tcW w:w="2220" w:type="dxa"/>
            <w:vAlign w:val="center"/>
          </w:tcPr>
          <w:p w14:paraId="45CE2A95" w14:textId="77777777" w:rsidR="006A699C" w:rsidRPr="006A699C" w:rsidRDefault="006A699C" w:rsidP="006A699C">
            <w:pPr>
              <w:spacing w:before="60" w:after="60"/>
              <w:rPr>
                <w:rFonts w:ascii="Times New Roman" w:eastAsia="Calibri" w:hAnsi="Times New Roman" w:cs="Times New Roman"/>
                <w:sz w:val="20"/>
                <w:szCs w:val="20"/>
                <w:lang w:val="en-AU"/>
              </w:rPr>
            </w:pPr>
            <w:r w:rsidRPr="006A699C">
              <w:rPr>
                <w:rFonts w:ascii="Times New Roman" w:eastAsia="Calibri" w:hAnsi="Times New Roman" w:cs="Times New Roman"/>
                <w:sz w:val="20"/>
                <w:szCs w:val="20"/>
                <w:lang w:val="en-AU"/>
              </w:rPr>
              <w:t>Tumour size (% ≤15mm diameter)</w:t>
            </w:r>
          </w:p>
        </w:tc>
        <w:tc>
          <w:tcPr>
            <w:tcW w:w="1035" w:type="dxa"/>
            <w:vAlign w:val="center"/>
          </w:tcPr>
          <w:p w14:paraId="1144810E" w14:textId="77777777" w:rsidR="006A699C" w:rsidRPr="006A699C" w:rsidRDefault="006A699C" w:rsidP="006A699C">
            <w:pPr>
              <w:spacing w:before="60" w:after="60"/>
              <w:jc w:val="center"/>
              <w:rPr>
                <w:rFonts w:ascii="Times New Roman" w:eastAsia="Calibri" w:hAnsi="Times New Roman" w:cs="Times New Roman"/>
                <w:sz w:val="20"/>
                <w:szCs w:val="20"/>
                <w:lang w:val="en-AU"/>
              </w:rPr>
            </w:pPr>
            <w:r w:rsidRPr="006A699C">
              <w:rPr>
                <w:rFonts w:ascii="Times New Roman" w:eastAsia="Calibri" w:hAnsi="Times New Roman" w:cs="Times New Roman"/>
                <w:sz w:val="20"/>
                <w:szCs w:val="20"/>
                <w:lang w:val="en-AU"/>
              </w:rPr>
              <w:t>59.7%</w:t>
            </w:r>
          </w:p>
        </w:tc>
        <w:tc>
          <w:tcPr>
            <w:tcW w:w="1035" w:type="dxa"/>
            <w:vAlign w:val="center"/>
          </w:tcPr>
          <w:p w14:paraId="0C17B148" w14:textId="77777777" w:rsidR="006A699C" w:rsidRPr="006A699C" w:rsidRDefault="006A699C" w:rsidP="006A699C">
            <w:pPr>
              <w:spacing w:before="60" w:after="60"/>
              <w:jc w:val="center"/>
              <w:rPr>
                <w:rFonts w:ascii="Times New Roman" w:eastAsia="Calibri" w:hAnsi="Times New Roman" w:cs="Times New Roman"/>
                <w:sz w:val="20"/>
                <w:szCs w:val="20"/>
                <w:lang w:val="en-AU"/>
              </w:rPr>
            </w:pPr>
            <w:r w:rsidRPr="006A699C">
              <w:rPr>
                <w:rFonts w:ascii="Times New Roman" w:eastAsia="Calibri" w:hAnsi="Times New Roman" w:cs="Times New Roman"/>
                <w:sz w:val="20"/>
                <w:szCs w:val="20"/>
                <w:lang w:val="en-AU"/>
              </w:rPr>
              <w:t>59.3%</w:t>
            </w:r>
          </w:p>
        </w:tc>
        <w:tc>
          <w:tcPr>
            <w:tcW w:w="1035" w:type="dxa"/>
            <w:tcBorders>
              <w:right w:val="single" w:sz="4" w:space="0" w:color="auto"/>
            </w:tcBorders>
            <w:vAlign w:val="center"/>
          </w:tcPr>
          <w:p w14:paraId="03F8DDAB" w14:textId="77777777" w:rsidR="006A699C" w:rsidRPr="006A699C" w:rsidRDefault="006A699C" w:rsidP="006A699C">
            <w:pPr>
              <w:spacing w:before="60" w:after="60"/>
              <w:jc w:val="center"/>
              <w:rPr>
                <w:rFonts w:ascii="Times New Roman" w:eastAsia="Calibri" w:hAnsi="Times New Roman" w:cs="Times New Roman"/>
                <w:sz w:val="20"/>
                <w:szCs w:val="20"/>
                <w:lang w:val="en-AU"/>
              </w:rPr>
            </w:pPr>
            <w:r w:rsidRPr="006A699C">
              <w:rPr>
                <w:rFonts w:ascii="Times New Roman" w:eastAsia="Calibri" w:hAnsi="Times New Roman" w:cs="Times New Roman"/>
                <w:sz w:val="20"/>
                <w:szCs w:val="20"/>
                <w:lang w:val="en-AU"/>
              </w:rPr>
              <w:t>59.3%</w:t>
            </w:r>
          </w:p>
        </w:tc>
        <w:tc>
          <w:tcPr>
            <w:tcW w:w="1332" w:type="dxa"/>
            <w:tcBorders>
              <w:left w:val="single" w:sz="4" w:space="0" w:color="auto"/>
            </w:tcBorders>
            <w:vAlign w:val="center"/>
          </w:tcPr>
          <w:p w14:paraId="7D5C99AC" w14:textId="77777777" w:rsidR="006A699C" w:rsidRPr="006A699C" w:rsidRDefault="006A699C" w:rsidP="006A699C">
            <w:pPr>
              <w:spacing w:before="60" w:after="60"/>
              <w:jc w:val="center"/>
              <w:rPr>
                <w:rFonts w:ascii="Times New Roman" w:eastAsia="Calibri" w:hAnsi="Times New Roman" w:cs="Times New Roman"/>
                <w:sz w:val="20"/>
                <w:szCs w:val="20"/>
                <w:lang w:val="en-AU"/>
              </w:rPr>
            </w:pPr>
            <w:r w:rsidRPr="006A699C">
              <w:rPr>
                <w:rFonts w:ascii="Times New Roman" w:hAnsi="Times New Roman" w:cs="Times New Roman"/>
                <w:sz w:val="20"/>
                <w:szCs w:val="20"/>
                <w:lang w:val="en-AU"/>
              </w:rPr>
              <w:t>56.5% (-5%)</w:t>
            </w:r>
          </w:p>
        </w:tc>
        <w:tc>
          <w:tcPr>
            <w:tcW w:w="1276" w:type="dxa"/>
            <w:vAlign w:val="center"/>
          </w:tcPr>
          <w:p w14:paraId="6480504C" w14:textId="77777777" w:rsidR="006A699C" w:rsidRPr="006A699C" w:rsidRDefault="006A699C" w:rsidP="006A699C">
            <w:pPr>
              <w:spacing w:before="60" w:after="60"/>
              <w:jc w:val="center"/>
              <w:rPr>
                <w:rFonts w:ascii="Times New Roman" w:eastAsia="Calibri" w:hAnsi="Times New Roman" w:cs="Times New Roman"/>
                <w:sz w:val="20"/>
                <w:szCs w:val="20"/>
                <w:lang w:val="en-AU"/>
              </w:rPr>
            </w:pPr>
            <w:r w:rsidRPr="006A699C">
              <w:rPr>
                <w:rFonts w:ascii="Times New Roman" w:eastAsia="Calibri" w:hAnsi="Times New Roman" w:cs="Times New Roman"/>
                <w:sz w:val="20"/>
                <w:szCs w:val="20"/>
                <w:lang w:val="en-AU"/>
              </w:rPr>
              <w:t>57.0% (-4%)</w:t>
            </w:r>
          </w:p>
        </w:tc>
        <w:tc>
          <w:tcPr>
            <w:tcW w:w="1275" w:type="dxa"/>
            <w:vAlign w:val="center"/>
          </w:tcPr>
          <w:p w14:paraId="29955458" w14:textId="77777777" w:rsidR="006A699C" w:rsidRPr="006A699C" w:rsidRDefault="006A699C" w:rsidP="006A699C">
            <w:pPr>
              <w:spacing w:before="60" w:after="60"/>
              <w:jc w:val="center"/>
              <w:rPr>
                <w:rFonts w:ascii="Times New Roman" w:eastAsia="Calibri" w:hAnsi="Times New Roman" w:cs="Times New Roman"/>
                <w:sz w:val="20"/>
                <w:szCs w:val="20"/>
                <w:lang w:val="en-AU"/>
              </w:rPr>
            </w:pPr>
            <w:r w:rsidRPr="006A699C">
              <w:rPr>
                <w:rFonts w:ascii="Times New Roman" w:eastAsia="Calibri" w:hAnsi="Times New Roman" w:cs="Times New Roman"/>
                <w:sz w:val="20"/>
                <w:szCs w:val="20"/>
                <w:lang w:val="en-AU"/>
              </w:rPr>
              <w:t>57.0% (-4%)</w:t>
            </w:r>
          </w:p>
        </w:tc>
      </w:tr>
      <w:tr w:rsidR="006A699C" w:rsidRPr="006A699C" w14:paraId="0A2FE9A5" w14:textId="77777777" w:rsidTr="003F1754">
        <w:trPr>
          <w:trHeight w:val="288"/>
          <w:jc w:val="center"/>
        </w:trPr>
        <w:tc>
          <w:tcPr>
            <w:tcW w:w="2220" w:type="dxa"/>
            <w:vAlign w:val="center"/>
          </w:tcPr>
          <w:p w14:paraId="5F57511B" w14:textId="77777777" w:rsidR="006A699C" w:rsidRPr="006A699C" w:rsidRDefault="006A699C" w:rsidP="006A699C">
            <w:pPr>
              <w:spacing w:before="60" w:after="60"/>
              <w:rPr>
                <w:rFonts w:ascii="Times New Roman" w:eastAsia="Calibri" w:hAnsi="Times New Roman" w:cs="Times New Roman"/>
                <w:sz w:val="20"/>
                <w:szCs w:val="20"/>
                <w:lang w:val="en-AU"/>
              </w:rPr>
            </w:pPr>
            <w:r w:rsidRPr="006A699C">
              <w:rPr>
                <w:rFonts w:ascii="Times New Roman" w:eastAsia="Calibri" w:hAnsi="Times New Roman" w:cs="Times New Roman"/>
                <w:sz w:val="20"/>
                <w:szCs w:val="20"/>
                <w:lang w:val="en-AU"/>
              </w:rPr>
              <w:t>Nodal involvement (% involving nodes)</w:t>
            </w:r>
          </w:p>
        </w:tc>
        <w:tc>
          <w:tcPr>
            <w:tcW w:w="1035" w:type="dxa"/>
            <w:vAlign w:val="center"/>
          </w:tcPr>
          <w:p w14:paraId="33CF6980" w14:textId="77777777" w:rsidR="006A699C" w:rsidRPr="006A699C" w:rsidRDefault="006A699C" w:rsidP="006A699C">
            <w:pPr>
              <w:spacing w:before="60" w:after="60"/>
              <w:jc w:val="center"/>
              <w:rPr>
                <w:rFonts w:ascii="Times New Roman" w:eastAsia="Calibri" w:hAnsi="Times New Roman" w:cs="Times New Roman"/>
                <w:sz w:val="20"/>
                <w:szCs w:val="20"/>
                <w:lang w:val="en-AU"/>
              </w:rPr>
            </w:pPr>
            <w:r w:rsidRPr="006A699C">
              <w:rPr>
                <w:rFonts w:ascii="Times New Roman" w:eastAsia="Calibri" w:hAnsi="Times New Roman" w:cs="Times New Roman"/>
                <w:sz w:val="20"/>
                <w:szCs w:val="20"/>
                <w:lang w:val="en-AU"/>
              </w:rPr>
              <w:t>24.9%</w:t>
            </w:r>
          </w:p>
        </w:tc>
        <w:tc>
          <w:tcPr>
            <w:tcW w:w="1035" w:type="dxa"/>
            <w:vAlign w:val="center"/>
          </w:tcPr>
          <w:p w14:paraId="370F3488" w14:textId="77777777" w:rsidR="006A699C" w:rsidRPr="006A699C" w:rsidRDefault="006A699C" w:rsidP="006A699C">
            <w:pPr>
              <w:spacing w:before="60" w:after="60"/>
              <w:jc w:val="center"/>
              <w:rPr>
                <w:rFonts w:ascii="Times New Roman" w:eastAsia="Calibri" w:hAnsi="Times New Roman" w:cs="Times New Roman"/>
                <w:sz w:val="20"/>
                <w:szCs w:val="20"/>
                <w:lang w:val="en-AU"/>
              </w:rPr>
            </w:pPr>
            <w:r w:rsidRPr="006A699C">
              <w:rPr>
                <w:rFonts w:ascii="Times New Roman" w:eastAsia="Calibri" w:hAnsi="Times New Roman" w:cs="Times New Roman"/>
                <w:sz w:val="20"/>
                <w:szCs w:val="20"/>
                <w:lang w:val="en-AU"/>
              </w:rPr>
              <w:t>25.2%</w:t>
            </w:r>
          </w:p>
        </w:tc>
        <w:tc>
          <w:tcPr>
            <w:tcW w:w="1035" w:type="dxa"/>
            <w:tcBorders>
              <w:right w:val="single" w:sz="4" w:space="0" w:color="auto"/>
            </w:tcBorders>
            <w:vAlign w:val="center"/>
          </w:tcPr>
          <w:p w14:paraId="5D5F27DC" w14:textId="77777777" w:rsidR="006A699C" w:rsidRPr="006A699C" w:rsidRDefault="006A699C" w:rsidP="006A699C">
            <w:pPr>
              <w:spacing w:before="60" w:after="60"/>
              <w:jc w:val="center"/>
              <w:rPr>
                <w:rFonts w:ascii="Times New Roman" w:eastAsia="Calibri" w:hAnsi="Times New Roman" w:cs="Times New Roman"/>
                <w:sz w:val="20"/>
                <w:szCs w:val="20"/>
                <w:lang w:val="en-AU"/>
              </w:rPr>
            </w:pPr>
            <w:r w:rsidRPr="006A699C">
              <w:rPr>
                <w:rFonts w:ascii="Times New Roman" w:eastAsia="Calibri" w:hAnsi="Times New Roman" w:cs="Times New Roman"/>
                <w:sz w:val="20"/>
                <w:szCs w:val="20"/>
                <w:lang w:val="en-AU"/>
              </w:rPr>
              <w:t>25.5%</w:t>
            </w:r>
          </w:p>
        </w:tc>
        <w:tc>
          <w:tcPr>
            <w:tcW w:w="1332" w:type="dxa"/>
            <w:tcBorders>
              <w:left w:val="single" w:sz="4" w:space="0" w:color="auto"/>
            </w:tcBorders>
            <w:vAlign w:val="center"/>
          </w:tcPr>
          <w:p w14:paraId="268916B0" w14:textId="77777777" w:rsidR="006A699C" w:rsidRPr="006A699C" w:rsidRDefault="006A699C" w:rsidP="006A699C">
            <w:pPr>
              <w:spacing w:before="60" w:after="60"/>
              <w:jc w:val="center"/>
              <w:rPr>
                <w:rFonts w:ascii="Times New Roman" w:eastAsia="Calibri" w:hAnsi="Times New Roman" w:cs="Times New Roman"/>
                <w:sz w:val="20"/>
                <w:szCs w:val="20"/>
                <w:lang w:val="en-AU"/>
              </w:rPr>
            </w:pPr>
            <w:r w:rsidRPr="006A699C">
              <w:rPr>
                <w:rFonts w:ascii="Times New Roman" w:hAnsi="Times New Roman" w:cs="Times New Roman"/>
                <w:sz w:val="20"/>
                <w:szCs w:val="20"/>
                <w:lang w:val="en-AU"/>
              </w:rPr>
              <w:t>26.4% (6%)</w:t>
            </w:r>
          </w:p>
        </w:tc>
        <w:tc>
          <w:tcPr>
            <w:tcW w:w="1276" w:type="dxa"/>
            <w:vAlign w:val="center"/>
          </w:tcPr>
          <w:p w14:paraId="743829C3" w14:textId="77777777" w:rsidR="006A699C" w:rsidRPr="006A699C" w:rsidRDefault="006A699C" w:rsidP="006A699C">
            <w:pPr>
              <w:spacing w:before="60" w:after="60"/>
              <w:jc w:val="center"/>
              <w:rPr>
                <w:rFonts w:ascii="Times New Roman" w:eastAsia="Calibri" w:hAnsi="Times New Roman" w:cs="Times New Roman"/>
                <w:sz w:val="20"/>
                <w:szCs w:val="20"/>
                <w:lang w:val="en-AU"/>
              </w:rPr>
            </w:pPr>
            <w:r w:rsidRPr="006A699C">
              <w:rPr>
                <w:rFonts w:ascii="Times New Roman" w:eastAsia="Calibri" w:hAnsi="Times New Roman" w:cs="Times New Roman"/>
                <w:sz w:val="20"/>
                <w:szCs w:val="20"/>
                <w:lang w:val="en-AU"/>
              </w:rPr>
              <w:t>26.9% (7%)</w:t>
            </w:r>
          </w:p>
        </w:tc>
        <w:tc>
          <w:tcPr>
            <w:tcW w:w="1275" w:type="dxa"/>
            <w:vAlign w:val="center"/>
          </w:tcPr>
          <w:p w14:paraId="29A71727" w14:textId="77777777" w:rsidR="006A699C" w:rsidRPr="006A699C" w:rsidRDefault="006A699C" w:rsidP="006A699C">
            <w:pPr>
              <w:spacing w:before="60" w:after="60"/>
              <w:jc w:val="center"/>
              <w:rPr>
                <w:rFonts w:ascii="Times New Roman" w:eastAsia="Calibri" w:hAnsi="Times New Roman" w:cs="Times New Roman"/>
                <w:sz w:val="20"/>
                <w:szCs w:val="20"/>
                <w:lang w:val="en-AU"/>
              </w:rPr>
            </w:pPr>
            <w:r w:rsidRPr="006A699C">
              <w:rPr>
                <w:rFonts w:ascii="Times New Roman" w:eastAsia="Calibri" w:hAnsi="Times New Roman" w:cs="Times New Roman"/>
                <w:sz w:val="20"/>
                <w:szCs w:val="20"/>
                <w:lang w:val="en-AU"/>
              </w:rPr>
              <w:t>26.7% (5%)</w:t>
            </w:r>
          </w:p>
        </w:tc>
      </w:tr>
      <w:tr w:rsidR="006A699C" w:rsidRPr="006A699C" w14:paraId="020D3504" w14:textId="77777777" w:rsidTr="003F1754">
        <w:trPr>
          <w:trHeight w:val="288"/>
          <w:jc w:val="center"/>
        </w:trPr>
        <w:tc>
          <w:tcPr>
            <w:tcW w:w="2220" w:type="dxa"/>
            <w:vAlign w:val="center"/>
          </w:tcPr>
          <w:p w14:paraId="6B231470" w14:textId="77777777" w:rsidR="006A699C" w:rsidRPr="006A699C" w:rsidRDefault="006A699C" w:rsidP="006A699C">
            <w:pPr>
              <w:spacing w:before="60" w:after="60"/>
              <w:rPr>
                <w:rFonts w:ascii="Times New Roman" w:eastAsia="Calibri" w:hAnsi="Times New Roman" w:cs="Times New Roman"/>
                <w:sz w:val="20"/>
                <w:szCs w:val="20"/>
                <w:lang w:val="en-AU"/>
              </w:rPr>
            </w:pPr>
            <w:r w:rsidRPr="006A699C">
              <w:rPr>
                <w:rFonts w:ascii="Times New Roman" w:eastAsia="Calibri" w:hAnsi="Times New Roman" w:cs="Times New Roman"/>
                <w:sz w:val="20"/>
                <w:szCs w:val="20"/>
                <w:lang w:val="en-AU"/>
              </w:rPr>
              <w:t>Grade (% Grade 3 versus Grade 1/2)</w:t>
            </w:r>
          </w:p>
        </w:tc>
        <w:tc>
          <w:tcPr>
            <w:tcW w:w="1035" w:type="dxa"/>
            <w:vAlign w:val="center"/>
          </w:tcPr>
          <w:p w14:paraId="3BD4010D" w14:textId="77777777" w:rsidR="006A699C" w:rsidRPr="006A699C" w:rsidRDefault="006A699C" w:rsidP="006A699C">
            <w:pPr>
              <w:spacing w:before="60" w:after="60"/>
              <w:jc w:val="center"/>
              <w:rPr>
                <w:rFonts w:ascii="Times New Roman" w:eastAsia="Calibri" w:hAnsi="Times New Roman" w:cs="Times New Roman"/>
                <w:sz w:val="20"/>
                <w:szCs w:val="20"/>
                <w:lang w:val="en-AU"/>
              </w:rPr>
            </w:pPr>
            <w:r w:rsidRPr="006A699C">
              <w:rPr>
                <w:rFonts w:ascii="Times New Roman" w:eastAsia="Calibri" w:hAnsi="Times New Roman" w:cs="Times New Roman"/>
                <w:sz w:val="20"/>
                <w:szCs w:val="20"/>
                <w:lang w:val="en-AU"/>
              </w:rPr>
              <w:t>46.6%</w:t>
            </w:r>
          </w:p>
        </w:tc>
        <w:tc>
          <w:tcPr>
            <w:tcW w:w="1035" w:type="dxa"/>
            <w:vAlign w:val="center"/>
          </w:tcPr>
          <w:p w14:paraId="4F392D02" w14:textId="77777777" w:rsidR="006A699C" w:rsidRPr="006A699C" w:rsidRDefault="006A699C" w:rsidP="006A699C">
            <w:pPr>
              <w:spacing w:before="60" w:after="60"/>
              <w:jc w:val="center"/>
              <w:rPr>
                <w:rFonts w:ascii="Times New Roman" w:eastAsia="Calibri" w:hAnsi="Times New Roman" w:cs="Times New Roman"/>
                <w:sz w:val="20"/>
                <w:szCs w:val="20"/>
                <w:lang w:val="en-AU"/>
              </w:rPr>
            </w:pPr>
            <w:r w:rsidRPr="006A699C">
              <w:rPr>
                <w:rFonts w:ascii="Times New Roman" w:eastAsia="Calibri" w:hAnsi="Times New Roman" w:cs="Times New Roman"/>
                <w:sz w:val="20"/>
                <w:szCs w:val="20"/>
                <w:lang w:val="en-AU"/>
              </w:rPr>
              <w:t>46.1%</w:t>
            </w:r>
          </w:p>
        </w:tc>
        <w:tc>
          <w:tcPr>
            <w:tcW w:w="1035" w:type="dxa"/>
            <w:tcBorders>
              <w:right w:val="single" w:sz="4" w:space="0" w:color="auto"/>
            </w:tcBorders>
            <w:noWrap/>
            <w:vAlign w:val="center"/>
          </w:tcPr>
          <w:p w14:paraId="5F808509" w14:textId="77777777" w:rsidR="006A699C" w:rsidRPr="006A699C" w:rsidRDefault="006A699C" w:rsidP="006A699C">
            <w:pPr>
              <w:spacing w:before="60" w:after="60"/>
              <w:jc w:val="center"/>
              <w:rPr>
                <w:rFonts w:ascii="Times New Roman" w:eastAsia="Calibri" w:hAnsi="Times New Roman" w:cs="Times New Roman"/>
                <w:sz w:val="20"/>
                <w:szCs w:val="20"/>
                <w:lang w:val="en-AU"/>
              </w:rPr>
            </w:pPr>
            <w:r w:rsidRPr="006A699C">
              <w:rPr>
                <w:rFonts w:ascii="Times New Roman" w:eastAsia="Calibri" w:hAnsi="Times New Roman" w:cs="Times New Roman"/>
                <w:sz w:val="20"/>
                <w:szCs w:val="20"/>
                <w:lang w:val="en-AU"/>
              </w:rPr>
              <w:t>45.8%</w:t>
            </w:r>
          </w:p>
        </w:tc>
        <w:tc>
          <w:tcPr>
            <w:tcW w:w="1332" w:type="dxa"/>
            <w:tcBorders>
              <w:left w:val="single" w:sz="4" w:space="0" w:color="auto"/>
            </w:tcBorders>
            <w:noWrap/>
            <w:vAlign w:val="center"/>
          </w:tcPr>
          <w:p w14:paraId="607C85E8" w14:textId="77777777" w:rsidR="006A699C" w:rsidRPr="006A699C" w:rsidRDefault="006A699C" w:rsidP="006A699C">
            <w:pPr>
              <w:spacing w:before="60" w:after="60"/>
              <w:jc w:val="center"/>
              <w:rPr>
                <w:rFonts w:ascii="Times New Roman" w:eastAsia="Calibri" w:hAnsi="Times New Roman" w:cs="Times New Roman"/>
                <w:sz w:val="20"/>
                <w:szCs w:val="20"/>
                <w:lang w:val="en-AU"/>
              </w:rPr>
            </w:pPr>
            <w:r w:rsidRPr="006A699C">
              <w:rPr>
                <w:rFonts w:ascii="Times New Roman" w:hAnsi="Times New Roman" w:cs="Times New Roman"/>
                <w:sz w:val="20"/>
                <w:szCs w:val="20"/>
                <w:lang w:val="en-AU"/>
              </w:rPr>
              <w:t>48.4% (4%)</w:t>
            </w:r>
          </w:p>
        </w:tc>
        <w:tc>
          <w:tcPr>
            <w:tcW w:w="1276" w:type="dxa"/>
            <w:noWrap/>
            <w:vAlign w:val="center"/>
          </w:tcPr>
          <w:p w14:paraId="2429F4BE" w14:textId="77777777" w:rsidR="006A699C" w:rsidRPr="006A699C" w:rsidRDefault="006A699C" w:rsidP="006A699C">
            <w:pPr>
              <w:spacing w:before="60" w:after="60"/>
              <w:jc w:val="center"/>
              <w:rPr>
                <w:rFonts w:ascii="Times New Roman" w:eastAsia="Calibri" w:hAnsi="Times New Roman" w:cs="Times New Roman"/>
                <w:sz w:val="20"/>
                <w:szCs w:val="20"/>
                <w:lang w:val="en-AU"/>
              </w:rPr>
            </w:pPr>
            <w:r w:rsidRPr="006A699C">
              <w:rPr>
                <w:rFonts w:ascii="Times New Roman" w:eastAsia="Calibri" w:hAnsi="Times New Roman" w:cs="Times New Roman"/>
                <w:sz w:val="20"/>
                <w:szCs w:val="20"/>
                <w:lang w:val="en-AU"/>
              </w:rPr>
              <w:t>46.9% (2%)</w:t>
            </w:r>
          </w:p>
        </w:tc>
        <w:tc>
          <w:tcPr>
            <w:tcW w:w="1275" w:type="dxa"/>
            <w:noWrap/>
            <w:vAlign w:val="center"/>
          </w:tcPr>
          <w:p w14:paraId="789EE03B" w14:textId="77777777" w:rsidR="006A699C" w:rsidRPr="006A699C" w:rsidRDefault="006A699C" w:rsidP="006A699C">
            <w:pPr>
              <w:spacing w:before="60" w:after="60"/>
              <w:jc w:val="center"/>
              <w:rPr>
                <w:rFonts w:ascii="Times New Roman" w:eastAsia="Calibri" w:hAnsi="Times New Roman" w:cs="Times New Roman"/>
                <w:sz w:val="20"/>
                <w:szCs w:val="20"/>
                <w:lang w:val="en-AU"/>
              </w:rPr>
            </w:pPr>
            <w:r w:rsidRPr="006A699C">
              <w:rPr>
                <w:rFonts w:ascii="Times New Roman" w:eastAsia="Calibri" w:hAnsi="Times New Roman" w:cs="Times New Roman"/>
                <w:sz w:val="20"/>
                <w:szCs w:val="20"/>
                <w:lang w:val="en-AU"/>
              </w:rPr>
              <w:t>47.4% (3%)</w:t>
            </w:r>
          </w:p>
        </w:tc>
      </w:tr>
      <w:tr w:rsidR="006A699C" w:rsidRPr="006A699C" w14:paraId="71E61B49" w14:textId="77777777" w:rsidTr="003F1754">
        <w:trPr>
          <w:trHeight w:val="288"/>
          <w:jc w:val="center"/>
        </w:trPr>
        <w:tc>
          <w:tcPr>
            <w:tcW w:w="2220" w:type="dxa"/>
            <w:vAlign w:val="center"/>
          </w:tcPr>
          <w:p w14:paraId="4FB79E6A" w14:textId="77777777" w:rsidR="006A699C" w:rsidRPr="006A699C" w:rsidRDefault="006A699C" w:rsidP="006A699C">
            <w:pPr>
              <w:spacing w:before="60" w:after="60"/>
              <w:rPr>
                <w:rFonts w:ascii="Times New Roman" w:eastAsia="Calibri" w:hAnsi="Times New Roman" w:cs="Times New Roman"/>
                <w:sz w:val="20"/>
                <w:szCs w:val="20"/>
                <w:lang w:val="en-AU"/>
              </w:rPr>
            </w:pPr>
            <w:r w:rsidRPr="006A699C">
              <w:rPr>
                <w:rFonts w:ascii="Times New Roman" w:eastAsia="Calibri" w:hAnsi="Times New Roman" w:cs="Times New Roman"/>
                <w:sz w:val="20"/>
                <w:szCs w:val="20"/>
                <w:lang w:val="en-AU"/>
              </w:rPr>
              <w:t>Recall rate (N)</w:t>
            </w:r>
            <w:r w:rsidRPr="006A699C">
              <w:rPr>
                <w:rFonts w:ascii="Times New Roman" w:eastAsia="Calibri" w:hAnsi="Times New Roman" w:cs="Times New Roman"/>
                <w:sz w:val="20"/>
                <w:szCs w:val="20"/>
                <w:vertAlign w:val="superscript"/>
                <w:lang w:val="en-AU"/>
              </w:rPr>
              <w:t>c</w:t>
            </w:r>
          </w:p>
        </w:tc>
        <w:tc>
          <w:tcPr>
            <w:tcW w:w="1035" w:type="dxa"/>
            <w:vAlign w:val="center"/>
          </w:tcPr>
          <w:p w14:paraId="524518AF" w14:textId="77777777" w:rsidR="006A699C" w:rsidRPr="006A699C" w:rsidRDefault="006A699C" w:rsidP="006A699C">
            <w:pPr>
              <w:spacing w:before="60" w:after="60"/>
              <w:jc w:val="center"/>
              <w:rPr>
                <w:rFonts w:ascii="Times New Roman" w:eastAsia="Calibri" w:hAnsi="Times New Roman" w:cs="Times New Roman"/>
                <w:sz w:val="20"/>
                <w:szCs w:val="20"/>
                <w:lang w:val="en-AU"/>
              </w:rPr>
            </w:pPr>
            <w:r w:rsidRPr="006A699C">
              <w:rPr>
                <w:rFonts w:ascii="Times New Roman" w:eastAsia="Calibri" w:hAnsi="Times New Roman" w:cs="Times New Roman"/>
                <w:sz w:val="20"/>
                <w:szCs w:val="20"/>
                <w:lang w:val="en-AU"/>
              </w:rPr>
              <w:t>5.2%</w:t>
            </w:r>
          </w:p>
        </w:tc>
        <w:tc>
          <w:tcPr>
            <w:tcW w:w="1035" w:type="dxa"/>
            <w:vAlign w:val="center"/>
          </w:tcPr>
          <w:p w14:paraId="3FD0C9B1" w14:textId="77777777" w:rsidR="006A699C" w:rsidRPr="006A699C" w:rsidRDefault="006A699C" w:rsidP="006A699C">
            <w:pPr>
              <w:spacing w:before="60" w:after="60"/>
              <w:jc w:val="center"/>
              <w:rPr>
                <w:rFonts w:ascii="Times New Roman" w:eastAsia="Calibri" w:hAnsi="Times New Roman" w:cs="Times New Roman"/>
                <w:sz w:val="20"/>
                <w:szCs w:val="20"/>
                <w:lang w:val="en-AU"/>
              </w:rPr>
            </w:pPr>
            <w:r w:rsidRPr="006A699C">
              <w:rPr>
                <w:rFonts w:ascii="Times New Roman" w:eastAsia="Calibri" w:hAnsi="Times New Roman" w:cs="Times New Roman"/>
                <w:sz w:val="20"/>
                <w:szCs w:val="20"/>
                <w:lang w:val="en-AU"/>
              </w:rPr>
              <w:t>5.2%</w:t>
            </w:r>
          </w:p>
        </w:tc>
        <w:tc>
          <w:tcPr>
            <w:tcW w:w="1035" w:type="dxa"/>
            <w:tcBorders>
              <w:right w:val="single" w:sz="4" w:space="0" w:color="auto"/>
            </w:tcBorders>
            <w:noWrap/>
            <w:vAlign w:val="center"/>
          </w:tcPr>
          <w:p w14:paraId="47D65627" w14:textId="77777777" w:rsidR="006A699C" w:rsidRPr="006A699C" w:rsidRDefault="006A699C" w:rsidP="006A699C">
            <w:pPr>
              <w:spacing w:before="60" w:after="60"/>
              <w:jc w:val="center"/>
              <w:rPr>
                <w:rFonts w:ascii="Times New Roman" w:eastAsia="Calibri" w:hAnsi="Times New Roman" w:cs="Times New Roman"/>
                <w:sz w:val="20"/>
                <w:szCs w:val="20"/>
                <w:lang w:val="en-AU"/>
              </w:rPr>
            </w:pPr>
            <w:r w:rsidRPr="006A699C">
              <w:rPr>
                <w:rFonts w:ascii="Times New Roman" w:eastAsia="Calibri" w:hAnsi="Times New Roman" w:cs="Times New Roman"/>
                <w:sz w:val="20"/>
                <w:szCs w:val="20"/>
                <w:lang w:val="en-AU"/>
              </w:rPr>
              <w:t>5.2%</w:t>
            </w:r>
          </w:p>
        </w:tc>
        <w:tc>
          <w:tcPr>
            <w:tcW w:w="1332" w:type="dxa"/>
            <w:tcBorders>
              <w:left w:val="single" w:sz="4" w:space="0" w:color="auto"/>
            </w:tcBorders>
            <w:noWrap/>
            <w:vAlign w:val="center"/>
          </w:tcPr>
          <w:p w14:paraId="04B4019E" w14:textId="77777777" w:rsidR="006A699C" w:rsidRPr="006A699C" w:rsidRDefault="006A699C" w:rsidP="006A699C">
            <w:pPr>
              <w:spacing w:before="60" w:after="60"/>
              <w:jc w:val="center"/>
              <w:rPr>
                <w:rFonts w:ascii="Times New Roman" w:eastAsia="Calibri" w:hAnsi="Times New Roman" w:cs="Times New Roman"/>
                <w:sz w:val="20"/>
                <w:szCs w:val="20"/>
                <w:lang w:val="en-AU"/>
              </w:rPr>
            </w:pPr>
            <w:r w:rsidRPr="006A699C">
              <w:rPr>
                <w:rFonts w:ascii="Times New Roman" w:hAnsi="Times New Roman" w:cs="Times New Roman"/>
                <w:sz w:val="20"/>
                <w:szCs w:val="20"/>
                <w:lang w:val="en-AU"/>
              </w:rPr>
              <w:t>5.6% (8%)</w:t>
            </w:r>
          </w:p>
        </w:tc>
        <w:tc>
          <w:tcPr>
            <w:tcW w:w="1276" w:type="dxa"/>
            <w:noWrap/>
            <w:vAlign w:val="center"/>
          </w:tcPr>
          <w:p w14:paraId="08AED003" w14:textId="77777777" w:rsidR="006A699C" w:rsidRPr="006A699C" w:rsidRDefault="006A699C" w:rsidP="006A699C">
            <w:pPr>
              <w:spacing w:before="60" w:after="60"/>
              <w:jc w:val="center"/>
              <w:rPr>
                <w:rFonts w:ascii="Times New Roman" w:eastAsia="Calibri" w:hAnsi="Times New Roman" w:cs="Times New Roman"/>
                <w:sz w:val="20"/>
                <w:szCs w:val="20"/>
                <w:lang w:val="en-AU"/>
              </w:rPr>
            </w:pPr>
            <w:r w:rsidRPr="006A699C">
              <w:rPr>
                <w:rFonts w:ascii="Times New Roman" w:eastAsia="Calibri" w:hAnsi="Times New Roman" w:cs="Times New Roman"/>
                <w:sz w:val="20"/>
                <w:szCs w:val="20"/>
                <w:lang w:val="en-AU"/>
              </w:rPr>
              <w:t>5.6% (8%)</w:t>
            </w:r>
          </w:p>
        </w:tc>
        <w:tc>
          <w:tcPr>
            <w:tcW w:w="1275" w:type="dxa"/>
            <w:noWrap/>
            <w:vAlign w:val="center"/>
          </w:tcPr>
          <w:p w14:paraId="356EACC0" w14:textId="77777777" w:rsidR="006A699C" w:rsidRPr="006A699C" w:rsidRDefault="006A699C" w:rsidP="006A699C">
            <w:pPr>
              <w:spacing w:before="60" w:after="60"/>
              <w:jc w:val="center"/>
              <w:rPr>
                <w:rFonts w:ascii="Times New Roman" w:eastAsia="Calibri" w:hAnsi="Times New Roman" w:cs="Times New Roman"/>
                <w:sz w:val="20"/>
                <w:szCs w:val="20"/>
                <w:lang w:val="en-AU"/>
              </w:rPr>
            </w:pPr>
            <w:r w:rsidRPr="006A699C">
              <w:rPr>
                <w:rFonts w:ascii="Times New Roman" w:eastAsia="Calibri" w:hAnsi="Times New Roman" w:cs="Times New Roman"/>
                <w:sz w:val="20"/>
                <w:szCs w:val="20"/>
                <w:lang w:val="en-AU"/>
              </w:rPr>
              <w:t>5.4% (4%)</w:t>
            </w:r>
          </w:p>
        </w:tc>
      </w:tr>
      <w:tr w:rsidR="006A699C" w:rsidRPr="006A699C" w14:paraId="39801E3F" w14:textId="77777777" w:rsidTr="003F1754">
        <w:trPr>
          <w:trHeight w:val="288"/>
          <w:jc w:val="center"/>
        </w:trPr>
        <w:tc>
          <w:tcPr>
            <w:tcW w:w="2220" w:type="dxa"/>
            <w:tcBorders>
              <w:bottom w:val="single" w:sz="4" w:space="0" w:color="auto"/>
            </w:tcBorders>
            <w:vAlign w:val="center"/>
          </w:tcPr>
          <w:p w14:paraId="23B1C20C" w14:textId="77777777" w:rsidR="006A699C" w:rsidRPr="006A699C" w:rsidRDefault="006A699C" w:rsidP="006A699C">
            <w:pPr>
              <w:spacing w:before="60" w:after="60"/>
              <w:rPr>
                <w:rFonts w:ascii="Times New Roman" w:eastAsia="Calibri" w:hAnsi="Times New Roman" w:cs="Times New Roman"/>
                <w:sz w:val="20"/>
                <w:szCs w:val="20"/>
                <w:lang w:val="en-AU"/>
              </w:rPr>
            </w:pPr>
            <w:r w:rsidRPr="006A699C">
              <w:rPr>
                <w:rFonts w:ascii="Times New Roman" w:eastAsia="Calibri" w:hAnsi="Times New Roman" w:cs="Times New Roman"/>
                <w:sz w:val="20"/>
                <w:szCs w:val="20"/>
                <w:lang w:val="en-AU"/>
              </w:rPr>
              <w:t>False positive recall rate (N)</w:t>
            </w:r>
            <w:r w:rsidRPr="006A699C">
              <w:rPr>
                <w:rFonts w:ascii="Times New Roman" w:eastAsia="Calibri" w:hAnsi="Times New Roman" w:cs="Times New Roman"/>
                <w:sz w:val="20"/>
                <w:szCs w:val="20"/>
                <w:vertAlign w:val="superscript"/>
                <w:lang w:val="en-AU"/>
              </w:rPr>
              <w:t>d</w:t>
            </w:r>
          </w:p>
        </w:tc>
        <w:tc>
          <w:tcPr>
            <w:tcW w:w="1035" w:type="dxa"/>
            <w:tcBorders>
              <w:bottom w:val="single" w:sz="4" w:space="0" w:color="auto"/>
            </w:tcBorders>
            <w:vAlign w:val="center"/>
          </w:tcPr>
          <w:p w14:paraId="756E0A04" w14:textId="77777777" w:rsidR="006A699C" w:rsidRPr="006A699C" w:rsidRDefault="006A699C" w:rsidP="006A699C">
            <w:pPr>
              <w:spacing w:before="60" w:after="60"/>
              <w:jc w:val="center"/>
              <w:rPr>
                <w:rFonts w:ascii="Times New Roman" w:eastAsia="Calibri" w:hAnsi="Times New Roman" w:cs="Times New Roman"/>
                <w:sz w:val="20"/>
                <w:szCs w:val="20"/>
                <w:lang w:val="en-AU"/>
              </w:rPr>
            </w:pPr>
            <w:r w:rsidRPr="006A699C">
              <w:rPr>
                <w:rFonts w:ascii="Times New Roman" w:eastAsia="Calibri" w:hAnsi="Times New Roman" w:cs="Times New Roman"/>
                <w:sz w:val="20"/>
                <w:szCs w:val="20"/>
                <w:lang w:val="en-AU"/>
              </w:rPr>
              <w:t>4.6%</w:t>
            </w:r>
          </w:p>
        </w:tc>
        <w:tc>
          <w:tcPr>
            <w:tcW w:w="1035" w:type="dxa"/>
            <w:tcBorders>
              <w:bottom w:val="single" w:sz="4" w:space="0" w:color="auto"/>
            </w:tcBorders>
            <w:vAlign w:val="center"/>
          </w:tcPr>
          <w:p w14:paraId="19833C7B" w14:textId="77777777" w:rsidR="006A699C" w:rsidRPr="006A699C" w:rsidRDefault="006A699C" w:rsidP="006A699C">
            <w:pPr>
              <w:spacing w:before="60" w:after="60"/>
              <w:jc w:val="center"/>
              <w:rPr>
                <w:rFonts w:ascii="Times New Roman" w:eastAsia="Calibri" w:hAnsi="Times New Roman" w:cs="Times New Roman"/>
                <w:sz w:val="20"/>
                <w:szCs w:val="20"/>
                <w:lang w:val="en-AU"/>
              </w:rPr>
            </w:pPr>
            <w:r w:rsidRPr="006A699C">
              <w:rPr>
                <w:rFonts w:ascii="Times New Roman" w:eastAsia="Calibri" w:hAnsi="Times New Roman" w:cs="Times New Roman"/>
                <w:sz w:val="20"/>
                <w:szCs w:val="20"/>
                <w:lang w:val="en-AU"/>
              </w:rPr>
              <w:t>4.6%</w:t>
            </w:r>
          </w:p>
        </w:tc>
        <w:tc>
          <w:tcPr>
            <w:tcW w:w="1035" w:type="dxa"/>
            <w:tcBorders>
              <w:bottom w:val="single" w:sz="4" w:space="0" w:color="auto"/>
              <w:right w:val="single" w:sz="4" w:space="0" w:color="auto"/>
            </w:tcBorders>
            <w:noWrap/>
            <w:vAlign w:val="center"/>
          </w:tcPr>
          <w:p w14:paraId="5AB40C6E" w14:textId="77777777" w:rsidR="006A699C" w:rsidRPr="006A699C" w:rsidRDefault="006A699C" w:rsidP="006A699C">
            <w:pPr>
              <w:spacing w:before="60" w:after="60"/>
              <w:jc w:val="center"/>
              <w:rPr>
                <w:rFonts w:ascii="Times New Roman" w:eastAsia="Calibri" w:hAnsi="Times New Roman" w:cs="Times New Roman"/>
                <w:sz w:val="20"/>
                <w:szCs w:val="20"/>
                <w:lang w:val="en-AU"/>
              </w:rPr>
            </w:pPr>
            <w:r w:rsidRPr="006A699C">
              <w:rPr>
                <w:rFonts w:ascii="Times New Roman" w:eastAsia="Calibri" w:hAnsi="Times New Roman" w:cs="Times New Roman"/>
                <w:sz w:val="20"/>
                <w:szCs w:val="20"/>
                <w:lang w:val="en-AU"/>
              </w:rPr>
              <w:t>4.6%</w:t>
            </w:r>
          </w:p>
        </w:tc>
        <w:tc>
          <w:tcPr>
            <w:tcW w:w="1332" w:type="dxa"/>
            <w:tcBorders>
              <w:left w:val="single" w:sz="4" w:space="0" w:color="auto"/>
              <w:bottom w:val="single" w:sz="4" w:space="0" w:color="auto"/>
            </w:tcBorders>
            <w:noWrap/>
            <w:vAlign w:val="center"/>
          </w:tcPr>
          <w:p w14:paraId="484DB852" w14:textId="77777777" w:rsidR="006A699C" w:rsidRPr="006A699C" w:rsidRDefault="006A699C" w:rsidP="006A699C">
            <w:pPr>
              <w:spacing w:before="60" w:after="60"/>
              <w:jc w:val="center"/>
              <w:rPr>
                <w:rFonts w:ascii="Times New Roman" w:eastAsia="Calibri" w:hAnsi="Times New Roman" w:cs="Times New Roman"/>
                <w:sz w:val="20"/>
                <w:szCs w:val="20"/>
                <w:lang w:val="en-AU"/>
              </w:rPr>
            </w:pPr>
            <w:r w:rsidRPr="006A699C">
              <w:rPr>
                <w:rFonts w:ascii="Times New Roman" w:hAnsi="Times New Roman" w:cs="Times New Roman"/>
                <w:sz w:val="20"/>
                <w:szCs w:val="20"/>
                <w:lang w:val="en-AU"/>
              </w:rPr>
              <w:t>4.8% (4%)</w:t>
            </w:r>
          </w:p>
        </w:tc>
        <w:tc>
          <w:tcPr>
            <w:tcW w:w="1276" w:type="dxa"/>
            <w:tcBorders>
              <w:bottom w:val="single" w:sz="4" w:space="0" w:color="auto"/>
            </w:tcBorders>
            <w:noWrap/>
            <w:vAlign w:val="center"/>
          </w:tcPr>
          <w:p w14:paraId="68A4EBE4" w14:textId="77777777" w:rsidR="006A699C" w:rsidRPr="006A699C" w:rsidRDefault="006A699C" w:rsidP="006A699C">
            <w:pPr>
              <w:spacing w:before="60" w:after="60"/>
              <w:jc w:val="center"/>
              <w:rPr>
                <w:rFonts w:ascii="Times New Roman" w:eastAsia="Calibri" w:hAnsi="Times New Roman" w:cs="Times New Roman"/>
                <w:sz w:val="20"/>
                <w:szCs w:val="20"/>
                <w:lang w:val="en-AU"/>
              </w:rPr>
            </w:pPr>
            <w:r w:rsidRPr="006A699C">
              <w:rPr>
                <w:rFonts w:ascii="Times New Roman" w:eastAsia="Calibri" w:hAnsi="Times New Roman" w:cs="Times New Roman"/>
                <w:sz w:val="20"/>
                <w:szCs w:val="20"/>
                <w:lang w:val="en-AU"/>
              </w:rPr>
              <w:t>4.9% (7%)</w:t>
            </w:r>
          </w:p>
        </w:tc>
        <w:tc>
          <w:tcPr>
            <w:tcW w:w="1275" w:type="dxa"/>
            <w:tcBorders>
              <w:bottom w:val="single" w:sz="4" w:space="0" w:color="auto"/>
            </w:tcBorders>
            <w:noWrap/>
            <w:vAlign w:val="center"/>
          </w:tcPr>
          <w:p w14:paraId="19FA7C52" w14:textId="77777777" w:rsidR="006A699C" w:rsidRPr="006A699C" w:rsidRDefault="006A699C" w:rsidP="006A699C">
            <w:pPr>
              <w:spacing w:before="60" w:after="60"/>
              <w:jc w:val="center"/>
              <w:rPr>
                <w:rFonts w:ascii="Times New Roman" w:eastAsia="Calibri" w:hAnsi="Times New Roman" w:cs="Times New Roman"/>
                <w:sz w:val="20"/>
                <w:szCs w:val="20"/>
                <w:lang w:val="en-AU"/>
              </w:rPr>
            </w:pPr>
            <w:r w:rsidRPr="006A699C">
              <w:rPr>
                <w:rFonts w:ascii="Times New Roman" w:eastAsia="Calibri" w:hAnsi="Times New Roman" w:cs="Times New Roman"/>
                <w:sz w:val="20"/>
                <w:szCs w:val="20"/>
                <w:lang w:val="en-AU"/>
              </w:rPr>
              <w:t>4.7% (2%)</w:t>
            </w:r>
          </w:p>
        </w:tc>
      </w:tr>
    </w:tbl>
    <w:p w14:paraId="0315232B" w14:textId="77777777" w:rsidR="006A699C" w:rsidRPr="006A699C" w:rsidRDefault="006A699C" w:rsidP="006A699C">
      <w:pPr>
        <w:numPr>
          <w:ilvl w:val="0"/>
          <w:numId w:val="1"/>
        </w:numPr>
        <w:spacing w:after="0" w:line="240" w:lineRule="auto"/>
        <w:contextualSpacing/>
        <w:rPr>
          <w:rFonts w:ascii="Times New Roman" w:eastAsia="Calibri" w:hAnsi="Times New Roman" w:cs="Times New Roman"/>
          <w:sz w:val="18"/>
          <w:szCs w:val="18"/>
          <w:lang w:val="en-AU"/>
        </w:rPr>
      </w:pPr>
      <w:r w:rsidRPr="006A699C">
        <w:rPr>
          <w:rFonts w:ascii="Times New Roman" w:eastAsia="Calibri" w:hAnsi="Times New Roman" w:cs="Times New Roman"/>
          <w:sz w:val="18"/>
          <w:szCs w:val="18"/>
          <w:lang w:val="en-AU"/>
        </w:rPr>
        <w:t>Rates are per 100,000 women in the Australian population, including women who do not usually participate in screening.</w:t>
      </w:r>
    </w:p>
    <w:p w14:paraId="5CF2D8A6" w14:textId="77777777" w:rsidR="006A699C" w:rsidRPr="006A699C" w:rsidRDefault="006A699C" w:rsidP="006A699C">
      <w:pPr>
        <w:numPr>
          <w:ilvl w:val="0"/>
          <w:numId w:val="1"/>
        </w:numPr>
        <w:spacing w:after="0" w:line="240" w:lineRule="auto"/>
        <w:contextualSpacing/>
        <w:rPr>
          <w:rFonts w:ascii="Times New Roman" w:eastAsia="Calibri" w:hAnsi="Times New Roman" w:cs="Times New Roman"/>
          <w:i/>
          <w:iCs/>
          <w:color w:val="44546A"/>
          <w:sz w:val="18"/>
          <w:szCs w:val="18"/>
          <w:lang w:val="en-AU"/>
        </w:rPr>
      </w:pPr>
      <w:r w:rsidRPr="006A699C">
        <w:rPr>
          <w:rFonts w:ascii="Times New Roman" w:eastAsia="Calibri" w:hAnsi="Times New Roman" w:cs="Times New Roman"/>
          <w:sz w:val="18"/>
          <w:szCs w:val="18"/>
          <w:lang w:val="en-AU"/>
        </w:rPr>
        <w:t>Invasive breast cancers arising within 12 or 27 months of a negative screening episode.</w:t>
      </w:r>
    </w:p>
    <w:p w14:paraId="6B6E42B4" w14:textId="77777777" w:rsidR="006A699C" w:rsidRPr="006A699C" w:rsidRDefault="006A699C" w:rsidP="006A699C">
      <w:pPr>
        <w:numPr>
          <w:ilvl w:val="0"/>
          <w:numId w:val="1"/>
        </w:numPr>
        <w:spacing w:after="0" w:line="240" w:lineRule="auto"/>
        <w:contextualSpacing/>
        <w:rPr>
          <w:rFonts w:ascii="Times New Roman" w:eastAsia="Calibri" w:hAnsi="Times New Roman" w:cs="Times New Roman"/>
          <w:sz w:val="18"/>
          <w:szCs w:val="18"/>
          <w:lang w:val="en-AU"/>
        </w:rPr>
      </w:pPr>
      <w:r w:rsidRPr="006A699C">
        <w:rPr>
          <w:rFonts w:ascii="Times New Roman" w:eastAsia="Calibri" w:hAnsi="Times New Roman" w:cs="Times New Roman"/>
          <w:sz w:val="18"/>
          <w:szCs w:val="18"/>
          <w:lang w:val="en-AU"/>
        </w:rPr>
        <w:t>The proportion of screening episodes requiring recall for further investigation</w:t>
      </w:r>
    </w:p>
    <w:p w14:paraId="0001E18A" w14:textId="77777777" w:rsidR="006A699C" w:rsidRPr="006A699C" w:rsidRDefault="006A699C" w:rsidP="006A699C">
      <w:pPr>
        <w:numPr>
          <w:ilvl w:val="0"/>
          <w:numId w:val="1"/>
        </w:numPr>
        <w:spacing w:after="0" w:line="240" w:lineRule="auto"/>
        <w:contextualSpacing/>
        <w:rPr>
          <w:rFonts w:ascii="Times New Roman" w:eastAsia="Calibri" w:hAnsi="Times New Roman" w:cs="Times New Roman"/>
          <w:sz w:val="18"/>
          <w:szCs w:val="18"/>
          <w:lang w:val="en-AU"/>
        </w:rPr>
      </w:pPr>
      <w:r w:rsidRPr="006A699C">
        <w:rPr>
          <w:rFonts w:ascii="Times New Roman" w:eastAsia="Calibri" w:hAnsi="Times New Roman" w:cs="Times New Roman"/>
          <w:sz w:val="18"/>
          <w:szCs w:val="18"/>
          <w:lang w:val="en-AU"/>
        </w:rPr>
        <w:t>The proportion of screening episodes requiring recall for further investigation, with a benign final outcome after that investigation.</w:t>
      </w:r>
    </w:p>
    <w:p w14:paraId="566F6936" w14:textId="75E5FA05" w:rsidR="003874EA" w:rsidRDefault="003874EA">
      <w:r>
        <w:br w:type="page"/>
      </w:r>
    </w:p>
    <w:p w14:paraId="06A30875" w14:textId="10DC3823" w:rsidR="00707A91" w:rsidRPr="006B24F4" w:rsidRDefault="00707A91">
      <w:pPr>
        <w:rPr>
          <w:rFonts w:ascii="Times New Roman" w:hAnsi="Times New Roman" w:cs="Times New Roman"/>
          <w:b/>
          <w:bCs/>
          <w:sz w:val="28"/>
          <w:szCs w:val="28"/>
        </w:rPr>
      </w:pPr>
      <w:r w:rsidRPr="006B24F4">
        <w:rPr>
          <w:rFonts w:ascii="Times New Roman" w:hAnsi="Times New Roman" w:cs="Times New Roman"/>
          <w:b/>
          <w:bCs/>
          <w:sz w:val="28"/>
          <w:szCs w:val="28"/>
        </w:rPr>
        <w:lastRenderedPageBreak/>
        <w:t>Supplementary File 1E</w:t>
      </w:r>
    </w:p>
    <w:p w14:paraId="1351A41A" w14:textId="77777777" w:rsidR="00353895" w:rsidRPr="00353895" w:rsidRDefault="00353895" w:rsidP="00353895">
      <w:pPr>
        <w:spacing w:line="276" w:lineRule="auto"/>
        <w:rPr>
          <w:rFonts w:ascii="Times New Roman" w:hAnsi="Times New Roman" w:cs="Times New Roman"/>
          <w:color w:val="000000" w:themeColor="text1"/>
          <w:lang w:val="en-AU"/>
        </w:rPr>
      </w:pPr>
    </w:p>
    <w:p w14:paraId="3E113384" w14:textId="43050697" w:rsidR="00353895" w:rsidRPr="00353895" w:rsidRDefault="00353895" w:rsidP="00353895">
      <w:pPr>
        <w:spacing w:after="200" w:line="240" w:lineRule="auto"/>
        <w:rPr>
          <w:rFonts w:ascii="Times New Roman" w:eastAsia="Yu Gothic Light" w:hAnsi="Times New Roman" w:cs="Times New Roman"/>
          <w:b/>
          <w:bCs/>
          <w:color w:val="000000" w:themeColor="text1"/>
          <w:sz w:val="20"/>
          <w:szCs w:val="20"/>
          <w:lang w:val="en-AU"/>
        </w:rPr>
      </w:pPr>
      <w:r w:rsidRPr="00353895">
        <w:rPr>
          <w:rFonts w:ascii="Times New Roman" w:eastAsia="Calibri" w:hAnsi="Times New Roman" w:cs="Times New Roman"/>
          <w:b/>
          <w:bCs/>
          <w:color w:val="000000" w:themeColor="text1"/>
          <w:sz w:val="20"/>
          <w:szCs w:val="20"/>
          <w:lang w:val="en-AU"/>
        </w:rPr>
        <w:t>Estimated s</w:t>
      </w:r>
      <w:r w:rsidRPr="00353895">
        <w:rPr>
          <w:rFonts w:ascii="Times New Roman" w:eastAsia="Yu Gothic Light" w:hAnsi="Times New Roman" w:cs="Times New Roman"/>
          <w:b/>
          <w:bCs/>
          <w:color w:val="000000" w:themeColor="text1"/>
          <w:sz w:val="20"/>
          <w:szCs w:val="20"/>
          <w:lang w:val="en-AU"/>
        </w:rPr>
        <w:t xml:space="preserve">creening delays and participant profiles for each </w:t>
      </w:r>
      <w:proofErr w:type="spellStart"/>
      <w:r w:rsidRPr="00353895">
        <w:rPr>
          <w:rFonts w:ascii="Times New Roman" w:eastAsia="Yu Gothic Light" w:hAnsi="Times New Roman" w:cs="Times New Roman"/>
          <w:b/>
          <w:bCs/>
          <w:color w:val="000000" w:themeColor="text1"/>
          <w:sz w:val="20"/>
          <w:szCs w:val="20"/>
          <w:lang w:val="en-AU"/>
        </w:rPr>
        <w:t>BreastScreen</w:t>
      </w:r>
      <w:proofErr w:type="spellEnd"/>
      <w:r w:rsidRPr="00353895">
        <w:rPr>
          <w:rFonts w:ascii="Times New Roman" w:eastAsia="Yu Gothic Light" w:hAnsi="Times New Roman" w:cs="Times New Roman"/>
          <w:b/>
          <w:bCs/>
          <w:color w:val="000000" w:themeColor="text1"/>
          <w:sz w:val="20"/>
          <w:szCs w:val="20"/>
          <w:lang w:val="en-AU"/>
        </w:rPr>
        <w:t xml:space="preserve"> program disruption scenarios modelled, reported for various calendar periods. Figures in brackets describe the proportional difference of screening intervals to status-quo median screening intervals of 104 weeks (</w:t>
      </w:r>
      <w:proofErr w:type="gramStart"/>
      <w:r w:rsidRPr="00353895">
        <w:rPr>
          <w:rFonts w:ascii="Times New Roman" w:eastAsia="Yu Gothic Light" w:hAnsi="Times New Roman" w:cs="Times New Roman"/>
          <w:b/>
          <w:bCs/>
          <w:color w:val="000000" w:themeColor="text1"/>
          <w:sz w:val="20"/>
          <w:szCs w:val="20"/>
          <w:lang w:val="en-AU"/>
        </w:rPr>
        <w:t>e.g.</w:t>
      </w:r>
      <w:proofErr w:type="gramEnd"/>
      <w:r w:rsidRPr="00353895">
        <w:rPr>
          <w:rFonts w:ascii="Times New Roman" w:eastAsia="Yu Gothic Light" w:hAnsi="Times New Roman" w:cs="Times New Roman"/>
          <w:b/>
          <w:bCs/>
          <w:color w:val="000000" w:themeColor="text1"/>
          <w:sz w:val="20"/>
          <w:szCs w:val="20"/>
          <w:lang w:val="en-AU"/>
        </w:rPr>
        <w:t xml:space="preserve"> 27% means a 27% longer median screening interval).</w:t>
      </w:r>
    </w:p>
    <w:tbl>
      <w:tblPr>
        <w:tblStyle w:val="TableGrid12"/>
        <w:tblW w:w="953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1404"/>
        <w:gridCol w:w="1391"/>
        <w:gridCol w:w="1421"/>
        <w:gridCol w:w="1391"/>
        <w:gridCol w:w="1503"/>
      </w:tblGrid>
      <w:tr w:rsidR="00353895" w:rsidRPr="00353895" w14:paraId="3036F7D8" w14:textId="77777777" w:rsidTr="003F1754">
        <w:tc>
          <w:tcPr>
            <w:tcW w:w="2425" w:type="dxa"/>
            <w:vMerge w:val="restart"/>
            <w:tcBorders>
              <w:top w:val="single" w:sz="4" w:space="0" w:color="auto"/>
            </w:tcBorders>
            <w:hideMark/>
          </w:tcPr>
          <w:p w14:paraId="34F22007" w14:textId="77777777" w:rsidR="00353895" w:rsidRPr="00353895" w:rsidRDefault="00353895" w:rsidP="00353895">
            <w:pPr>
              <w:spacing w:before="60" w:after="60"/>
              <w:rPr>
                <w:rFonts w:ascii="Times New Roman" w:eastAsia="Yu Mincho" w:hAnsi="Times New Roman" w:cs="Times New Roman"/>
                <w:b/>
                <w:bCs/>
                <w:sz w:val="20"/>
                <w:szCs w:val="20"/>
                <w:lang w:val="en-AU"/>
              </w:rPr>
            </w:pPr>
            <w:r w:rsidRPr="00353895">
              <w:rPr>
                <w:rFonts w:ascii="Times New Roman" w:eastAsia="Yu Mincho" w:hAnsi="Times New Roman" w:cs="Times New Roman"/>
                <w:b/>
                <w:bCs/>
                <w:sz w:val="20"/>
                <w:szCs w:val="20"/>
                <w:lang w:val="en-AU"/>
              </w:rPr>
              <w:t>Outcome</w:t>
            </w:r>
          </w:p>
        </w:tc>
        <w:tc>
          <w:tcPr>
            <w:tcW w:w="1404" w:type="dxa"/>
            <w:vMerge w:val="restart"/>
            <w:tcBorders>
              <w:top w:val="single" w:sz="4" w:space="0" w:color="auto"/>
            </w:tcBorders>
            <w:hideMark/>
          </w:tcPr>
          <w:p w14:paraId="47C3748D" w14:textId="77777777" w:rsidR="00353895" w:rsidRPr="00353895" w:rsidRDefault="00353895" w:rsidP="00353895">
            <w:pPr>
              <w:spacing w:before="60" w:after="60"/>
              <w:jc w:val="center"/>
              <w:rPr>
                <w:rFonts w:ascii="Times New Roman" w:eastAsia="Yu Mincho" w:hAnsi="Times New Roman" w:cs="Times New Roman"/>
                <w:b/>
                <w:bCs/>
                <w:sz w:val="20"/>
                <w:szCs w:val="20"/>
                <w:lang w:val="en-AU"/>
              </w:rPr>
            </w:pPr>
            <w:r w:rsidRPr="00353895">
              <w:rPr>
                <w:rFonts w:ascii="Times New Roman" w:eastAsia="Yu Mincho" w:hAnsi="Times New Roman" w:cs="Times New Roman"/>
                <w:b/>
                <w:bCs/>
                <w:sz w:val="20"/>
                <w:szCs w:val="20"/>
                <w:lang w:val="en-AU"/>
              </w:rPr>
              <w:t>Duration of pause</w:t>
            </w:r>
          </w:p>
        </w:tc>
        <w:tc>
          <w:tcPr>
            <w:tcW w:w="5706" w:type="dxa"/>
            <w:gridSpan w:val="4"/>
            <w:tcBorders>
              <w:top w:val="single" w:sz="4" w:space="0" w:color="auto"/>
              <w:bottom w:val="single" w:sz="4" w:space="0" w:color="auto"/>
            </w:tcBorders>
            <w:hideMark/>
          </w:tcPr>
          <w:p w14:paraId="305B0E0E" w14:textId="77777777" w:rsidR="00353895" w:rsidRPr="00353895" w:rsidRDefault="00353895" w:rsidP="00353895">
            <w:pPr>
              <w:spacing w:before="60" w:after="60"/>
              <w:jc w:val="center"/>
              <w:rPr>
                <w:rFonts w:ascii="Times New Roman" w:eastAsia="Yu Mincho" w:hAnsi="Times New Roman" w:cs="Times New Roman"/>
                <w:b/>
                <w:bCs/>
                <w:sz w:val="20"/>
                <w:szCs w:val="20"/>
                <w:lang w:val="en-AU"/>
              </w:rPr>
            </w:pPr>
            <w:r w:rsidRPr="00353895">
              <w:rPr>
                <w:rFonts w:ascii="Times New Roman" w:eastAsia="Yu Mincho" w:hAnsi="Times New Roman" w:cs="Times New Roman"/>
                <w:b/>
                <w:bCs/>
                <w:sz w:val="20"/>
                <w:szCs w:val="20"/>
                <w:lang w:val="en-AU"/>
              </w:rPr>
              <w:t>Client group*</w:t>
            </w:r>
          </w:p>
        </w:tc>
      </w:tr>
      <w:tr w:rsidR="00353895" w:rsidRPr="00353895" w14:paraId="5BBF0961" w14:textId="77777777" w:rsidTr="003F1754">
        <w:tc>
          <w:tcPr>
            <w:tcW w:w="0" w:type="auto"/>
            <w:vMerge/>
            <w:vAlign w:val="center"/>
            <w:hideMark/>
          </w:tcPr>
          <w:p w14:paraId="47CEDB41" w14:textId="77777777" w:rsidR="00353895" w:rsidRPr="00353895" w:rsidRDefault="00353895" w:rsidP="00353895">
            <w:pPr>
              <w:spacing w:before="60" w:after="60"/>
              <w:rPr>
                <w:rFonts w:ascii="Times New Roman" w:eastAsia="Yu Mincho" w:hAnsi="Times New Roman" w:cs="Times New Roman"/>
                <w:sz w:val="20"/>
                <w:szCs w:val="20"/>
                <w:lang w:val="en-AU"/>
              </w:rPr>
            </w:pPr>
          </w:p>
        </w:tc>
        <w:tc>
          <w:tcPr>
            <w:tcW w:w="0" w:type="auto"/>
            <w:vMerge/>
            <w:vAlign w:val="center"/>
            <w:hideMark/>
          </w:tcPr>
          <w:p w14:paraId="65BE38E2" w14:textId="77777777" w:rsidR="00353895" w:rsidRPr="00353895" w:rsidRDefault="00353895" w:rsidP="00353895">
            <w:pPr>
              <w:spacing w:before="60" w:after="60"/>
              <w:rPr>
                <w:rFonts w:ascii="Times New Roman" w:eastAsia="Yu Mincho" w:hAnsi="Times New Roman" w:cs="Times New Roman"/>
                <w:sz w:val="20"/>
                <w:szCs w:val="20"/>
                <w:lang w:val="en-AU"/>
              </w:rPr>
            </w:pPr>
          </w:p>
        </w:tc>
        <w:tc>
          <w:tcPr>
            <w:tcW w:w="1391" w:type="dxa"/>
            <w:tcBorders>
              <w:top w:val="single" w:sz="4" w:space="0" w:color="auto"/>
              <w:bottom w:val="single" w:sz="4" w:space="0" w:color="auto"/>
            </w:tcBorders>
            <w:hideMark/>
          </w:tcPr>
          <w:p w14:paraId="4D9921FF" w14:textId="77777777" w:rsidR="00353895" w:rsidRPr="00353895" w:rsidRDefault="00353895" w:rsidP="00353895">
            <w:pPr>
              <w:spacing w:before="60" w:after="60"/>
              <w:jc w:val="center"/>
              <w:rPr>
                <w:rFonts w:ascii="Times New Roman" w:eastAsia="Yu Mincho" w:hAnsi="Times New Roman" w:cs="Times New Roman"/>
                <w:b/>
                <w:bCs/>
                <w:sz w:val="20"/>
                <w:szCs w:val="20"/>
                <w:lang w:val="en-AU"/>
              </w:rPr>
            </w:pPr>
            <w:r w:rsidRPr="00353895">
              <w:rPr>
                <w:rFonts w:ascii="Times New Roman" w:eastAsia="Yu Mincho" w:hAnsi="Times New Roman" w:cs="Times New Roman"/>
                <w:b/>
                <w:bCs/>
                <w:sz w:val="20"/>
                <w:szCs w:val="20"/>
                <w:lang w:val="en-AU"/>
              </w:rPr>
              <w:t>Directly affected</w:t>
            </w:r>
          </w:p>
        </w:tc>
        <w:tc>
          <w:tcPr>
            <w:tcW w:w="1421" w:type="dxa"/>
            <w:tcBorders>
              <w:top w:val="single" w:sz="4" w:space="0" w:color="auto"/>
              <w:bottom w:val="single" w:sz="4" w:space="0" w:color="auto"/>
            </w:tcBorders>
            <w:hideMark/>
          </w:tcPr>
          <w:p w14:paraId="06BA230F" w14:textId="77777777" w:rsidR="00353895" w:rsidRPr="00353895" w:rsidRDefault="00353895" w:rsidP="00353895">
            <w:pPr>
              <w:spacing w:before="60" w:after="60"/>
              <w:jc w:val="center"/>
              <w:rPr>
                <w:rFonts w:ascii="Times New Roman" w:eastAsia="Yu Mincho" w:hAnsi="Times New Roman" w:cs="Times New Roman"/>
                <w:b/>
                <w:bCs/>
                <w:sz w:val="20"/>
                <w:szCs w:val="20"/>
                <w:lang w:val="en-AU"/>
              </w:rPr>
            </w:pPr>
            <w:r w:rsidRPr="00353895">
              <w:rPr>
                <w:rFonts w:ascii="Times New Roman" w:eastAsia="Yu Mincho" w:hAnsi="Times New Roman" w:cs="Times New Roman"/>
                <w:b/>
                <w:bCs/>
                <w:sz w:val="20"/>
                <w:szCs w:val="20"/>
                <w:lang w:val="en-AU"/>
              </w:rPr>
              <w:t>Indirectly affected</w:t>
            </w:r>
          </w:p>
        </w:tc>
        <w:tc>
          <w:tcPr>
            <w:tcW w:w="1391" w:type="dxa"/>
            <w:tcBorders>
              <w:top w:val="single" w:sz="4" w:space="0" w:color="auto"/>
              <w:bottom w:val="single" w:sz="4" w:space="0" w:color="auto"/>
            </w:tcBorders>
            <w:hideMark/>
          </w:tcPr>
          <w:p w14:paraId="2DDFADBF" w14:textId="77777777" w:rsidR="00353895" w:rsidRPr="00353895" w:rsidRDefault="00353895" w:rsidP="00353895">
            <w:pPr>
              <w:spacing w:before="60" w:after="60"/>
              <w:jc w:val="center"/>
              <w:rPr>
                <w:rFonts w:ascii="Times New Roman" w:eastAsia="Yu Mincho" w:hAnsi="Times New Roman" w:cs="Times New Roman"/>
                <w:b/>
                <w:bCs/>
                <w:sz w:val="20"/>
                <w:szCs w:val="20"/>
                <w:lang w:val="en-AU"/>
              </w:rPr>
            </w:pPr>
            <w:r w:rsidRPr="00353895">
              <w:rPr>
                <w:rFonts w:ascii="Times New Roman" w:eastAsia="Yu Mincho" w:hAnsi="Times New Roman" w:cs="Times New Roman"/>
                <w:b/>
                <w:bCs/>
                <w:sz w:val="20"/>
                <w:szCs w:val="20"/>
                <w:lang w:val="en-AU"/>
              </w:rPr>
              <w:t>Not affected</w:t>
            </w:r>
          </w:p>
        </w:tc>
        <w:tc>
          <w:tcPr>
            <w:tcW w:w="1503" w:type="dxa"/>
            <w:tcBorders>
              <w:top w:val="single" w:sz="4" w:space="0" w:color="auto"/>
              <w:bottom w:val="single" w:sz="4" w:space="0" w:color="auto"/>
            </w:tcBorders>
            <w:hideMark/>
          </w:tcPr>
          <w:p w14:paraId="7919542C" w14:textId="77777777" w:rsidR="00353895" w:rsidRPr="00353895" w:rsidRDefault="00353895" w:rsidP="00353895">
            <w:pPr>
              <w:spacing w:before="60" w:after="60"/>
              <w:jc w:val="center"/>
              <w:rPr>
                <w:rFonts w:ascii="Times New Roman" w:eastAsia="Yu Mincho" w:hAnsi="Times New Roman" w:cs="Times New Roman"/>
                <w:b/>
                <w:bCs/>
                <w:sz w:val="20"/>
                <w:szCs w:val="20"/>
                <w:lang w:val="en-AU"/>
              </w:rPr>
            </w:pPr>
            <w:r w:rsidRPr="00353895">
              <w:rPr>
                <w:rFonts w:ascii="Times New Roman" w:eastAsia="Yu Mincho" w:hAnsi="Times New Roman" w:cs="Times New Roman"/>
                <w:b/>
                <w:bCs/>
                <w:sz w:val="20"/>
                <w:szCs w:val="20"/>
                <w:lang w:val="en-AU"/>
              </w:rPr>
              <w:t>Total</w:t>
            </w:r>
          </w:p>
        </w:tc>
      </w:tr>
      <w:tr w:rsidR="00353895" w:rsidRPr="00353895" w14:paraId="09F1C1A6" w14:textId="77777777" w:rsidTr="003F1754">
        <w:tc>
          <w:tcPr>
            <w:tcW w:w="2425" w:type="dxa"/>
            <w:vMerge w:val="restart"/>
            <w:tcBorders>
              <w:top w:val="single" w:sz="4" w:space="0" w:color="auto"/>
            </w:tcBorders>
            <w:shd w:val="clear" w:color="auto" w:fill="auto"/>
            <w:hideMark/>
          </w:tcPr>
          <w:p w14:paraId="4AD7AF92" w14:textId="77777777" w:rsidR="00353895" w:rsidRPr="00353895" w:rsidRDefault="00353895" w:rsidP="00353895">
            <w:pPr>
              <w:spacing w:before="60" w:after="60"/>
              <w:rPr>
                <w:rFonts w:ascii="Times New Roman" w:eastAsia="Yu Mincho" w:hAnsi="Times New Roman" w:cs="Times New Roman"/>
                <w:sz w:val="20"/>
                <w:szCs w:val="20"/>
                <w:lang w:val="en-AU"/>
              </w:rPr>
            </w:pPr>
            <w:r w:rsidRPr="00353895">
              <w:rPr>
                <w:rFonts w:ascii="Times New Roman" w:eastAsia="Yu Mincho" w:hAnsi="Times New Roman" w:cs="Times New Roman"/>
                <w:sz w:val="20"/>
                <w:szCs w:val="20"/>
                <w:lang w:val="en-AU"/>
              </w:rPr>
              <w:t>Screening client profile, 50-74, 2020-2021</w:t>
            </w:r>
          </w:p>
        </w:tc>
        <w:tc>
          <w:tcPr>
            <w:tcW w:w="1404" w:type="dxa"/>
            <w:tcBorders>
              <w:top w:val="single" w:sz="4" w:space="0" w:color="auto"/>
            </w:tcBorders>
            <w:shd w:val="clear" w:color="auto" w:fill="auto"/>
            <w:hideMark/>
          </w:tcPr>
          <w:p w14:paraId="4F774C01" w14:textId="77777777" w:rsidR="00353895" w:rsidRPr="00353895" w:rsidRDefault="00353895" w:rsidP="00353895">
            <w:pPr>
              <w:spacing w:before="60" w:after="60"/>
              <w:jc w:val="center"/>
              <w:rPr>
                <w:rFonts w:ascii="Times New Roman" w:eastAsia="Yu Mincho" w:hAnsi="Times New Roman" w:cs="Times New Roman"/>
                <w:sz w:val="20"/>
                <w:szCs w:val="20"/>
                <w:lang w:val="en-AU"/>
              </w:rPr>
            </w:pPr>
            <w:r w:rsidRPr="00353895">
              <w:rPr>
                <w:rFonts w:ascii="Times New Roman" w:eastAsia="Yu Mincho" w:hAnsi="Times New Roman" w:cs="Times New Roman"/>
                <w:sz w:val="20"/>
                <w:szCs w:val="20"/>
                <w:lang w:val="en-AU"/>
              </w:rPr>
              <w:t>No pause</w:t>
            </w:r>
          </w:p>
        </w:tc>
        <w:tc>
          <w:tcPr>
            <w:tcW w:w="1391" w:type="dxa"/>
            <w:tcBorders>
              <w:top w:val="single" w:sz="4" w:space="0" w:color="auto"/>
            </w:tcBorders>
            <w:shd w:val="clear" w:color="auto" w:fill="auto"/>
            <w:hideMark/>
          </w:tcPr>
          <w:p w14:paraId="2EABA5A5" w14:textId="77777777" w:rsidR="00353895" w:rsidRPr="00353895" w:rsidRDefault="00353895" w:rsidP="00353895">
            <w:pPr>
              <w:spacing w:before="60" w:after="60"/>
              <w:jc w:val="center"/>
              <w:rPr>
                <w:rFonts w:ascii="Times New Roman" w:eastAsia="Yu Mincho" w:hAnsi="Times New Roman" w:cs="Times New Roman"/>
                <w:sz w:val="20"/>
                <w:szCs w:val="20"/>
                <w:lang w:val="en-AU"/>
              </w:rPr>
            </w:pPr>
            <w:r w:rsidRPr="00353895">
              <w:rPr>
                <w:rFonts w:ascii="Times New Roman" w:eastAsia="Yu Mincho" w:hAnsi="Times New Roman" w:cs="Times New Roman"/>
                <w:sz w:val="20"/>
                <w:szCs w:val="20"/>
                <w:lang w:val="en-AU"/>
              </w:rPr>
              <w:t>N/A</w:t>
            </w:r>
          </w:p>
        </w:tc>
        <w:tc>
          <w:tcPr>
            <w:tcW w:w="1421" w:type="dxa"/>
            <w:tcBorders>
              <w:top w:val="single" w:sz="4" w:space="0" w:color="auto"/>
            </w:tcBorders>
            <w:shd w:val="clear" w:color="auto" w:fill="auto"/>
            <w:hideMark/>
          </w:tcPr>
          <w:p w14:paraId="09FE7845" w14:textId="77777777" w:rsidR="00353895" w:rsidRPr="00353895" w:rsidRDefault="00353895" w:rsidP="00353895">
            <w:pPr>
              <w:spacing w:before="60" w:after="60"/>
              <w:jc w:val="center"/>
              <w:rPr>
                <w:rFonts w:ascii="Times New Roman" w:eastAsia="Yu Mincho" w:hAnsi="Times New Roman" w:cs="Times New Roman"/>
                <w:sz w:val="20"/>
                <w:szCs w:val="20"/>
                <w:lang w:val="en-AU"/>
              </w:rPr>
            </w:pPr>
            <w:r w:rsidRPr="00353895">
              <w:rPr>
                <w:rFonts w:ascii="Times New Roman" w:eastAsia="Yu Mincho" w:hAnsi="Times New Roman" w:cs="Times New Roman"/>
                <w:sz w:val="20"/>
                <w:szCs w:val="20"/>
                <w:lang w:val="en-AU"/>
              </w:rPr>
              <w:t>N/A</w:t>
            </w:r>
          </w:p>
        </w:tc>
        <w:tc>
          <w:tcPr>
            <w:tcW w:w="1391" w:type="dxa"/>
            <w:tcBorders>
              <w:top w:val="single" w:sz="4" w:space="0" w:color="auto"/>
            </w:tcBorders>
            <w:shd w:val="clear" w:color="auto" w:fill="auto"/>
            <w:hideMark/>
          </w:tcPr>
          <w:p w14:paraId="0258B3EE" w14:textId="77777777" w:rsidR="00353895" w:rsidRPr="00353895" w:rsidRDefault="00353895" w:rsidP="00353895">
            <w:pPr>
              <w:spacing w:before="60" w:after="60"/>
              <w:jc w:val="center"/>
              <w:rPr>
                <w:rFonts w:ascii="Times New Roman" w:eastAsia="Yu Mincho" w:hAnsi="Times New Roman" w:cs="Times New Roman"/>
                <w:sz w:val="20"/>
                <w:szCs w:val="20"/>
                <w:lang w:val="en-AU"/>
              </w:rPr>
            </w:pPr>
            <w:r w:rsidRPr="00353895">
              <w:rPr>
                <w:rFonts w:ascii="Times New Roman" w:eastAsia="Yu Mincho" w:hAnsi="Times New Roman" w:cs="Times New Roman"/>
                <w:sz w:val="20"/>
                <w:szCs w:val="20"/>
                <w:lang w:val="en-AU"/>
              </w:rPr>
              <w:t>100%</w:t>
            </w:r>
          </w:p>
        </w:tc>
        <w:tc>
          <w:tcPr>
            <w:tcW w:w="1503" w:type="dxa"/>
            <w:tcBorders>
              <w:top w:val="single" w:sz="4" w:space="0" w:color="auto"/>
            </w:tcBorders>
            <w:shd w:val="clear" w:color="auto" w:fill="auto"/>
            <w:hideMark/>
          </w:tcPr>
          <w:p w14:paraId="1FFB622B" w14:textId="77777777" w:rsidR="00353895" w:rsidRPr="00353895" w:rsidRDefault="00353895" w:rsidP="00353895">
            <w:pPr>
              <w:spacing w:before="60" w:after="60"/>
              <w:jc w:val="center"/>
              <w:rPr>
                <w:rFonts w:ascii="Times New Roman" w:eastAsia="Yu Mincho" w:hAnsi="Times New Roman" w:cs="Times New Roman"/>
                <w:sz w:val="20"/>
                <w:szCs w:val="20"/>
                <w:lang w:val="en-AU"/>
              </w:rPr>
            </w:pPr>
            <w:r w:rsidRPr="00353895">
              <w:rPr>
                <w:rFonts w:ascii="Times New Roman" w:eastAsia="Yu Mincho" w:hAnsi="Times New Roman" w:cs="Times New Roman"/>
                <w:sz w:val="20"/>
                <w:szCs w:val="20"/>
                <w:lang w:val="en-AU"/>
              </w:rPr>
              <w:t>100%</w:t>
            </w:r>
          </w:p>
        </w:tc>
      </w:tr>
      <w:tr w:rsidR="00353895" w:rsidRPr="00353895" w14:paraId="6434F842" w14:textId="77777777" w:rsidTr="003F1754">
        <w:tc>
          <w:tcPr>
            <w:tcW w:w="0" w:type="auto"/>
            <w:vMerge/>
            <w:vAlign w:val="center"/>
            <w:hideMark/>
          </w:tcPr>
          <w:p w14:paraId="1A9EC65D" w14:textId="77777777" w:rsidR="00353895" w:rsidRPr="00353895" w:rsidRDefault="00353895" w:rsidP="00353895">
            <w:pPr>
              <w:spacing w:before="60" w:after="60"/>
              <w:rPr>
                <w:rFonts w:ascii="Times New Roman" w:eastAsia="Yu Mincho" w:hAnsi="Times New Roman" w:cs="Times New Roman"/>
                <w:sz w:val="20"/>
                <w:szCs w:val="20"/>
                <w:lang w:val="en-AU"/>
              </w:rPr>
            </w:pPr>
          </w:p>
        </w:tc>
        <w:tc>
          <w:tcPr>
            <w:tcW w:w="1404" w:type="dxa"/>
            <w:shd w:val="clear" w:color="auto" w:fill="auto"/>
            <w:hideMark/>
          </w:tcPr>
          <w:p w14:paraId="582C9515" w14:textId="77777777" w:rsidR="00353895" w:rsidRPr="00353895" w:rsidRDefault="00353895" w:rsidP="00353895">
            <w:pPr>
              <w:spacing w:before="60" w:after="60"/>
              <w:jc w:val="center"/>
              <w:rPr>
                <w:rFonts w:ascii="Times New Roman" w:eastAsia="Yu Mincho" w:hAnsi="Times New Roman" w:cs="Times New Roman"/>
                <w:sz w:val="20"/>
                <w:szCs w:val="20"/>
                <w:lang w:val="en-AU"/>
              </w:rPr>
            </w:pPr>
            <w:r w:rsidRPr="00353895">
              <w:rPr>
                <w:rFonts w:ascii="Times New Roman" w:eastAsia="Yu Mincho" w:hAnsi="Times New Roman" w:cs="Times New Roman"/>
                <w:sz w:val="20"/>
                <w:szCs w:val="20"/>
                <w:lang w:val="en-AU"/>
              </w:rPr>
              <w:t>3 months</w:t>
            </w:r>
          </w:p>
        </w:tc>
        <w:tc>
          <w:tcPr>
            <w:tcW w:w="1391" w:type="dxa"/>
            <w:shd w:val="clear" w:color="auto" w:fill="auto"/>
            <w:hideMark/>
          </w:tcPr>
          <w:p w14:paraId="4160226B" w14:textId="77777777" w:rsidR="00353895" w:rsidRPr="00353895" w:rsidRDefault="00353895" w:rsidP="00353895">
            <w:pPr>
              <w:spacing w:before="60" w:after="60"/>
              <w:jc w:val="center"/>
              <w:rPr>
                <w:rFonts w:ascii="Times New Roman" w:eastAsia="Yu Mincho" w:hAnsi="Times New Roman" w:cs="Times New Roman"/>
                <w:sz w:val="20"/>
                <w:szCs w:val="20"/>
                <w:lang w:val="en-AU"/>
              </w:rPr>
            </w:pPr>
            <w:r w:rsidRPr="00353895">
              <w:rPr>
                <w:rFonts w:ascii="Times New Roman" w:eastAsia="Yu Mincho" w:hAnsi="Times New Roman" w:cs="Times New Roman"/>
                <w:sz w:val="20"/>
                <w:szCs w:val="20"/>
                <w:lang w:val="en-AU"/>
              </w:rPr>
              <w:t>14%</w:t>
            </w:r>
          </w:p>
        </w:tc>
        <w:tc>
          <w:tcPr>
            <w:tcW w:w="1421" w:type="dxa"/>
            <w:shd w:val="clear" w:color="auto" w:fill="auto"/>
            <w:hideMark/>
          </w:tcPr>
          <w:p w14:paraId="201529E8" w14:textId="77777777" w:rsidR="00353895" w:rsidRPr="00353895" w:rsidRDefault="00353895" w:rsidP="00353895">
            <w:pPr>
              <w:spacing w:before="60" w:after="60"/>
              <w:jc w:val="center"/>
              <w:rPr>
                <w:rFonts w:ascii="Times New Roman" w:eastAsia="Yu Mincho" w:hAnsi="Times New Roman" w:cs="Times New Roman"/>
                <w:sz w:val="20"/>
                <w:szCs w:val="20"/>
                <w:lang w:val="en-AU"/>
              </w:rPr>
            </w:pPr>
            <w:r w:rsidRPr="00353895">
              <w:rPr>
                <w:rFonts w:ascii="Times New Roman" w:eastAsia="Yu Mincho" w:hAnsi="Times New Roman" w:cs="Times New Roman"/>
                <w:sz w:val="20"/>
                <w:szCs w:val="20"/>
                <w:lang w:val="en-AU"/>
              </w:rPr>
              <w:t>11%</w:t>
            </w:r>
          </w:p>
        </w:tc>
        <w:tc>
          <w:tcPr>
            <w:tcW w:w="1391" w:type="dxa"/>
            <w:shd w:val="clear" w:color="auto" w:fill="auto"/>
            <w:hideMark/>
          </w:tcPr>
          <w:p w14:paraId="66F5643F" w14:textId="77777777" w:rsidR="00353895" w:rsidRPr="00353895" w:rsidRDefault="00353895" w:rsidP="00353895">
            <w:pPr>
              <w:spacing w:before="60" w:after="60"/>
              <w:jc w:val="center"/>
              <w:rPr>
                <w:rFonts w:ascii="Times New Roman" w:eastAsia="Yu Mincho" w:hAnsi="Times New Roman" w:cs="Times New Roman"/>
                <w:sz w:val="20"/>
                <w:szCs w:val="20"/>
                <w:lang w:val="en-AU"/>
              </w:rPr>
            </w:pPr>
            <w:r w:rsidRPr="00353895">
              <w:rPr>
                <w:rFonts w:ascii="Times New Roman" w:eastAsia="Yu Mincho" w:hAnsi="Times New Roman" w:cs="Times New Roman"/>
                <w:sz w:val="20"/>
                <w:szCs w:val="20"/>
                <w:lang w:val="en-AU"/>
              </w:rPr>
              <w:t>75%</w:t>
            </w:r>
          </w:p>
        </w:tc>
        <w:tc>
          <w:tcPr>
            <w:tcW w:w="1503" w:type="dxa"/>
            <w:shd w:val="clear" w:color="auto" w:fill="auto"/>
            <w:hideMark/>
          </w:tcPr>
          <w:p w14:paraId="6F13C337" w14:textId="77777777" w:rsidR="00353895" w:rsidRPr="00353895" w:rsidRDefault="00353895" w:rsidP="00353895">
            <w:pPr>
              <w:spacing w:before="60" w:after="60"/>
              <w:jc w:val="center"/>
              <w:rPr>
                <w:rFonts w:ascii="Times New Roman" w:eastAsia="Yu Mincho" w:hAnsi="Times New Roman" w:cs="Times New Roman"/>
                <w:sz w:val="20"/>
                <w:szCs w:val="20"/>
                <w:lang w:val="en-AU"/>
              </w:rPr>
            </w:pPr>
            <w:r w:rsidRPr="00353895">
              <w:rPr>
                <w:rFonts w:ascii="Times New Roman" w:eastAsia="Yu Mincho" w:hAnsi="Times New Roman" w:cs="Times New Roman"/>
                <w:sz w:val="20"/>
                <w:szCs w:val="20"/>
                <w:lang w:val="en-AU"/>
              </w:rPr>
              <w:t>100%</w:t>
            </w:r>
          </w:p>
        </w:tc>
      </w:tr>
      <w:tr w:rsidR="00353895" w:rsidRPr="00353895" w14:paraId="5FC94EF8" w14:textId="77777777" w:rsidTr="003F1754">
        <w:tc>
          <w:tcPr>
            <w:tcW w:w="0" w:type="auto"/>
            <w:vMerge/>
            <w:vAlign w:val="center"/>
            <w:hideMark/>
          </w:tcPr>
          <w:p w14:paraId="5F24EFBD" w14:textId="77777777" w:rsidR="00353895" w:rsidRPr="00353895" w:rsidRDefault="00353895" w:rsidP="00353895">
            <w:pPr>
              <w:spacing w:before="60" w:after="60"/>
              <w:rPr>
                <w:rFonts w:ascii="Times New Roman" w:eastAsia="Yu Mincho" w:hAnsi="Times New Roman" w:cs="Times New Roman"/>
                <w:sz w:val="20"/>
                <w:szCs w:val="20"/>
                <w:lang w:val="en-AU"/>
              </w:rPr>
            </w:pPr>
          </w:p>
        </w:tc>
        <w:tc>
          <w:tcPr>
            <w:tcW w:w="1404" w:type="dxa"/>
            <w:shd w:val="clear" w:color="auto" w:fill="auto"/>
            <w:hideMark/>
          </w:tcPr>
          <w:p w14:paraId="270E17DA" w14:textId="77777777" w:rsidR="00353895" w:rsidRPr="00353895" w:rsidRDefault="00353895" w:rsidP="00353895">
            <w:pPr>
              <w:spacing w:before="60" w:after="60"/>
              <w:jc w:val="center"/>
              <w:rPr>
                <w:rFonts w:ascii="Times New Roman" w:eastAsia="Yu Mincho" w:hAnsi="Times New Roman" w:cs="Times New Roman"/>
                <w:sz w:val="20"/>
                <w:szCs w:val="20"/>
                <w:lang w:val="en-AU"/>
              </w:rPr>
            </w:pPr>
            <w:r w:rsidRPr="00353895">
              <w:rPr>
                <w:rFonts w:ascii="Times New Roman" w:eastAsia="Yu Mincho" w:hAnsi="Times New Roman" w:cs="Times New Roman"/>
                <w:sz w:val="20"/>
                <w:szCs w:val="20"/>
                <w:lang w:val="en-AU"/>
              </w:rPr>
              <w:t>6 months</w:t>
            </w:r>
          </w:p>
        </w:tc>
        <w:tc>
          <w:tcPr>
            <w:tcW w:w="1391" w:type="dxa"/>
            <w:shd w:val="clear" w:color="auto" w:fill="auto"/>
            <w:hideMark/>
          </w:tcPr>
          <w:p w14:paraId="62B5D924" w14:textId="77777777" w:rsidR="00353895" w:rsidRPr="00353895" w:rsidRDefault="00353895" w:rsidP="00353895">
            <w:pPr>
              <w:spacing w:before="60" w:after="60"/>
              <w:jc w:val="center"/>
              <w:rPr>
                <w:rFonts w:ascii="Times New Roman" w:eastAsia="Yu Mincho" w:hAnsi="Times New Roman" w:cs="Times New Roman"/>
                <w:sz w:val="20"/>
                <w:szCs w:val="20"/>
                <w:lang w:val="en-AU"/>
              </w:rPr>
            </w:pPr>
            <w:r w:rsidRPr="00353895">
              <w:rPr>
                <w:rFonts w:ascii="Times New Roman" w:eastAsia="Yu Mincho" w:hAnsi="Times New Roman" w:cs="Times New Roman"/>
                <w:sz w:val="20"/>
                <w:szCs w:val="20"/>
                <w:lang w:val="en-AU"/>
              </w:rPr>
              <w:t>23%</w:t>
            </w:r>
          </w:p>
        </w:tc>
        <w:tc>
          <w:tcPr>
            <w:tcW w:w="1421" w:type="dxa"/>
            <w:shd w:val="clear" w:color="auto" w:fill="auto"/>
            <w:hideMark/>
          </w:tcPr>
          <w:p w14:paraId="755816D6" w14:textId="77777777" w:rsidR="00353895" w:rsidRPr="00353895" w:rsidRDefault="00353895" w:rsidP="00353895">
            <w:pPr>
              <w:spacing w:before="60" w:after="60"/>
              <w:jc w:val="center"/>
              <w:rPr>
                <w:rFonts w:ascii="Times New Roman" w:eastAsia="Yu Mincho" w:hAnsi="Times New Roman" w:cs="Times New Roman"/>
                <w:sz w:val="20"/>
                <w:szCs w:val="20"/>
                <w:lang w:val="en-AU"/>
              </w:rPr>
            </w:pPr>
            <w:r w:rsidRPr="00353895">
              <w:rPr>
                <w:rFonts w:ascii="Times New Roman" w:eastAsia="Yu Mincho" w:hAnsi="Times New Roman" w:cs="Times New Roman"/>
                <w:sz w:val="20"/>
                <w:szCs w:val="20"/>
                <w:lang w:val="en-AU"/>
              </w:rPr>
              <w:t>29%</w:t>
            </w:r>
          </w:p>
        </w:tc>
        <w:tc>
          <w:tcPr>
            <w:tcW w:w="1391" w:type="dxa"/>
            <w:shd w:val="clear" w:color="auto" w:fill="auto"/>
            <w:hideMark/>
          </w:tcPr>
          <w:p w14:paraId="4F710B00" w14:textId="77777777" w:rsidR="00353895" w:rsidRPr="00353895" w:rsidRDefault="00353895" w:rsidP="00353895">
            <w:pPr>
              <w:spacing w:before="60" w:after="60"/>
              <w:jc w:val="center"/>
              <w:rPr>
                <w:rFonts w:ascii="Times New Roman" w:eastAsia="Yu Mincho" w:hAnsi="Times New Roman" w:cs="Times New Roman"/>
                <w:sz w:val="20"/>
                <w:szCs w:val="20"/>
                <w:lang w:val="en-AU"/>
              </w:rPr>
            </w:pPr>
            <w:r w:rsidRPr="00353895">
              <w:rPr>
                <w:rFonts w:ascii="Times New Roman" w:eastAsia="Yu Mincho" w:hAnsi="Times New Roman" w:cs="Times New Roman"/>
                <w:sz w:val="20"/>
                <w:szCs w:val="20"/>
                <w:lang w:val="en-AU"/>
              </w:rPr>
              <w:t>48%</w:t>
            </w:r>
          </w:p>
        </w:tc>
        <w:tc>
          <w:tcPr>
            <w:tcW w:w="1503" w:type="dxa"/>
            <w:shd w:val="clear" w:color="auto" w:fill="auto"/>
            <w:hideMark/>
          </w:tcPr>
          <w:p w14:paraId="3EBFD132" w14:textId="77777777" w:rsidR="00353895" w:rsidRPr="00353895" w:rsidRDefault="00353895" w:rsidP="00353895">
            <w:pPr>
              <w:spacing w:before="60" w:after="60"/>
              <w:jc w:val="center"/>
              <w:rPr>
                <w:rFonts w:ascii="Times New Roman" w:eastAsia="Yu Mincho" w:hAnsi="Times New Roman" w:cs="Times New Roman"/>
                <w:sz w:val="20"/>
                <w:szCs w:val="20"/>
                <w:lang w:val="en-AU"/>
              </w:rPr>
            </w:pPr>
            <w:r w:rsidRPr="00353895">
              <w:rPr>
                <w:rFonts w:ascii="Times New Roman" w:eastAsia="Yu Mincho" w:hAnsi="Times New Roman" w:cs="Times New Roman"/>
                <w:sz w:val="20"/>
                <w:szCs w:val="20"/>
                <w:lang w:val="en-AU"/>
              </w:rPr>
              <w:t>100%</w:t>
            </w:r>
          </w:p>
        </w:tc>
      </w:tr>
      <w:tr w:rsidR="00353895" w:rsidRPr="00353895" w14:paraId="7DAF4C76" w14:textId="77777777" w:rsidTr="003F1754">
        <w:tc>
          <w:tcPr>
            <w:tcW w:w="0" w:type="auto"/>
            <w:vMerge/>
            <w:vAlign w:val="center"/>
            <w:hideMark/>
          </w:tcPr>
          <w:p w14:paraId="48E757D6" w14:textId="77777777" w:rsidR="00353895" w:rsidRPr="00353895" w:rsidRDefault="00353895" w:rsidP="00353895">
            <w:pPr>
              <w:spacing w:before="60" w:after="60"/>
              <w:rPr>
                <w:rFonts w:ascii="Times New Roman" w:eastAsia="Yu Mincho" w:hAnsi="Times New Roman" w:cs="Times New Roman"/>
                <w:sz w:val="20"/>
                <w:szCs w:val="20"/>
                <w:lang w:val="en-AU"/>
              </w:rPr>
            </w:pPr>
          </w:p>
        </w:tc>
        <w:tc>
          <w:tcPr>
            <w:tcW w:w="1404" w:type="dxa"/>
            <w:shd w:val="clear" w:color="auto" w:fill="auto"/>
            <w:hideMark/>
          </w:tcPr>
          <w:p w14:paraId="6E217B1D" w14:textId="77777777" w:rsidR="00353895" w:rsidRPr="00353895" w:rsidRDefault="00353895" w:rsidP="00353895">
            <w:pPr>
              <w:spacing w:before="60" w:after="60"/>
              <w:jc w:val="center"/>
              <w:rPr>
                <w:rFonts w:ascii="Times New Roman" w:eastAsia="Yu Mincho" w:hAnsi="Times New Roman" w:cs="Times New Roman"/>
                <w:sz w:val="20"/>
                <w:szCs w:val="20"/>
                <w:lang w:val="en-AU"/>
              </w:rPr>
            </w:pPr>
            <w:r w:rsidRPr="00353895">
              <w:rPr>
                <w:rFonts w:ascii="Times New Roman" w:eastAsia="Yu Mincho" w:hAnsi="Times New Roman" w:cs="Times New Roman"/>
                <w:sz w:val="20"/>
                <w:szCs w:val="20"/>
                <w:lang w:val="en-AU"/>
              </w:rPr>
              <w:t>12 months</w:t>
            </w:r>
          </w:p>
        </w:tc>
        <w:tc>
          <w:tcPr>
            <w:tcW w:w="1391" w:type="dxa"/>
            <w:shd w:val="clear" w:color="auto" w:fill="auto"/>
            <w:hideMark/>
          </w:tcPr>
          <w:p w14:paraId="157D0797" w14:textId="77777777" w:rsidR="00353895" w:rsidRPr="00353895" w:rsidRDefault="00353895" w:rsidP="00353895">
            <w:pPr>
              <w:spacing w:before="60" w:after="60"/>
              <w:jc w:val="center"/>
              <w:rPr>
                <w:rFonts w:ascii="Times New Roman" w:eastAsia="Yu Mincho" w:hAnsi="Times New Roman" w:cs="Times New Roman"/>
                <w:sz w:val="20"/>
                <w:szCs w:val="20"/>
                <w:lang w:val="en-AU"/>
              </w:rPr>
            </w:pPr>
            <w:r w:rsidRPr="00353895">
              <w:rPr>
                <w:rFonts w:ascii="Times New Roman" w:eastAsia="Yu Mincho" w:hAnsi="Times New Roman" w:cs="Times New Roman"/>
                <w:sz w:val="20"/>
                <w:szCs w:val="20"/>
                <w:lang w:val="en-AU"/>
              </w:rPr>
              <w:t>54%</w:t>
            </w:r>
          </w:p>
        </w:tc>
        <w:tc>
          <w:tcPr>
            <w:tcW w:w="1421" w:type="dxa"/>
            <w:shd w:val="clear" w:color="auto" w:fill="auto"/>
            <w:hideMark/>
          </w:tcPr>
          <w:p w14:paraId="7898EFAA" w14:textId="77777777" w:rsidR="00353895" w:rsidRPr="00353895" w:rsidRDefault="00353895" w:rsidP="00353895">
            <w:pPr>
              <w:spacing w:before="60" w:after="60"/>
              <w:jc w:val="center"/>
              <w:rPr>
                <w:rFonts w:ascii="Times New Roman" w:eastAsia="Yu Mincho" w:hAnsi="Times New Roman" w:cs="Times New Roman"/>
                <w:sz w:val="20"/>
                <w:szCs w:val="20"/>
                <w:lang w:val="en-AU"/>
              </w:rPr>
            </w:pPr>
            <w:r w:rsidRPr="00353895">
              <w:rPr>
                <w:rFonts w:ascii="Times New Roman" w:eastAsia="Yu Mincho" w:hAnsi="Times New Roman" w:cs="Times New Roman"/>
                <w:sz w:val="20"/>
                <w:szCs w:val="20"/>
                <w:lang w:val="en-AU"/>
              </w:rPr>
              <w:t>27%</w:t>
            </w:r>
          </w:p>
        </w:tc>
        <w:tc>
          <w:tcPr>
            <w:tcW w:w="1391" w:type="dxa"/>
            <w:shd w:val="clear" w:color="auto" w:fill="auto"/>
            <w:hideMark/>
          </w:tcPr>
          <w:p w14:paraId="1E2F355C" w14:textId="77777777" w:rsidR="00353895" w:rsidRPr="00353895" w:rsidRDefault="00353895" w:rsidP="00353895">
            <w:pPr>
              <w:spacing w:before="60" w:after="60"/>
              <w:jc w:val="center"/>
              <w:rPr>
                <w:rFonts w:ascii="Times New Roman" w:eastAsia="Yu Mincho" w:hAnsi="Times New Roman" w:cs="Times New Roman"/>
                <w:sz w:val="20"/>
                <w:szCs w:val="20"/>
                <w:lang w:val="en-AU"/>
              </w:rPr>
            </w:pPr>
            <w:r w:rsidRPr="00353895">
              <w:rPr>
                <w:rFonts w:ascii="Times New Roman" w:eastAsia="Yu Mincho" w:hAnsi="Times New Roman" w:cs="Times New Roman"/>
                <w:sz w:val="20"/>
                <w:szCs w:val="20"/>
                <w:lang w:val="en-AU"/>
              </w:rPr>
              <w:t>19%</w:t>
            </w:r>
          </w:p>
        </w:tc>
        <w:tc>
          <w:tcPr>
            <w:tcW w:w="1503" w:type="dxa"/>
            <w:shd w:val="clear" w:color="auto" w:fill="auto"/>
            <w:hideMark/>
          </w:tcPr>
          <w:p w14:paraId="141ED3C8" w14:textId="77777777" w:rsidR="00353895" w:rsidRPr="00353895" w:rsidRDefault="00353895" w:rsidP="00353895">
            <w:pPr>
              <w:spacing w:before="60" w:after="60"/>
              <w:jc w:val="center"/>
              <w:rPr>
                <w:rFonts w:ascii="Times New Roman" w:eastAsia="Yu Mincho" w:hAnsi="Times New Roman" w:cs="Times New Roman"/>
                <w:sz w:val="20"/>
                <w:szCs w:val="20"/>
                <w:lang w:val="en-AU"/>
              </w:rPr>
            </w:pPr>
            <w:r w:rsidRPr="00353895">
              <w:rPr>
                <w:rFonts w:ascii="Times New Roman" w:eastAsia="Yu Mincho" w:hAnsi="Times New Roman" w:cs="Times New Roman"/>
                <w:sz w:val="20"/>
                <w:szCs w:val="20"/>
                <w:lang w:val="en-AU"/>
              </w:rPr>
              <w:t>100%</w:t>
            </w:r>
          </w:p>
        </w:tc>
      </w:tr>
      <w:tr w:rsidR="00353895" w:rsidRPr="00353895" w14:paraId="76ECA204" w14:textId="77777777" w:rsidTr="003F1754">
        <w:tc>
          <w:tcPr>
            <w:tcW w:w="2425" w:type="dxa"/>
            <w:vMerge w:val="restart"/>
            <w:hideMark/>
          </w:tcPr>
          <w:p w14:paraId="49153C88" w14:textId="77777777" w:rsidR="00353895" w:rsidRPr="00353895" w:rsidRDefault="00353895" w:rsidP="00353895">
            <w:pPr>
              <w:spacing w:before="60" w:after="60"/>
              <w:rPr>
                <w:rFonts w:ascii="Times New Roman" w:eastAsia="Yu Mincho" w:hAnsi="Times New Roman" w:cs="Times New Roman"/>
                <w:sz w:val="20"/>
                <w:szCs w:val="20"/>
                <w:lang w:val="en-AU"/>
              </w:rPr>
            </w:pPr>
            <w:r w:rsidRPr="00353895">
              <w:rPr>
                <w:rFonts w:ascii="Times New Roman" w:eastAsia="Yu Mincho" w:hAnsi="Times New Roman" w:cs="Times New Roman"/>
                <w:sz w:val="20"/>
                <w:szCs w:val="20"/>
                <w:lang w:val="en-AU"/>
              </w:rPr>
              <w:t>Screening client profile, 50-74, 2022-2023</w:t>
            </w:r>
          </w:p>
        </w:tc>
        <w:tc>
          <w:tcPr>
            <w:tcW w:w="1404" w:type="dxa"/>
            <w:hideMark/>
          </w:tcPr>
          <w:p w14:paraId="4EC01C60" w14:textId="77777777" w:rsidR="00353895" w:rsidRPr="00353895" w:rsidRDefault="00353895" w:rsidP="00353895">
            <w:pPr>
              <w:spacing w:before="60" w:after="60"/>
              <w:jc w:val="center"/>
              <w:rPr>
                <w:rFonts w:ascii="Times New Roman" w:eastAsia="Yu Mincho" w:hAnsi="Times New Roman" w:cs="Times New Roman"/>
                <w:sz w:val="20"/>
                <w:szCs w:val="20"/>
                <w:lang w:val="en-AU"/>
              </w:rPr>
            </w:pPr>
            <w:r w:rsidRPr="00353895">
              <w:rPr>
                <w:rFonts w:ascii="Times New Roman" w:eastAsia="Yu Mincho" w:hAnsi="Times New Roman" w:cs="Times New Roman"/>
                <w:sz w:val="20"/>
                <w:szCs w:val="20"/>
                <w:lang w:val="en-AU"/>
              </w:rPr>
              <w:t>No pause</w:t>
            </w:r>
          </w:p>
        </w:tc>
        <w:tc>
          <w:tcPr>
            <w:tcW w:w="1391" w:type="dxa"/>
            <w:hideMark/>
          </w:tcPr>
          <w:p w14:paraId="3B0D6917" w14:textId="77777777" w:rsidR="00353895" w:rsidRPr="00353895" w:rsidRDefault="00353895" w:rsidP="00353895">
            <w:pPr>
              <w:spacing w:before="60" w:after="60"/>
              <w:jc w:val="center"/>
              <w:rPr>
                <w:rFonts w:ascii="Times New Roman" w:eastAsia="Yu Mincho" w:hAnsi="Times New Roman" w:cs="Times New Roman"/>
                <w:sz w:val="20"/>
                <w:szCs w:val="20"/>
                <w:lang w:val="en-AU"/>
              </w:rPr>
            </w:pPr>
            <w:r w:rsidRPr="00353895">
              <w:rPr>
                <w:rFonts w:ascii="Times New Roman" w:eastAsia="Yu Mincho" w:hAnsi="Times New Roman" w:cs="Times New Roman"/>
                <w:sz w:val="20"/>
                <w:szCs w:val="20"/>
                <w:lang w:val="en-AU"/>
              </w:rPr>
              <w:t>N/A</w:t>
            </w:r>
          </w:p>
        </w:tc>
        <w:tc>
          <w:tcPr>
            <w:tcW w:w="1421" w:type="dxa"/>
            <w:hideMark/>
          </w:tcPr>
          <w:p w14:paraId="0C856582" w14:textId="77777777" w:rsidR="00353895" w:rsidRPr="00353895" w:rsidRDefault="00353895" w:rsidP="00353895">
            <w:pPr>
              <w:spacing w:before="60" w:after="60"/>
              <w:jc w:val="center"/>
              <w:rPr>
                <w:rFonts w:ascii="Times New Roman" w:eastAsia="Yu Mincho" w:hAnsi="Times New Roman" w:cs="Times New Roman"/>
                <w:sz w:val="20"/>
                <w:szCs w:val="20"/>
                <w:lang w:val="en-AU"/>
              </w:rPr>
            </w:pPr>
            <w:r w:rsidRPr="00353895">
              <w:rPr>
                <w:rFonts w:ascii="Times New Roman" w:eastAsia="Yu Mincho" w:hAnsi="Times New Roman" w:cs="Times New Roman"/>
                <w:sz w:val="20"/>
                <w:szCs w:val="20"/>
                <w:lang w:val="en-AU"/>
              </w:rPr>
              <w:t>N/A</w:t>
            </w:r>
          </w:p>
        </w:tc>
        <w:tc>
          <w:tcPr>
            <w:tcW w:w="1391" w:type="dxa"/>
            <w:hideMark/>
          </w:tcPr>
          <w:p w14:paraId="7493F102" w14:textId="77777777" w:rsidR="00353895" w:rsidRPr="00353895" w:rsidRDefault="00353895" w:rsidP="00353895">
            <w:pPr>
              <w:spacing w:before="60" w:after="60"/>
              <w:jc w:val="center"/>
              <w:rPr>
                <w:rFonts w:ascii="Times New Roman" w:eastAsia="Yu Mincho" w:hAnsi="Times New Roman" w:cs="Times New Roman"/>
                <w:sz w:val="20"/>
                <w:szCs w:val="20"/>
                <w:lang w:val="en-AU"/>
              </w:rPr>
            </w:pPr>
            <w:r w:rsidRPr="00353895">
              <w:rPr>
                <w:rFonts w:ascii="Times New Roman" w:eastAsia="Yu Mincho" w:hAnsi="Times New Roman" w:cs="Times New Roman"/>
                <w:sz w:val="20"/>
                <w:szCs w:val="20"/>
                <w:lang w:val="en-AU"/>
              </w:rPr>
              <w:t>104</w:t>
            </w:r>
          </w:p>
        </w:tc>
        <w:tc>
          <w:tcPr>
            <w:tcW w:w="1503" w:type="dxa"/>
            <w:hideMark/>
          </w:tcPr>
          <w:p w14:paraId="6A91D030" w14:textId="77777777" w:rsidR="00353895" w:rsidRPr="00353895" w:rsidRDefault="00353895" w:rsidP="00353895">
            <w:pPr>
              <w:spacing w:before="60" w:after="60"/>
              <w:jc w:val="center"/>
              <w:rPr>
                <w:rFonts w:ascii="Times New Roman" w:eastAsia="Yu Mincho" w:hAnsi="Times New Roman" w:cs="Times New Roman"/>
                <w:sz w:val="20"/>
                <w:szCs w:val="20"/>
                <w:lang w:val="en-AU"/>
              </w:rPr>
            </w:pPr>
            <w:r w:rsidRPr="00353895">
              <w:rPr>
                <w:rFonts w:ascii="Times New Roman" w:eastAsia="Yu Mincho" w:hAnsi="Times New Roman" w:cs="Times New Roman"/>
                <w:sz w:val="20"/>
                <w:szCs w:val="20"/>
                <w:lang w:val="en-AU"/>
              </w:rPr>
              <w:t>100%</w:t>
            </w:r>
          </w:p>
        </w:tc>
      </w:tr>
      <w:tr w:rsidR="00353895" w:rsidRPr="00353895" w14:paraId="68772954" w14:textId="77777777" w:rsidTr="003F1754">
        <w:tc>
          <w:tcPr>
            <w:tcW w:w="0" w:type="auto"/>
            <w:vMerge/>
            <w:vAlign w:val="center"/>
            <w:hideMark/>
          </w:tcPr>
          <w:p w14:paraId="6F1078D3" w14:textId="77777777" w:rsidR="00353895" w:rsidRPr="00353895" w:rsidRDefault="00353895" w:rsidP="00353895">
            <w:pPr>
              <w:spacing w:before="60" w:after="60"/>
              <w:rPr>
                <w:rFonts w:ascii="Times New Roman" w:eastAsia="Yu Mincho" w:hAnsi="Times New Roman" w:cs="Times New Roman"/>
                <w:sz w:val="20"/>
                <w:szCs w:val="20"/>
                <w:lang w:val="en-AU"/>
              </w:rPr>
            </w:pPr>
          </w:p>
        </w:tc>
        <w:tc>
          <w:tcPr>
            <w:tcW w:w="1404" w:type="dxa"/>
            <w:hideMark/>
          </w:tcPr>
          <w:p w14:paraId="65F81CC7" w14:textId="77777777" w:rsidR="00353895" w:rsidRPr="00353895" w:rsidRDefault="00353895" w:rsidP="00353895">
            <w:pPr>
              <w:spacing w:before="60" w:after="60"/>
              <w:jc w:val="center"/>
              <w:rPr>
                <w:rFonts w:ascii="Times New Roman" w:eastAsia="Yu Mincho" w:hAnsi="Times New Roman" w:cs="Times New Roman"/>
                <w:sz w:val="20"/>
                <w:szCs w:val="20"/>
                <w:lang w:val="en-AU"/>
              </w:rPr>
            </w:pPr>
            <w:r w:rsidRPr="00353895">
              <w:rPr>
                <w:rFonts w:ascii="Times New Roman" w:eastAsia="Yu Mincho" w:hAnsi="Times New Roman" w:cs="Times New Roman"/>
                <w:sz w:val="20"/>
                <w:szCs w:val="20"/>
                <w:lang w:val="en-AU"/>
              </w:rPr>
              <w:t>3 months</w:t>
            </w:r>
          </w:p>
        </w:tc>
        <w:tc>
          <w:tcPr>
            <w:tcW w:w="1391" w:type="dxa"/>
            <w:hideMark/>
          </w:tcPr>
          <w:p w14:paraId="7A74EE4F" w14:textId="77777777" w:rsidR="00353895" w:rsidRPr="00353895" w:rsidRDefault="00353895" w:rsidP="00353895">
            <w:pPr>
              <w:spacing w:before="60" w:after="60"/>
              <w:jc w:val="center"/>
              <w:rPr>
                <w:rFonts w:ascii="Times New Roman" w:eastAsia="Yu Mincho" w:hAnsi="Times New Roman" w:cs="Times New Roman"/>
                <w:sz w:val="20"/>
                <w:szCs w:val="20"/>
                <w:lang w:val="en-AU"/>
              </w:rPr>
            </w:pPr>
            <w:r w:rsidRPr="00353895">
              <w:rPr>
                <w:rFonts w:ascii="Times New Roman" w:eastAsia="Yu Mincho" w:hAnsi="Times New Roman" w:cs="Times New Roman"/>
                <w:sz w:val="20"/>
                <w:szCs w:val="20"/>
                <w:lang w:val="en-AU"/>
              </w:rPr>
              <w:t>11%</w:t>
            </w:r>
          </w:p>
        </w:tc>
        <w:tc>
          <w:tcPr>
            <w:tcW w:w="1421" w:type="dxa"/>
            <w:hideMark/>
          </w:tcPr>
          <w:p w14:paraId="72E73BBD" w14:textId="77777777" w:rsidR="00353895" w:rsidRPr="00353895" w:rsidRDefault="00353895" w:rsidP="00353895">
            <w:pPr>
              <w:spacing w:before="60" w:after="60"/>
              <w:jc w:val="center"/>
              <w:rPr>
                <w:rFonts w:ascii="Times New Roman" w:eastAsia="Yu Mincho" w:hAnsi="Times New Roman" w:cs="Times New Roman"/>
                <w:sz w:val="20"/>
                <w:szCs w:val="20"/>
                <w:lang w:val="en-AU"/>
              </w:rPr>
            </w:pPr>
            <w:r w:rsidRPr="00353895">
              <w:rPr>
                <w:rFonts w:ascii="Times New Roman" w:eastAsia="Yu Mincho" w:hAnsi="Times New Roman" w:cs="Times New Roman"/>
                <w:sz w:val="20"/>
                <w:szCs w:val="20"/>
                <w:lang w:val="en-AU"/>
              </w:rPr>
              <w:t>10%</w:t>
            </w:r>
          </w:p>
        </w:tc>
        <w:tc>
          <w:tcPr>
            <w:tcW w:w="1391" w:type="dxa"/>
            <w:hideMark/>
          </w:tcPr>
          <w:p w14:paraId="2BEBC95B" w14:textId="77777777" w:rsidR="00353895" w:rsidRPr="00353895" w:rsidRDefault="00353895" w:rsidP="00353895">
            <w:pPr>
              <w:spacing w:before="60" w:after="60"/>
              <w:jc w:val="center"/>
              <w:rPr>
                <w:rFonts w:ascii="Times New Roman" w:eastAsia="Yu Mincho" w:hAnsi="Times New Roman" w:cs="Times New Roman"/>
                <w:sz w:val="20"/>
                <w:szCs w:val="20"/>
                <w:lang w:val="en-AU"/>
              </w:rPr>
            </w:pPr>
            <w:r w:rsidRPr="00353895">
              <w:rPr>
                <w:rFonts w:ascii="Times New Roman" w:eastAsia="Yu Mincho" w:hAnsi="Times New Roman" w:cs="Times New Roman"/>
                <w:sz w:val="20"/>
                <w:szCs w:val="20"/>
                <w:lang w:val="en-AU"/>
              </w:rPr>
              <w:t>79%</w:t>
            </w:r>
          </w:p>
        </w:tc>
        <w:tc>
          <w:tcPr>
            <w:tcW w:w="1503" w:type="dxa"/>
            <w:hideMark/>
          </w:tcPr>
          <w:p w14:paraId="0F98801A" w14:textId="77777777" w:rsidR="00353895" w:rsidRPr="00353895" w:rsidRDefault="00353895" w:rsidP="00353895">
            <w:pPr>
              <w:spacing w:before="60" w:after="60"/>
              <w:jc w:val="center"/>
              <w:rPr>
                <w:rFonts w:ascii="Times New Roman" w:eastAsia="Yu Mincho" w:hAnsi="Times New Roman" w:cs="Times New Roman"/>
                <w:sz w:val="20"/>
                <w:szCs w:val="20"/>
                <w:lang w:val="en-AU"/>
              </w:rPr>
            </w:pPr>
            <w:r w:rsidRPr="00353895">
              <w:rPr>
                <w:rFonts w:ascii="Times New Roman" w:eastAsia="Yu Mincho" w:hAnsi="Times New Roman" w:cs="Times New Roman"/>
                <w:sz w:val="20"/>
                <w:szCs w:val="20"/>
                <w:lang w:val="en-AU"/>
              </w:rPr>
              <w:t>100%</w:t>
            </w:r>
          </w:p>
        </w:tc>
      </w:tr>
      <w:tr w:rsidR="00353895" w:rsidRPr="00353895" w14:paraId="24CEFAED" w14:textId="77777777" w:rsidTr="003F1754">
        <w:tc>
          <w:tcPr>
            <w:tcW w:w="0" w:type="auto"/>
            <w:vMerge/>
            <w:vAlign w:val="center"/>
            <w:hideMark/>
          </w:tcPr>
          <w:p w14:paraId="3E796B16" w14:textId="77777777" w:rsidR="00353895" w:rsidRPr="00353895" w:rsidRDefault="00353895" w:rsidP="00353895">
            <w:pPr>
              <w:spacing w:before="60" w:after="60"/>
              <w:rPr>
                <w:rFonts w:ascii="Times New Roman" w:eastAsia="Yu Mincho" w:hAnsi="Times New Roman" w:cs="Times New Roman"/>
                <w:sz w:val="20"/>
                <w:szCs w:val="20"/>
                <w:lang w:val="en-AU"/>
              </w:rPr>
            </w:pPr>
          </w:p>
        </w:tc>
        <w:tc>
          <w:tcPr>
            <w:tcW w:w="1404" w:type="dxa"/>
            <w:hideMark/>
          </w:tcPr>
          <w:p w14:paraId="530DF03A" w14:textId="77777777" w:rsidR="00353895" w:rsidRPr="00353895" w:rsidRDefault="00353895" w:rsidP="00353895">
            <w:pPr>
              <w:spacing w:before="60" w:after="60"/>
              <w:jc w:val="center"/>
              <w:rPr>
                <w:rFonts w:ascii="Times New Roman" w:eastAsia="Yu Mincho" w:hAnsi="Times New Roman" w:cs="Times New Roman"/>
                <w:sz w:val="20"/>
                <w:szCs w:val="20"/>
                <w:lang w:val="en-AU"/>
              </w:rPr>
            </w:pPr>
            <w:r w:rsidRPr="00353895">
              <w:rPr>
                <w:rFonts w:ascii="Times New Roman" w:eastAsia="Yu Mincho" w:hAnsi="Times New Roman" w:cs="Times New Roman"/>
                <w:sz w:val="20"/>
                <w:szCs w:val="20"/>
                <w:lang w:val="en-AU"/>
              </w:rPr>
              <w:t>6 months</w:t>
            </w:r>
          </w:p>
        </w:tc>
        <w:tc>
          <w:tcPr>
            <w:tcW w:w="1391" w:type="dxa"/>
            <w:hideMark/>
          </w:tcPr>
          <w:p w14:paraId="58C5B49D" w14:textId="77777777" w:rsidR="00353895" w:rsidRPr="00353895" w:rsidRDefault="00353895" w:rsidP="00353895">
            <w:pPr>
              <w:spacing w:before="60" w:after="60"/>
              <w:jc w:val="center"/>
              <w:rPr>
                <w:rFonts w:ascii="Times New Roman" w:eastAsia="Yu Mincho" w:hAnsi="Times New Roman" w:cs="Times New Roman"/>
                <w:sz w:val="20"/>
                <w:szCs w:val="20"/>
                <w:lang w:val="en-AU"/>
              </w:rPr>
            </w:pPr>
            <w:r w:rsidRPr="00353895">
              <w:rPr>
                <w:rFonts w:ascii="Times New Roman" w:eastAsia="Yu Mincho" w:hAnsi="Times New Roman" w:cs="Times New Roman"/>
                <w:sz w:val="20"/>
                <w:szCs w:val="20"/>
                <w:lang w:val="en-AU"/>
              </w:rPr>
              <w:t>21%</w:t>
            </w:r>
          </w:p>
        </w:tc>
        <w:tc>
          <w:tcPr>
            <w:tcW w:w="1421" w:type="dxa"/>
            <w:hideMark/>
          </w:tcPr>
          <w:p w14:paraId="33AED92E" w14:textId="77777777" w:rsidR="00353895" w:rsidRPr="00353895" w:rsidRDefault="00353895" w:rsidP="00353895">
            <w:pPr>
              <w:spacing w:before="60" w:after="60"/>
              <w:jc w:val="center"/>
              <w:rPr>
                <w:rFonts w:ascii="Times New Roman" w:eastAsia="Yu Mincho" w:hAnsi="Times New Roman" w:cs="Times New Roman"/>
                <w:sz w:val="20"/>
                <w:szCs w:val="20"/>
                <w:lang w:val="en-AU"/>
              </w:rPr>
            </w:pPr>
            <w:r w:rsidRPr="00353895">
              <w:rPr>
                <w:rFonts w:ascii="Times New Roman" w:eastAsia="Yu Mincho" w:hAnsi="Times New Roman" w:cs="Times New Roman"/>
                <w:sz w:val="20"/>
                <w:szCs w:val="20"/>
                <w:lang w:val="en-AU"/>
              </w:rPr>
              <w:t>25%</w:t>
            </w:r>
          </w:p>
        </w:tc>
        <w:tc>
          <w:tcPr>
            <w:tcW w:w="1391" w:type="dxa"/>
            <w:hideMark/>
          </w:tcPr>
          <w:p w14:paraId="55CE9400" w14:textId="77777777" w:rsidR="00353895" w:rsidRPr="00353895" w:rsidRDefault="00353895" w:rsidP="00353895">
            <w:pPr>
              <w:spacing w:before="60" w:after="60"/>
              <w:jc w:val="center"/>
              <w:rPr>
                <w:rFonts w:ascii="Times New Roman" w:eastAsia="Yu Mincho" w:hAnsi="Times New Roman" w:cs="Times New Roman"/>
                <w:sz w:val="20"/>
                <w:szCs w:val="20"/>
                <w:lang w:val="en-AU"/>
              </w:rPr>
            </w:pPr>
            <w:r w:rsidRPr="00353895">
              <w:rPr>
                <w:rFonts w:ascii="Times New Roman" w:eastAsia="Yu Mincho" w:hAnsi="Times New Roman" w:cs="Times New Roman"/>
                <w:sz w:val="20"/>
                <w:szCs w:val="20"/>
                <w:lang w:val="en-AU"/>
              </w:rPr>
              <w:t>54%</w:t>
            </w:r>
          </w:p>
        </w:tc>
        <w:tc>
          <w:tcPr>
            <w:tcW w:w="1503" w:type="dxa"/>
            <w:hideMark/>
          </w:tcPr>
          <w:p w14:paraId="7110991E" w14:textId="77777777" w:rsidR="00353895" w:rsidRPr="00353895" w:rsidRDefault="00353895" w:rsidP="00353895">
            <w:pPr>
              <w:spacing w:before="60" w:after="60"/>
              <w:jc w:val="center"/>
              <w:rPr>
                <w:rFonts w:ascii="Times New Roman" w:eastAsia="Yu Mincho" w:hAnsi="Times New Roman" w:cs="Times New Roman"/>
                <w:sz w:val="20"/>
                <w:szCs w:val="20"/>
                <w:lang w:val="en-AU"/>
              </w:rPr>
            </w:pPr>
            <w:r w:rsidRPr="00353895">
              <w:rPr>
                <w:rFonts w:ascii="Times New Roman" w:eastAsia="Yu Mincho" w:hAnsi="Times New Roman" w:cs="Times New Roman"/>
                <w:sz w:val="20"/>
                <w:szCs w:val="20"/>
                <w:lang w:val="en-AU"/>
              </w:rPr>
              <w:t>100%</w:t>
            </w:r>
          </w:p>
        </w:tc>
      </w:tr>
      <w:tr w:rsidR="00353895" w:rsidRPr="00353895" w14:paraId="73A2A387" w14:textId="77777777" w:rsidTr="003F1754">
        <w:tc>
          <w:tcPr>
            <w:tcW w:w="0" w:type="auto"/>
            <w:vMerge/>
            <w:vAlign w:val="center"/>
            <w:hideMark/>
          </w:tcPr>
          <w:p w14:paraId="337D26A6" w14:textId="77777777" w:rsidR="00353895" w:rsidRPr="00353895" w:rsidRDefault="00353895" w:rsidP="00353895">
            <w:pPr>
              <w:spacing w:before="60" w:after="60"/>
              <w:rPr>
                <w:rFonts w:ascii="Times New Roman" w:eastAsia="Yu Mincho" w:hAnsi="Times New Roman" w:cs="Times New Roman"/>
                <w:sz w:val="20"/>
                <w:szCs w:val="20"/>
                <w:lang w:val="en-AU"/>
              </w:rPr>
            </w:pPr>
          </w:p>
        </w:tc>
        <w:tc>
          <w:tcPr>
            <w:tcW w:w="1404" w:type="dxa"/>
            <w:hideMark/>
          </w:tcPr>
          <w:p w14:paraId="63406BE5" w14:textId="77777777" w:rsidR="00353895" w:rsidRPr="00353895" w:rsidRDefault="00353895" w:rsidP="00353895">
            <w:pPr>
              <w:spacing w:before="60" w:after="60"/>
              <w:jc w:val="center"/>
              <w:rPr>
                <w:rFonts w:ascii="Times New Roman" w:eastAsia="Yu Mincho" w:hAnsi="Times New Roman" w:cs="Times New Roman"/>
                <w:sz w:val="20"/>
                <w:szCs w:val="20"/>
                <w:lang w:val="en-AU"/>
              </w:rPr>
            </w:pPr>
            <w:r w:rsidRPr="00353895">
              <w:rPr>
                <w:rFonts w:ascii="Times New Roman" w:eastAsia="Yu Mincho" w:hAnsi="Times New Roman" w:cs="Times New Roman"/>
                <w:sz w:val="20"/>
                <w:szCs w:val="20"/>
                <w:lang w:val="en-AU"/>
              </w:rPr>
              <w:t>12 months</w:t>
            </w:r>
          </w:p>
        </w:tc>
        <w:tc>
          <w:tcPr>
            <w:tcW w:w="1391" w:type="dxa"/>
            <w:hideMark/>
          </w:tcPr>
          <w:p w14:paraId="397815DF" w14:textId="77777777" w:rsidR="00353895" w:rsidRPr="00353895" w:rsidRDefault="00353895" w:rsidP="00353895">
            <w:pPr>
              <w:spacing w:before="60" w:after="60"/>
              <w:jc w:val="center"/>
              <w:rPr>
                <w:rFonts w:ascii="Times New Roman" w:eastAsia="Yu Mincho" w:hAnsi="Times New Roman" w:cs="Times New Roman"/>
                <w:sz w:val="20"/>
                <w:szCs w:val="20"/>
                <w:lang w:val="en-AU"/>
              </w:rPr>
            </w:pPr>
            <w:r w:rsidRPr="00353895">
              <w:rPr>
                <w:rFonts w:ascii="Times New Roman" w:eastAsia="Yu Mincho" w:hAnsi="Times New Roman" w:cs="Times New Roman"/>
                <w:sz w:val="20"/>
                <w:szCs w:val="20"/>
                <w:lang w:val="en-AU"/>
              </w:rPr>
              <w:t>37%</w:t>
            </w:r>
          </w:p>
        </w:tc>
        <w:tc>
          <w:tcPr>
            <w:tcW w:w="1421" w:type="dxa"/>
            <w:hideMark/>
          </w:tcPr>
          <w:p w14:paraId="4EEBD225" w14:textId="77777777" w:rsidR="00353895" w:rsidRPr="00353895" w:rsidRDefault="00353895" w:rsidP="00353895">
            <w:pPr>
              <w:spacing w:before="60" w:after="60"/>
              <w:jc w:val="center"/>
              <w:rPr>
                <w:rFonts w:ascii="Times New Roman" w:eastAsia="Yu Mincho" w:hAnsi="Times New Roman" w:cs="Times New Roman"/>
                <w:sz w:val="20"/>
                <w:szCs w:val="20"/>
                <w:lang w:val="en-AU"/>
              </w:rPr>
            </w:pPr>
            <w:r w:rsidRPr="00353895">
              <w:rPr>
                <w:rFonts w:ascii="Times New Roman" w:eastAsia="Yu Mincho" w:hAnsi="Times New Roman" w:cs="Times New Roman"/>
                <w:sz w:val="20"/>
                <w:szCs w:val="20"/>
                <w:lang w:val="en-AU"/>
              </w:rPr>
              <w:t>49%</w:t>
            </w:r>
          </w:p>
        </w:tc>
        <w:tc>
          <w:tcPr>
            <w:tcW w:w="1391" w:type="dxa"/>
            <w:hideMark/>
          </w:tcPr>
          <w:p w14:paraId="47E9AFE1" w14:textId="77777777" w:rsidR="00353895" w:rsidRPr="00353895" w:rsidRDefault="00353895" w:rsidP="00353895">
            <w:pPr>
              <w:spacing w:before="60" w:after="60"/>
              <w:jc w:val="center"/>
              <w:rPr>
                <w:rFonts w:ascii="Times New Roman" w:eastAsia="Yu Mincho" w:hAnsi="Times New Roman" w:cs="Times New Roman"/>
                <w:sz w:val="20"/>
                <w:szCs w:val="20"/>
                <w:lang w:val="en-AU"/>
              </w:rPr>
            </w:pPr>
            <w:r w:rsidRPr="00353895">
              <w:rPr>
                <w:rFonts w:ascii="Times New Roman" w:eastAsia="Yu Mincho" w:hAnsi="Times New Roman" w:cs="Times New Roman"/>
                <w:sz w:val="20"/>
                <w:szCs w:val="20"/>
                <w:lang w:val="en-AU"/>
              </w:rPr>
              <w:t>14%</w:t>
            </w:r>
          </w:p>
        </w:tc>
        <w:tc>
          <w:tcPr>
            <w:tcW w:w="1503" w:type="dxa"/>
            <w:hideMark/>
          </w:tcPr>
          <w:p w14:paraId="6B0D2DCB" w14:textId="77777777" w:rsidR="00353895" w:rsidRPr="00353895" w:rsidRDefault="00353895" w:rsidP="00353895">
            <w:pPr>
              <w:spacing w:before="60" w:after="60"/>
              <w:jc w:val="center"/>
              <w:rPr>
                <w:rFonts w:ascii="Times New Roman" w:eastAsia="Yu Mincho" w:hAnsi="Times New Roman" w:cs="Times New Roman"/>
                <w:sz w:val="20"/>
                <w:szCs w:val="20"/>
                <w:lang w:val="en-AU"/>
              </w:rPr>
            </w:pPr>
            <w:r w:rsidRPr="00353895">
              <w:rPr>
                <w:rFonts w:ascii="Times New Roman" w:eastAsia="Yu Mincho" w:hAnsi="Times New Roman" w:cs="Times New Roman"/>
                <w:sz w:val="20"/>
                <w:szCs w:val="20"/>
                <w:lang w:val="en-AU"/>
              </w:rPr>
              <w:t>100%</w:t>
            </w:r>
          </w:p>
        </w:tc>
      </w:tr>
      <w:tr w:rsidR="00353895" w:rsidRPr="00353895" w14:paraId="73BD11C5" w14:textId="77777777" w:rsidTr="003F1754">
        <w:tc>
          <w:tcPr>
            <w:tcW w:w="2425" w:type="dxa"/>
            <w:vMerge w:val="restart"/>
            <w:tcBorders>
              <w:bottom w:val="single" w:sz="4" w:space="0" w:color="auto"/>
            </w:tcBorders>
            <w:shd w:val="clear" w:color="auto" w:fill="auto"/>
            <w:hideMark/>
          </w:tcPr>
          <w:p w14:paraId="416869B4" w14:textId="77777777" w:rsidR="00353895" w:rsidRPr="00353895" w:rsidRDefault="00353895" w:rsidP="00353895">
            <w:pPr>
              <w:spacing w:before="60" w:after="60"/>
              <w:rPr>
                <w:rFonts w:ascii="Times New Roman" w:eastAsia="Yu Mincho" w:hAnsi="Times New Roman" w:cs="Times New Roman"/>
                <w:sz w:val="20"/>
                <w:szCs w:val="20"/>
                <w:lang w:val="en-AU"/>
              </w:rPr>
            </w:pPr>
            <w:r w:rsidRPr="00353895">
              <w:rPr>
                <w:rFonts w:ascii="Times New Roman" w:eastAsia="Yu Mincho" w:hAnsi="Times New Roman" w:cs="Times New Roman"/>
                <w:sz w:val="20"/>
                <w:szCs w:val="20"/>
                <w:lang w:val="en-AU"/>
              </w:rPr>
              <w:t>Screening interval (median weeks) 2020-2021</w:t>
            </w:r>
          </w:p>
        </w:tc>
        <w:tc>
          <w:tcPr>
            <w:tcW w:w="1404" w:type="dxa"/>
            <w:shd w:val="clear" w:color="auto" w:fill="auto"/>
            <w:hideMark/>
          </w:tcPr>
          <w:p w14:paraId="5DABFB60" w14:textId="77777777" w:rsidR="00353895" w:rsidRPr="00353895" w:rsidRDefault="00353895" w:rsidP="00353895">
            <w:pPr>
              <w:spacing w:before="60" w:after="60"/>
              <w:jc w:val="center"/>
              <w:rPr>
                <w:rFonts w:ascii="Times New Roman" w:eastAsia="Yu Mincho" w:hAnsi="Times New Roman" w:cs="Times New Roman"/>
                <w:sz w:val="20"/>
                <w:szCs w:val="20"/>
                <w:lang w:val="en-AU"/>
              </w:rPr>
            </w:pPr>
            <w:r w:rsidRPr="00353895">
              <w:rPr>
                <w:rFonts w:ascii="Times New Roman" w:eastAsia="Yu Mincho" w:hAnsi="Times New Roman" w:cs="Times New Roman"/>
                <w:sz w:val="20"/>
                <w:szCs w:val="20"/>
                <w:lang w:val="en-AU"/>
              </w:rPr>
              <w:t>No pause</w:t>
            </w:r>
          </w:p>
        </w:tc>
        <w:tc>
          <w:tcPr>
            <w:tcW w:w="1391" w:type="dxa"/>
            <w:shd w:val="clear" w:color="auto" w:fill="auto"/>
            <w:hideMark/>
          </w:tcPr>
          <w:p w14:paraId="29D77BAD" w14:textId="77777777" w:rsidR="00353895" w:rsidRPr="00353895" w:rsidRDefault="00353895" w:rsidP="00353895">
            <w:pPr>
              <w:spacing w:before="60" w:after="60"/>
              <w:jc w:val="center"/>
              <w:rPr>
                <w:rFonts w:ascii="Times New Roman" w:eastAsia="Yu Mincho" w:hAnsi="Times New Roman" w:cs="Times New Roman"/>
                <w:sz w:val="20"/>
                <w:szCs w:val="20"/>
                <w:lang w:val="en-AU"/>
              </w:rPr>
            </w:pPr>
            <w:r w:rsidRPr="00353895">
              <w:rPr>
                <w:rFonts w:ascii="Times New Roman" w:eastAsia="Yu Mincho" w:hAnsi="Times New Roman" w:cs="Times New Roman"/>
                <w:sz w:val="20"/>
                <w:szCs w:val="20"/>
                <w:lang w:val="en-AU"/>
              </w:rPr>
              <w:t>N/A</w:t>
            </w:r>
          </w:p>
        </w:tc>
        <w:tc>
          <w:tcPr>
            <w:tcW w:w="1421" w:type="dxa"/>
            <w:shd w:val="clear" w:color="auto" w:fill="auto"/>
            <w:hideMark/>
          </w:tcPr>
          <w:p w14:paraId="4AB0619B" w14:textId="77777777" w:rsidR="00353895" w:rsidRPr="00353895" w:rsidRDefault="00353895" w:rsidP="00353895">
            <w:pPr>
              <w:spacing w:before="60" w:after="60"/>
              <w:jc w:val="center"/>
              <w:rPr>
                <w:rFonts w:ascii="Times New Roman" w:eastAsia="Yu Mincho" w:hAnsi="Times New Roman" w:cs="Times New Roman"/>
                <w:sz w:val="20"/>
                <w:szCs w:val="20"/>
                <w:lang w:val="en-AU"/>
              </w:rPr>
            </w:pPr>
            <w:r w:rsidRPr="00353895">
              <w:rPr>
                <w:rFonts w:ascii="Times New Roman" w:eastAsia="Yu Mincho" w:hAnsi="Times New Roman" w:cs="Times New Roman"/>
                <w:sz w:val="20"/>
                <w:szCs w:val="20"/>
                <w:lang w:val="en-AU"/>
              </w:rPr>
              <w:t>N/A</w:t>
            </w:r>
          </w:p>
        </w:tc>
        <w:tc>
          <w:tcPr>
            <w:tcW w:w="1391" w:type="dxa"/>
            <w:shd w:val="clear" w:color="auto" w:fill="auto"/>
            <w:hideMark/>
          </w:tcPr>
          <w:p w14:paraId="6B9D5544" w14:textId="77777777" w:rsidR="00353895" w:rsidRPr="00353895" w:rsidRDefault="00353895" w:rsidP="00353895">
            <w:pPr>
              <w:spacing w:before="60" w:after="60"/>
              <w:jc w:val="center"/>
              <w:rPr>
                <w:rFonts w:ascii="Times New Roman" w:eastAsia="Yu Mincho" w:hAnsi="Times New Roman" w:cs="Times New Roman"/>
                <w:sz w:val="20"/>
                <w:szCs w:val="20"/>
                <w:lang w:val="en-AU"/>
              </w:rPr>
            </w:pPr>
            <w:r w:rsidRPr="00353895">
              <w:rPr>
                <w:rFonts w:ascii="Times New Roman" w:eastAsia="Yu Mincho" w:hAnsi="Times New Roman" w:cs="Times New Roman"/>
                <w:sz w:val="20"/>
                <w:szCs w:val="20"/>
                <w:lang w:val="en-AU"/>
              </w:rPr>
              <w:t>104</w:t>
            </w:r>
          </w:p>
        </w:tc>
        <w:tc>
          <w:tcPr>
            <w:tcW w:w="1503" w:type="dxa"/>
            <w:shd w:val="clear" w:color="auto" w:fill="auto"/>
            <w:hideMark/>
          </w:tcPr>
          <w:p w14:paraId="0DDD095E" w14:textId="77777777" w:rsidR="00353895" w:rsidRPr="00353895" w:rsidRDefault="00353895" w:rsidP="00353895">
            <w:pPr>
              <w:spacing w:before="60" w:after="60"/>
              <w:jc w:val="center"/>
              <w:rPr>
                <w:rFonts w:ascii="Times New Roman" w:eastAsia="Yu Mincho" w:hAnsi="Times New Roman" w:cs="Times New Roman"/>
                <w:sz w:val="20"/>
                <w:szCs w:val="20"/>
                <w:lang w:val="en-AU"/>
              </w:rPr>
            </w:pPr>
            <w:r w:rsidRPr="00353895">
              <w:rPr>
                <w:rFonts w:ascii="Times New Roman" w:eastAsia="Yu Mincho" w:hAnsi="Times New Roman" w:cs="Times New Roman"/>
                <w:sz w:val="20"/>
                <w:szCs w:val="20"/>
                <w:lang w:val="en-AU"/>
              </w:rPr>
              <w:t>104</w:t>
            </w:r>
          </w:p>
        </w:tc>
      </w:tr>
      <w:tr w:rsidR="00353895" w:rsidRPr="00353895" w14:paraId="70881F4C" w14:textId="77777777" w:rsidTr="003F1754">
        <w:tc>
          <w:tcPr>
            <w:tcW w:w="0" w:type="auto"/>
            <w:vMerge/>
            <w:tcBorders>
              <w:bottom w:val="single" w:sz="4" w:space="0" w:color="auto"/>
            </w:tcBorders>
            <w:vAlign w:val="center"/>
            <w:hideMark/>
          </w:tcPr>
          <w:p w14:paraId="375F9C5E" w14:textId="77777777" w:rsidR="00353895" w:rsidRPr="00353895" w:rsidRDefault="00353895" w:rsidP="00353895">
            <w:pPr>
              <w:spacing w:before="60" w:after="60"/>
              <w:rPr>
                <w:rFonts w:ascii="Times New Roman" w:eastAsia="Yu Mincho" w:hAnsi="Times New Roman" w:cs="Times New Roman"/>
                <w:sz w:val="20"/>
                <w:szCs w:val="20"/>
                <w:lang w:val="en-AU"/>
              </w:rPr>
            </w:pPr>
          </w:p>
        </w:tc>
        <w:tc>
          <w:tcPr>
            <w:tcW w:w="1404" w:type="dxa"/>
            <w:shd w:val="clear" w:color="auto" w:fill="auto"/>
            <w:hideMark/>
          </w:tcPr>
          <w:p w14:paraId="69FE87E8" w14:textId="77777777" w:rsidR="00353895" w:rsidRPr="00353895" w:rsidRDefault="00353895" w:rsidP="00353895">
            <w:pPr>
              <w:spacing w:before="60" w:after="60"/>
              <w:jc w:val="center"/>
              <w:rPr>
                <w:rFonts w:ascii="Times New Roman" w:eastAsia="Yu Mincho" w:hAnsi="Times New Roman" w:cs="Times New Roman"/>
                <w:sz w:val="20"/>
                <w:szCs w:val="20"/>
                <w:lang w:val="en-AU"/>
              </w:rPr>
            </w:pPr>
            <w:r w:rsidRPr="00353895">
              <w:rPr>
                <w:rFonts w:ascii="Times New Roman" w:eastAsia="Yu Mincho" w:hAnsi="Times New Roman" w:cs="Times New Roman"/>
                <w:sz w:val="20"/>
                <w:szCs w:val="20"/>
                <w:lang w:val="en-AU"/>
              </w:rPr>
              <w:t>3 months</w:t>
            </w:r>
          </w:p>
        </w:tc>
        <w:tc>
          <w:tcPr>
            <w:tcW w:w="1391" w:type="dxa"/>
            <w:shd w:val="clear" w:color="auto" w:fill="auto"/>
            <w:hideMark/>
          </w:tcPr>
          <w:p w14:paraId="64B0AD3D" w14:textId="77777777" w:rsidR="00353895" w:rsidRPr="00353895" w:rsidRDefault="00353895" w:rsidP="00353895">
            <w:pPr>
              <w:spacing w:before="60" w:after="60"/>
              <w:jc w:val="center"/>
              <w:rPr>
                <w:rFonts w:ascii="Times New Roman" w:eastAsia="Yu Mincho" w:hAnsi="Times New Roman" w:cs="Times New Roman"/>
                <w:sz w:val="20"/>
                <w:szCs w:val="20"/>
                <w:lang w:val="en-AU"/>
              </w:rPr>
            </w:pPr>
            <w:r w:rsidRPr="00353895">
              <w:rPr>
                <w:rFonts w:ascii="Times New Roman" w:eastAsia="Yu Mincho" w:hAnsi="Times New Roman" w:cs="Times New Roman"/>
                <w:sz w:val="20"/>
                <w:szCs w:val="20"/>
                <w:lang w:val="en-AU"/>
              </w:rPr>
              <w:t>132 (27%)</w:t>
            </w:r>
          </w:p>
        </w:tc>
        <w:tc>
          <w:tcPr>
            <w:tcW w:w="1421" w:type="dxa"/>
            <w:shd w:val="clear" w:color="auto" w:fill="auto"/>
            <w:hideMark/>
          </w:tcPr>
          <w:p w14:paraId="68F2F4D2" w14:textId="77777777" w:rsidR="00353895" w:rsidRPr="00353895" w:rsidRDefault="00353895" w:rsidP="00353895">
            <w:pPr>
              <w:spacing w:before="60" w:after="60"/>
              <w:jc w:val="center"/>
              <w:rPr>
                <w:rFonts w:ascii="Times New Roman" w:eastAsia="Yu Mincho" w:hAnsi="Times New Roman" w:cs="Times New Roman"/>
                <w:sz w:val="20"/>
                <w:szCs w:val="20"/>
                <w:lang w:val="en-AU"/>
              </w:rPr>
            </w:pPr>
            <w:r w:rsidRPr="00353895">
              <w:rPr>
                <w:rFonts w:ascii="Times New Roman" w:eastAsia="Yu Mincho" w:hAnsi="Times New Roman" w:cs="Times New Roman"/>
                <w:sz w:val="20"/>
                <w:szCs w:val="20"/>
                <w:lang w:val="en-AU"/>
              </w:rPr>
              <w:t>126 (21%)</w:t>
            </w:r>
          </w:p>
        </w:tc>
        <w:tc>
          <w:tcPr>
            <w:tcW w:w="1391" w:type="dxa"/>
            <w:shd w:val="clear" w:color="auto" w:fill="auto"/>
            <w:hideMark/>
          </w:tcPr>
          <w:p w14:paraId="4BA6F933" w14:textId="77777777" w:rsidR="00353895" w:rsidRPr="00353895" w:rsidRDefault="00353895" w:rsidP="00353895">
            <w:pPr>
              <w:spacing w:before="60" w:after="60"/>
              <w:jc w:val="center"/>
              <w:rPr>
                <w:rFonts w:ascii="Times New Roman" w:eastAsia="Yu Mincho" w:hAnsi="Times New Roman" w:cs="Times New Roman"/>
                <w:sz w:val="20"/>
                <w:szCs w:val="20"/>
                <w:lang w:val="en-AU"/>
              </w:rPr>
            </w:pPr>
            <w:r w:rsidRPr="00353895">
              <w:rPr>
                <w:rFonts w:ascii="Times New Roman" w:eastAsia="Yu Mincho" w:hAnsi="Times New Roman" w:cs="Times New Roman"/>
                <w:sz w:val="20"/>
                <w:szCs w:val="20"/>
                <w:lang w:val="en-AU"/>
              </w:rPr>
              <w:t>104 (0%)</w:t>
            </w:r>
          </w:p>
        </w:tc>
        <w:tc>
          <w:tcPr>
            <w:tcW w:w="1503" w:type="dxa"/>
            <w:shd w:val="clear" w:color="auto" w:fill="auto"/>
            <w:hideMark/>
          </w:tcPr>
          <w:p w14:paraId="5FB2FC5B" w14:textId="77777777" w:rsidR="00353895" w:rsidRPr="00353895" w:rsidRDefault="00353895" w:rsidP="00353895">
            <w:pPr>
              <w:spacing w:before="60" w:after="60"/>
              <w:jc w:val="center"/>
              <w:rPr>
                <w:rFonts w:ascii="Times New Roman" w:eastAsia="Yu Mincho" w:hAnsi="Times New Roman" w:cs="Times New Roman"/>
                <w:sz w:val="20"/>
                <w:szCs w:val="20"/>
                <w:lang w:val="en-AU"/>
              </w:rPr>
            </w:pPr>
            <w:r w:rsidRPr="00353895">
              <w:rPr>
                <w:rFonts w:ascii="Times New Roman" w:eastAsia="Yu Mincho" w:hAnsi="Times New Roman" w:cs="Times New Roman"/>
                <w:sz w:val="20"/>
                <w:szCs w:val="20"/>
                <w:lang w:val="en-AU"/>
              </w:rPr>
              <w:t>107 (3%)</w:t>
            </w:r>
          </w:p>
        </w:tc>
      </w:tr>
      <w:tr w:rsidR="00353895" w:rsidRPr="00353895" w14:paraId="4C8D1D43" w14:textId="77777777" w:rsidTr="003F1754">
        <w:tc>
          <w:tcPr>
            <w:tcW w:w="0" w:type="auto"/>
            <w:vMerge/>
            <w:tcBorders>
              <w:bottom w:val="single" w:sz="4" w:space="0" w:color="auto"/>
            </w:tcBorders>
            <w:vAlign w:val="center"/>
            <w:hideMark/>
          </w:tcPr>
          <w:p w14:paraId="3125AA8F" w14:textId="77777777" w:rsidR="00353895" w:rsidRPr="00353895" w:rsidRDefault="00353895" w:rsidP="00353895">
            <w:pPr>
              <w:spacing w:before="60" w:after="60"/>
              <w:rPr>
                <w:rFonts w:ascii="Times New Roman" w:eastAsia="Yu Mincho" w:hAnsi="Times New Roman" w:cs="Times New Roman"/>
                <w:sz w:val="20"/>
                <w:szCs w:val="20"/>
                <w:lang w:val="en-AU"/>
              </w:rPr>
            </w:pPr>
          </w:p>
        </w:tc>
        <w:tc>
          <w:tcPr>
            <w:tcW w:w="1404" w:type="dxa"/>
            <w:shd w:val="clear" w:color="auto" w:fill="auto"/>
            <w:hideMark/>
          </w:tcPr>
          <w:p w14:paraId="0D0D04D9" w14:textId="77777777" w:rsidR="00353895" w:rsidRPr="00353895" w:rsidRDefault="00353895" w:rsidP="00353895">
            <w:pPr>
              <w:spacing w:before="60" w:after="60"/>
              <w:jc w:val="center"/>
              <w:rPr>
                <w:rFonts w:ascii="Times New Roman" w:eastAsia="Yu Mincho" w:hAnsi="Times New Roman" w:cs="Times New Roman"/>
                <w:sz w:val="20"/>
                <w:szCs w:val="20"/>
                <w:lang w:val="en-AU"/>
              </w:rPr>
            </w:pPr>
            <w:r w:rsidRPr="00353895">
              <w:rPr>
                <w:rFonts w:ascii="Times New Roman" w:eastAsia="Yu Mincho" w:hAnsi="Times New Roman" w:cs="Times New Roman"/>
                <w:sz w:val="20"/>
                <w:szCs w:val="20"/>
                <w:lang w:val="en-AU"/>
              </w:rPr>
              <w:t>6 months</w:t>
            </w:r>
          </w:p>
        </w:tc>
        <w:tc>
          <w:tcPr>
            <w:tcW w:w="1391" w:type="dxa"/>
            <w:shd w:val="clear" w:color="auto" w:fill="auto"/>
            <w:hideMark/>
          </w:tcPr>
          <w:p w14:paraId="477FA497" w14:textId="77777777" w:rsidR="00353895" w:rsidRPr="00353895" w:rsidRDefault="00353895" w:rsidP="00353895">
            <w:pPr>
              <w:spacing w:before="60" w:after="60"/>
              <w:jc w:val="center"/>
              <w:rPr>
                <w:rFonts w:ascii="Times New Roman" w:eastAsia="Yu Mincho" w:hAnsi="Times New Roman" w:cs="Times New Roman"/>
                <w:sz w:val="20"/>
                <w:szCs w:val="20"/>
                <w:lang w:val="en-AU"/>
              </w:rPr>
            </w:pPr>
            <w:r w:rsidRPr="00353895">
              <w:rPr>
                <w:rFonts w:ascii="Times New Roman" w:eastAsia="Yu Mincho" w:hAnsi="Times New Roman" w:cs="Times New Roman"/>
                <w:sz w:val="20"/>
                <w:szCs w:val="20"/>
                <w:lang w:val="en-AU"/>
              </w:rPr>
              <w:t>151 (45%)</w:t>
            </w:r>
          </w:p>
        </w:tc>
        <w:tc>
          <w:tcPr>
            <w:tcW w:w="1421" w:type="dxa"/>
            <w:shd w:val="clear" w:color="auto" w:fill="auto"/>
            <w:hideMark/>
          </w:tcPr>
          <w:p w14:paraId="06DA11B2" w14:textId="77777777" w:rsidR="00353895" w:rsidRPr="00353895" w:rsidRDefault="00353895" w:rsidP="00353895">
            <w:pPr>
              <w:spacing w:before="60" w:after="60"/>
              <w:jc w:val="center"/>
              <w:rPr>
                <w:rFonts w:ascii="Times New Roman" w:eastAsia="Yu Mincho" w:hAnsi="Times New Roman" w:cs="Times New Roman"/>
                <w:sz w:val="20"/>
                <w:szCs w:val="20"/>
                <w:lang w:val="en-AU"/>
              </w:rPr>
            </w:pPr>
            <w:r w:rsidRPr="00353895">
              <w:rPr>
                <w:rFonts w:ascii="Times New Roman" w:eastAsia="Yu Mincho" w:hAnsi="Times New Roman" w:cs="Times New Roman"/>
                <w:sz w:val="20"/>
                <w:szCs w:val="20"/>
                <w:lang w:val="en-AU"/>
              </w:rPr>
              <w:t>133 (28%)</w:t>
            </w:r>
          </w:p>
        </w:tc>
        <w:tc>
          <w:tcPr>
            <w:tcW w:w="1391" w:type="dxa"/>
            <w:shd w:val="clear" w:color="auto" w:fill="auto"/>
            <w:hideMark/>
          </w:tcPr>
          <w:p w14:paraId="76E58F29" w14:textId="77777777" w:rsidR="00353895" w:rsidRPr="00353895" w:rsidRDefault="00353895" w:rsidP="00353895">
            <w:pPr>
              <w:spacing w:before="60" w:after="60"/>
              <w:jc w:val="center"/>
              <w:rPr>
                <w:rFonts w:ascii="Times New Roman" w:eastAsia="Yu Mincho" w:hAnsi="Times New Roman" w:cs="Times New Roman"/>
                <w:sz w:val="20"/>
                <w:szCs w:val="20"/>
                <w:lang w:val="en-AU"/>
              </w:rPr>
            </w:pPr>
            <w:r w:rsidRPr="00353895">
              <w:rPr>
                <w:rFonts w:ascii="Times New Roman" w:eastAsia="Yu Mincho" w:hAnsi="Times New Roman" w:cs="Times New Roman"/>
                <w:sz w:val="20"/>
                <w:szCs w:val="20"/>
                <w:lang w:val="en-AU"/>
              </w:rPr>
              <w:t>104 (0%)</w:t>
            </w:r>
          </w:p>
        </w:tc>
        <w:tc>
          <w:tcPr>
            <w:tcW w:w="1503" w:type="dxa"/>
            <w:shd w:val="clear" w:color="auto" w:fill="auto"/>
            <w:hideMark/>
          </w:tcPr>
          <w:p w14:paraId="5FB20C42" w14:textId="77777777" w:rsidR="00353895" w:rsidRPr="00353895" w:rsidRDefault="00353895" w:rsidP="00353895">
            <w:pPr>
              <w:spacing w:before="60" w:after="60"/>
              <w:jc w:val="center"/>
              <w:rPr>
                <w:rFonts w:ascii="Times New Roman" w:eastAsia="Yu Mincho" w:hAnsi="Times New Roman" w:cs="Times New Roman"/>
                <w:sz w:val="20"/>
                <w:szCs w:val="20"/>
                <w:lang w:val="en-AU"/>
              </w:rPr>
            </w:pPr>
            <w:r w:rsidRPr="00353895">
              <w:rPr>
                <w:rFonts w:ascii="Times New Roman" w:eastAsia="Yu Mincho" w:hAnsi="Times New Roman" w:cs="Times New Roman"/>
                <w:sz w:val="20"/>
                <w:szCs w:val="20"/>
                <w:lang w:val="en-AU"/>
              </w:rPr>
              <w:t>113 (9%)</w:t>
            </w:r>
          </w:p>
        </w:tc>
      </w:tr>
      <w:tr w:rsidR="00353895" w:rsidRPr="00353895" w14:paraId="0ACBDD17" w14:textId="77777777" w:rsidTr="003F1754">
        <w:trPr>
          <w:trHeight w:val="269"/>
        </w:trPr>
        <w:tc>
          <w:tcPr>
            <w:tcW w:w="0" w:type="auto"/>
            <w:vMerge/>
            <w:tcBorders>
              <w:bottom w:val="single" w:sz="4" w:space="0" w:color="auto"/>
            </w:tcBorders>
            <w:vAlign w:val="center"/>
            <w:hideMark/>
          </w:tcPr>
          <w:p w14:paraId="5CA872A6" w14:textId="77777777" w:rsidR="00353895" w:rsidRPr="00353895" w:rsidRDefault="00353895" w:rsidP="00353895">
            <w:pPr>
              <w:spacing w:before="60" w:after="60"/>
              <w:rPr>
                <w:rFonts w:ascii="Times New Roman" w:eastAsia="Yu Mincho" w:hAnsi="Times New Roman" w:cs="Times New Roman"/>
                <w:sz w:val="20"/>
                <w:szCs w:val="20"/>
                <w:lang w:val="en-AU"/>
              </w:rPr>
            </w:pPr>
          </w:p>
        </w:tc>
        <w:tc>
          <w:tcPr>
            <w:tcW w:w="1404" w:type="dxa"/>
            <w:tcBorders>
              <w:bottom w:val="single" w:sz="4" w:space="0" w:color="auto"/>
            </w:tcBorders>
            <w:shd w:val="clear" w:color="auto" w:fill="auto"/>
            <w:hideMark/>
          </w:tcPr>
          <w:p w14:paraId="454325F1" w14:textId="77777777" w:rsidR="00353895" w:rsidRPr="00353895" w:rsidRDefault="00353895" w:rsidP="00353895">
            <w:pPr>
              <w:spacing w:before="60" w:after="60"/>
              <w:jc w:val="center"/>
              <w:rPr>
                <w:rFonts w:ascii="Times New Roman" w:eastAsia="Yu Mincho" w:hAnsi="Times New Roman" w:cs="Times New Roman"/>
                <w:sz w:val="20"/>
                <w:szCs w:val="20"/>
                <w:lang w:val="en-AU"/>
              </w:rPr>
            </w:pPr>
            <w:r w:rsidRPr="00353895">
              <w:rPr>
                <w:rFonts w:ascii="Times New Roman" w:eastAsia="Yu Mincho" w:hAnsi="Times New Roman" w:cs="Times New Roman"/>
                <w:sz w:val="20"/>
                <w:szCs w:val="20"/>
                <w:lang w:val="en-AU"/>
              </w:rPr>
              <w:t>12 months</w:t>
            </w:r>
          </w:p>
        </w:tc>
        <w:tc>
          <w:tcPr>
            <w:tcW w:w="1391" w:type="dxa"/>
            <w:tcBorders>
              <w:bottom w:val="single" w:sz="4" w:space="0" w:color="auto"/>
            </w:tcBorders>
            <w:shd w:val="clear" w:color="auto" w:fill="auto"/>
            <w:hideMark/>
          </w:tcPr>
          <w:p w14:paraId="3C136E03" w14:textId="77777777" w:rsidR="00353895" w:rsidRPr="00353895" w:rsidRDefault="00353895" w:rsidP="00353895">
            <w:pPr>
              <w:spacing w:before="60" w:after="60"/>
              <w:jc w:val="center"/>
              <w:rPr>
                <w:rFonts w:ascii="Times New Roman" w:eastAsia="Yu Mincho" w:hAnsi="Times New Roman" w:cs="Times New Roman"/>
                <w:sz w:val="20"/>
                <w:szCs w:val="20"/>
                <w:lang w:val="en-AU"/>
              </w:rPr>
            </w:pPr>
            <w:r w:rsidRPr="00353895">
              <w:rPr>
                <w:rFonts w:ascii="Times New Roman" w:eastAsia="Yu Mincho" w:hAnsi="Times New Roman" w:cs="Times New Roman"/>
                <w:sz w:val="20"/>
                <w:szCs w:val="20"/>
                <w:lang w:val="en-AU"/>
              </w:rPr>
              <w:t>154 (48%)</w:t>
            </w:r>
          </w:p>
        </w:tc>
        <w:tc>
          <w:tcPr>
            <w:tcW w:w="1421" w:type="dxa"/>
            <w:tcBorders>
              <w:bottom w:val="single" w:sz="4" w:space="0" w:color="auto"/>
            </w:tcBorders>
            <w:shd w:val="clear" w:color="auto" w:fill="auto"/>
            <w:hideMark/>
          </w:tcPr>
          <w:p w14:paraId="50702C4D" w14:textId="77777777" w:rsidR="00353895" w:rsidRPr="00353895" w:rsidRDefault="00353895" w:rsidP="00353895">
            <w:pPr>
              <w:spacing w:before="60" w:after="60"/>
              <w:jc w:val="center"/>
              <w:rPr>
                <w:rFonts w:ascii="Times New Roman" w:eastAsia="Yu Mincho" w:hAnsi="Times New Roman" w:cs="Times New Roman"/>
                <w:sz w:val="20"/>
                <w:szCs w:val="20"/>
                <w:lang w:val="en-AU"/>
              </w:rPr>
            </w:pPr>
            <w:r w:rsidRPr="00353895">
              <w:rPr>
                <w:rFonts w:ascii="Times New Roman" w:eastAsia="Yu Mincho" w:hAnsi="Times New Roman" w:cs="Times New Roman"/>
                <w:sz w:val="20"/>
                <w:szCs w:val="20"/>
                <w:lang w:val="en-AU"/>
              </w:rPr>
              <w:t>114 (10%)</w:t>
            </w:r>
          </w:p>
        </w:tc>
        <w:tc>
          <w:tcPr>
            <w:tcW w:w="1391" w:type="dxa"/>
            <w:tcBorders>
              <w:bottom w:val="single" w:sz="4" w:space="0" w:color="auto"/>
            </w:tcBorders>
            <w:shd w:val="clear" w:color="auto" w:fill="auto"/>
            <w:hideMark/>
          </w:tcPr>
          <w:p w14:paraId="7A605D30" w14:textId="77777777" w:rsidR="00353895" w:rsidRPr="00353895" w:rsidRDefault="00353895" w:rsidP="00353895">
            <w:pPr>
              <w:spacing w:before="60" w:after="60"/>
              <w:jc w:val="center"/>
              <w:rPr>
                <w:rFonts w:ascii="Times New Roman" w:eastAsia="Yu Mincho" w:hAnsi="Times New Roman" w:cs="Times New Roman"/>
                <w:sz w:val="20"/>
                <w:szCs w:val="20"/>
                <w:lang w:val="en-AU"/>
              </w:rPr>
            </w:pPr>
            <w:r w:rsidRPr="00353895">
              <w:rPr>
                <w:rFonts w:ascii="Times New Roman" w:eastAsia="Yu Mincho" w:hAnsi="Times New Roman" w:cs="Times New Roman"/>
                <w:sz w:val="20"/>
                <w:szCs w:val="20"/>
                <w:lang w:val="en-AU"/>
              </w:rPr>
              <w:t>103 (-1%)</w:t>
            </w:r>
          </w:p>
        </w:tc>
        <w:tc>
          <w:tcPr>
            <w:tcW w:w="1503" w:type="dxa"/>
            <w:tcBorders>
              <w:bottom w:val="single" w:sz="4" w:space="0" w:color="auto"/>
            </w:tcBorders>
            <w:shd w:val="clear" w:color="auto" w:fill="auto"/>
            <w:hideMark/>
          </w:tcPr>
          <w:p w14:paraId="5DE3E4C2" w14:textId="77777777" w:rsidR="00353895" w:rsidRPr="00353895" w:rsidRDefault="00353895" w:rsidP="00353895">
            <w:pPr>
              <w:spacing w:before="60" w:after="60"/>
              <w:jc w:val="center"/>
              <w:rPr>
                <w:rFonts w:ascii="Times New Roman" w:eastAsia="Yu Mincho" w:hAnsi="Times New Roman" w:cs="Times New Roman"/>
                <w:sz w:val="20"/>
                <w:szCs w:val="20"/>
                <w:lang w:val="en-AU"/>
              </w:rPr>
            </w:pPr>
            <w:r w:rsidRPr="00353895">
              <w:rPr>
                <w:rFonts w:ascii="Times New Roman" w:eastAsia="Yu Mincho" w:hAnsi="Times New Roman" w:cs="Times New Roman"/>
                <w:sz w:val="20"/>
                <w:szCs w:val="20"/>
                <w:lang w:val="en-AU"/>
              </w:rPr>
              <w:t>130 (25%)</w:t>
            </w:r>
          </w:p>
        </w:tc>
      </w:tr>
    </w:tbl>
    <w:p w14:paraId="49ED8370" w14:textId="77777777" w:rsidR="00353895" w:rsidRPr="00353895" w:rsidRDefault="00353895" w:rsidP="00353895">
      <w:pPr>
        <w:spacing w:before="120" w:line="257" w:lineRule="auto"/>
        <w:rPr>
          <w:rFonts w:ascii="Times New Roman" w:eastAsia="Calibri" w:hAnsi="Times New Roman" w:cs="Times New Roman"/>
          <w:sz w:val="18"/>
          <w:szCs w:val="18"/>
        </w:rPr>
      </w:pPr>
      <w:r w:rsidRPr="00353895">
        <w:rPr>
          <w:rFonts w:ascii="Times New Roman" w:eastAsia="Calibri" w:hAnsi="Times New Roman" w:cs="Times New Roman"/>
          <w:sz w:val="18"/>
          <w:szCs w:val="18"/>
        </w:rPr>
        <w:t>*</w:t>
      </w:r>
      <w:r w:rsidRPr="00353895">
        <w:rPr>
          <w:rFonts w:ascii="Times New Roman" w:eastAsia="Calibri" w:hAnsi="Times New Roman" w:cs="Times New Roman"/>
          <w:sz w:val="18"/>
          <w:szCs w:val="18"/>
          <w:lang w:val="en-AU"/>
        </w:rPr>
        <w:t xml:space="preserve"> </w:t>
      </w:r>
      <w:r w:rsidRPr="00353895">
        <w:rPr>
          <w:rFonts w:ascii="Times New Roman" w:eastAsia="Calibri" w:hAnsi="Times New Roman" w:cs="Times New Roman"/>
          <w:sz w:val="18"/>
          <w:szCs w:val="18"/>
        </w:rPr>
        <w:t xml:space="preserve">Directly affected: </w:t>
      </w:r>
      <w:proofErr w:type="spellStart"/>
      <w:r w:rsidRPr="00353895">
        <w:rPr>
          <w:rFonts w:ascii="Times New Roman" w:eastAsia="Calibri" w:hAnsi="Times New Roman" w:cs="Times New Roman"/>
          <w:sz w:val="18"/>
          <w:szCs w:val="18"/>
        </w:rPr>
        <w:t>BreastScreen</w:t>
      </w:r>
      <w:proofErr w:type="spellEnd"/>
      <w:r w:rsidRPr="00353895">
        <w:rPr>
          <w:rFonts w:ascii="Times New Roman" w:eastAsia="Calibri" w:hAnsi="Times New Roman" w:cs="Times New Roman"/>
          <w:sz w:val="18"/>
          <w:szCs w:val="18"/>
        </w:rPr>
        <w:t xml:space="preserve"> clients whose screens were originally scheduled for the pause period; indirectly affected: </w:t>
      </w:r>
      <w:proofErr w:type="spellStart"/>
      <w:r w:rsidRPr="00353895">
        <w:rPr>
          <w:rFonts w:ascii="Times New Roman" w:eastAsia="Calibri" w:hAnsi="Times New Roman" w:cs="Times New Roman"/>
          <w:sz w:val="18"/>
          <w:szCs w:val="18"/>
        </w:rPr>
        <w:t>BreastScreen</w:t>
      </w:r>
      <w:proofErr w:type="spellEnd"/>
      <w:r w:rsidRPr="00353895">
        <w:rPr>
          <w:rFonts w:ascii="Times New Roman" w:eastAsia="Calibri" w:hAnsi="Times New Roman" w:cs="Times New Roman"/>
          <w:sz w:val="18"/>
          <w:szCs w:val="18"/>
        </w:rPr>
        <w:t xml:space="preserve"> clients whose screens were originally scheduled after the pause period and whose screens are delayed during the recovery period to help accommodate directly affected women; not affected: </w:t>
      </w:r>
      <w:proofErr w:type="spellStart"/>
      <w:r w:rsidRPr="00353895">
        <w:rPr>
          <w:rFonts w:ascii="Times New Roman" w:eastAsia="Calibri" w:hAnsi="Times New Roman" w:cs="Times New Roman"/>
          <w:sz w:val="18"/>
          <w:szCs w:val="18"/>
        </w:rPr>
        <w:t>BreastScreen</w:t>
      </w:r>
      <w:proofErr w:type="spellEnd"/>
      <w:r w:rsidRPr="00353895">
        <w:rPr>
          <w:rFonts w:ascii="Times New Roman" w:eastAsia="Calibri" w:hAnsi="Times New Roman" w:cs="Times New Roman"/>
          <w:sz w:val="18"/>
          <w:szCs w:val="18"/>
        </w:rPr>
        <w:t xml:space="preserve"> clients with no delay to their screens but with screens or outcomes within the reporting periods.</w:t>
      </w:r>
    </w:p>
    <w:p w14:paraId="37D82F7D" w14:textId="77777777" w:rsidR="00353895" w:rsidRPr="00353895" w:rsidRDefault="00353895" w:rsidP="00353895">
      <w:pPr>
        <w:spacing w:line="276" w:lineRule="auto"/>
        <w:rPr>
          <w:rFonts w:ascii="Times New Roman" w:hAnsi="Times New Roman" w:cs="Times New Roman"/>
          <w:color w:val="000000" w:themeColor="text1"/>
          <w:sz w:val="18"/>
          <w:szCs w:val="18"/>
          <w:highlight w:val="yellow"/>
          <w:lang w:val="en-AU"/>
        </w:rPr>
      </w:pPr>
      <w:r w:rsidRPr="00353895">
        <w:rPr>
          <w:rFonts w:ascii="Times New Roman" w:eastAsia="Calibri" w:hAnsi="Times New Roman" w:cs="Times New Roman"/>
          <w:sz w:val="18"/>
          <w:szCs w:val="18"/>
          <w:lang w:val="en-AU"/>
        </w:rPr>
        <w:t xml:space="preserve">Note: time between screens combines modelled intervals for women who missed screens in the pause and </w:t>
      </w:r>
      <w:proofErr w:type="gramStart"/>
      <w:r w:rsidRPr="00353895">
        <w:rPr>
          <w:rFonts w:ascii="Times New Roman" w:eastAsia="Calibri" w:hAnsi="Times New Roman" w:cs="Times New Roman"/>
          <w:sz w:val="18"/>
          <w:szCs w:val="18"/>
          <w:lang w:val="en-AU"/>
        </w:rPr>
        <w:t>newly-due</w:t>
      </w:r>
      <w:proofErr w:type="gramEnd"/>
      <w:r w:rsidRPr="00353895">
        <w:rPr>
          <w:rFonts w:ascii="Times New Roman" w:eastAsia="Calibri" w:hAnsi="Times New Roman" w:cs="Times New Roman"/>
          <w:sz w:val="18"/>
          <w:szCs w:val="18"/>
          <w:lang w:val="en-AU"/>
        </w:rPr>
        <w:t xml:space="preserve"> women according to prioritisation described earlier.</w:t>
      </w:r>
    </w:p>
    <w:p w14:paraId="6B624731" w14:textId="219C4F36" w:rsidR="00353895" w:rsidRDefault="00353895">
      <w:r>
        <w:br w:type="page"/>
      </w:r>
    </w:p>
    <w:p w14:paraId="29BDF58F" w14:textId="24E251E3" w:rsidR="00707A91" w:rsidRPr="006B24F4" w:rsidRDefault="00707A91">
      <w:pPr>
        <w:rPr>
          <w:rFonts w:ascii="Times New Roman" w:hAnsi="Times New Roman" w:cs="Times New Roman"/>
          <w:b/>
          <w:bCs/>
          <w:sz w:val="28"/>
          <w:szCs w:val="28"/>
        </w:rPr>
      </w:pPr>
      <w:r w:rsidRPr="006B24F4">
        <w:rPr>
          <w:rFonts w:ascii="Times New Roman" w:hAnsi="Times New Roman" w:cs="Times New Roman"/>
          <w:b/>
          <w:bCs/>
          <w:sz w:val="28"/>
          <w:szCs w:val="28"/>
        </w:rPr>
        <w:lastRenderedPageBreak/>
        <w:t>Supplementary File 1F</w:t>
      </w:r>
    </w:p>
    <w:p w14:paraId="3002F95B" w14:textId="77777777" w:rsidR="006B24F4" w:rsidRDefault="006B24F4" w:rsidP="00BE635B">
      <w:pPr>
        <w:spacing w:after="200" w:line="240" w:lineRule="auto"/>
        <w:rPr>
          <w:rFonts w:ascii="Times New Roman" w:eastAsia="Calibri" w:hAnsi="Times New Roman" w:cs="Times New Roman"/>
          <w:b/>
          <w:bCs/>
          <w:color w:val="000000" w:themeColor="text1"/>
          <w:sz w:val="20"/>
          <w:szCs w:val="20"/>
          <w:lang w:val="en-AU"/>
        </w:rPr>
      </w:pPr>
    </w:p>
    <w:p w14:paraId="358FBFCD" w14:textId="5F17D2E8" w:rsidR="00BE635B" w:rsidRPr="00BE635B" w:rsidRDefault="00BE635B" w:rsidP="00BE635B">
      <w:pPr>
        <w:spacing w:after="200" w:line="240" w:lineRule="auto"/>
        <w:rPr>
          <w:rFonts w:ascii="Times New Roman" w:eastAsia="Calibri" w:hAnsi="Times New Roman" w:cs="Times New Roman"/>
          <w:b/>
          <w:bCs/>
          <w:color w:val="000000" w:themeColor="text1"/>
          <w:sz w:val="20"/>
          <w:szCs w:val="20"/>
          <w:lang w:val="en-AU"/>
        </w:rPr>
      </w:pPr>
      <w:r w:rsidRPr="00BE635B">
        <w:rPr>
          <w:rFonts w:ascii="Times New Roman" w:eastAsia="Calibri" w:hAnsi="Times New Roman" w:cs="Times New Roman"/>
          <w:b/>
          <w:bCs/>
          <w:color w:val="000000" w:themeColor="text1"/>
          <w:sz w:val="20"/>
          <w:szCs w:val="20"/>
          <w:lang w:val="en-AU"/>
        </w:rPr>
        <w:t>Diagnostic assessments and short-term adenoma outcomes</w:t>
      </w:r>
    </w:p>
    <w:tbl>
      <w:tblPr>
        <w:tblStyle w:val="TableGrid13"/>
        <w:tblW w:w="920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418"/>
        <w:gridCol w:w="1417"/>
        <w:gridCol w:w="1560"/>
        <w:gridCol w:w="1417"/>
      </w:tblGrid>
      <w:tr w:rsidR="00BE635B" w:rsidRPr="00BE635B" w14:paraId="7F26F9CE" w14:textId="77777777" w:rsidTr="003F1754">
        <w:trPr>
          <w:trHeight w:val="575"/>
        </w:trPr>
        <w:tc>
          <w:tcPr>
            <w:tcW w:w="3397" w:type="dxa"/>
            <w:tcBorders>
              <w:top w:val="single" w:sz="4" w:space="0" w:color="auto"/>
              <w:bottom w:val="single" w:sz="4" w:space="0" w:color="auto"/>
            </w:tcBorders>
            <w:vAlign w:val="center"/>
          </w:tcPr>
          <w:p w14:paraId="66BDD8B0" w14:textId="77777777" w:rsidR="00BE635B" w:rsidRPr="00BE635B" w:rsidRDefault="00BE635B" w:rsidP="00BE635B">
            <w:pPr>
              <w:jc w:val="center"/>
              <w:rPr>
                <w:rFonts w:ascii="Times New Roman" w:hAnsi="Times New Roman" w:cs="Times New Roman"/>
                <w:b/>
                <w:bCs/>
                <w:color w:val="000000"/>
                <w:sz w:val="20"/>
                <w:szCs w:val="20"/>
              </w:rPr>
            </w:pPr>
            <w:r w:rsidRPr="00BE635B">
              <w:rPr>
                <w:rFonts w:ascii="Times New Roman" w:hAnsi="Times New Roman" w:cs="Times New Roman"/>
                <w:b/>
                <w:bCs/>
                <w:color w:val="000000"/>
                <w:sz w:val="20"/>
                <w:szCs w:val="20"/>
              </w:rPr>
              <w:t>Outcomes</w:t>
            </w:r>
          </w:p>
        </w:tc>
        <w:tc>
          <w:tcPr>
            <w:tcW w:w="1418" w:type="dxa"/>
            <w:tcBorders>
              <w:top w:val="single" w:sz="4" w:space="0" w:color="auto"/>
              <w:bottom w:val="single" w:sz="4" w:space="0" w:color="auto"/>
            </w:tcBorders>
            <w:vAlign w:val="center"/>
            <w:hideMark/>
          </w:tcPr>
          <w:p w14:paraId="1C2EC124" w14:textId="77777777" w:rsidR="00BE635B" w:rsidRPr="00BE635B" w:rsidRDefault="00BE635B" w:rsidP="00BE635B">
            <w:pPr>
              <w:jc w:val="center"/>
              <w:rPr>
                <w:rFonts w:ascii="Times New Roman" w:hAnsi="Times New Roman" w:cs="Times New Roman"/>
                <w:b/>
                <w:bCs/>
                <w:color w:val="000000"/>
                <w:sz w:val="20"/>
                <w:szCs w:val="20"/>
              </w:rPr>
            </w:pPr>
            <w:r w:rsidRPr="00BE635B">
              <w:rPr>
                <w:rFonts w:ascii="Times New Roman" w:hAnsi="Times New Roman" w:cs="Times New Roman"/>
                <w:b/>
                <w:bCs/>
                <w:color w:val="000000"/>
                <w:sz w:val="20"/>
                <w:szCs w:val="20"/>
              </w:rPr>
              <w:t>Comparator (no pause)</w:t>
            </w:r>
          </w:p>
        </w:tc>
        <w:tc>
          <w:tcPr>
            <w:tcW w:w="1417" w:type="dxa"/>
            <w:tcBorders>
              <w:top w:val="single" w:sz="4" w:space="0" w:color="auto"/>
              <w:bottom w:val="single" w:sz="4" w:space="0" w:color="auto"/>
            </w:tcBorders>
            <w:vAlign w:val="center"/>
            <w:hideMark/>
          </w:tcPr>
          <w:p w14:paraId="48B43674" w14:textId="77777777" w:rsidR="00BE635B" w:rsidRPr="00BE635B" w:rsidRDefault="00BE635B" w:rsidP="00BE635B">
            <w:pPr>
              <w:jc w:val="center"/>
              <w:rPr>
                <w:rFonts w:ascii="Times New Roman" w:hAnsi="Times New Roman" w:cs="Times New Roman"/>
                <w:b/>
                <w:bCs/>
                <w:color w:val="000000"/>
                <w:sz w:val="20"/>
                <w:szCs w:val="20"/>
              </w:rPr>
            </w:pPr>
            <w:r w:rsidRPr="00BE635B">
              <w:rPr>
                <w:rFonts w:ascii="Times New Roman" w:hAnsi="Times New Roman" w:cs="Times New Roman"/>
                <w:b/>
                <w:bCs/>
                <w:color w:val="000000"/>
                <w:sz w:val="20"/>
                <w:szCs w:val="20"/>
              </w:rPr>
              <w:t xml:space="preserve">12 </w:t>
            </w:r>
            <w:proofErr w:type="gramStart"/>
            <w:r w:rsidRPr="00BE635B">
              <w:rPr>
                <w:rFonts w:ascii="Times New Roman" w:hAnsi="Times New Roman" w:cs="Times New Roman"/>
                <w:b/>
                <w:bCs/>
                <w:color w:val="000000"/>
                <w:sz w:val="20"/>
                <w:szCs w:val="20"/>
              </w:rPr>
              <w:t>month</w:t>
            </w:r>
            <w:proofErr w:type="gramEnd"/>
            <w:r w:rsidRPr="00BE635B">
              <w:rPr>
                <w:rFonts w:ascii="Times New Roman" w:hAnsi="Times New Roman" w:cs="Times New Roman"/>
                <w:b/>
                <w:bCs/>
                <w:color w:val="000000"/>
                <w:sz w:val="20"/>
                <w:szCs w:val="20"/>
              </w:rPr>
              <w:t xml:space="preserve"> pause</w:t>
            </w:r>
          </w:p>
        </w:tc>
        <w:tc>
          <w:tcPr>
            <w:tcW w:w="1560" w:type="dxa"/>
            <w:tcBorders>
              <w:top w:val="single" w:sz="4" w:space="0" w:color="auto"/>
              <w:bottom w:val="single" w:sz="4" w:space="0" w:color="auto"/>
            </w:tcBorders>
            <w:vAlign w:val="center"/>
            <w:hideMark/>
          </w:tcPr>
          <w:p w14:paraId="4499D8B5" w14:textId="77777777" w:rsidR="00BE635B" w:rsidRPr="00BE635B" w:rsidRDefault="00BE635B" w:rsidP="00BE635B">
            <w:pPr>
              <w:jc w:val="center"/>
              <w:rPr>
                <w:rFonts w:ascii="Times New Roman" w:hAnsi="Times New Roman" w:cs="Times New Roman"/>
                <w:b/>
                <w:bCs/>
                <w:color w:val="000000"/>
                <w:sz w:val="20"/>
                <w:szCs w:val="20"/>
              </w:rPr>
            </w:pPr>
            <w:r w:rsidRPr="00BE635B">
              <w:rPr>
                <w:rFonts w:ascii="Times New Roman" w:hAnsi="Times New Roman" w:cs="Times New Roman"/>
                <w:b/>
                <w:bCs/>
                <w:color w:val="000000"/>
                <w:sz w:val="20"/>
                <w:szCs w:val="20"/>
              </w:rPr>
              <w:t xml:space="preserve">6 </w:t>
            </w:r>
            <w:proofErr w:type="gramStart"/>
            <w:r w:rsidRPr="00BE635B">
              <w:rPr>
                <w:rFonts w:ascii="Times New Roman" w:hAnsi="Times New Roman" w:cs="Times New Roman"/>
                <w:b/>
                <w:bCs/>
                <w:color w:val="000000"/>
                <w:sz w:val="20"/>
                <w:szCs w:val="20"/>
              </w:rPr>
              <w:t>month</w:t>
            </w:r>
            <w:proofErr w:type="gramEnd"/>
            <w:r w:rsidRPr="00BE635B">
              <w:rPr>
                <w:rFonts w:ascii="Times New Roman" w:hAnsi="Times New Roman" w:cs="Times New Roman"/>
                <w:b/>
                <w:bCs/>
                <w:color w:val="000000"/>
                <w:sz w:val="20"/>
                <w:szCs w:val="20"/>
              </w:rPr>
              <w:t xml:space="preserve"> pause</w:t>
            </w:r>
          </w:p>
        </w:tc>
        <w:tc>
          <w:tcPr>
            <w:tcW w:w="1417" w:type="dxa"/>
            <w:tcBorders>
              <w:top w:val="single" w:sz="4" w:space="0" w:color="auto"/>
              <w:bottom w:val="single" w:sz="4" w:space="0" w:color="auto"/>
            </w:tcBorders>
            <w:vAlign w:val="center"/>
            <w:hideMark/>
          </w:tcPr>
          <w:p w14:paraId="5D1B660D" w14:textId="77777777" w:rsidR="00BE635B" w:rsidRPr="00BE635B" w:rsidRDefault="00BE635B" w:rsidP="00BE635B">
            <w:pPr>
              <w:jc w:val="center"/>
              <w:rPr>
                <w:rFonts w:ascii="Times New Roman" w:hAnsi="Times New Roman" w:cs="Times New Roman"/>
                <w:b/>
                <w:bCs/>
                <w:color w:val="000000"/>
                <w:sz w:val="20"/>
                <w:szCs w:val="20"/>
              </w:rPr>
            </w:pPr>
            <w:r w:rsidRPr="00BE635B">
              <w:rPr>
                <w:rFonts w:ascii="Times New Roman" w:hAnsi="Times New Roman" w:cs="Times New Roman"/>
                <w:b/>
                <w:bCs/>
                <w:color w:val="000000"/>
                <w:sz w:val="20"/>
                <w:szCs w:val="20"/>
              </w:rPr>
              <w:t xml:space="preserve">3 </w:t>
            </w:r>
            <w:proofErr w:type="gramStart"/>
            <w:r w:rsidRPr="00BE635B">
              <w:rPr>
                <w:rFonts w:ascii="Times New Roman" w:hAnsi="Times New Roman" w:cs="Times New Roman"/>
                <w:b/>
                <w:bCs/>
                <w:color w:val="000000"/>
                <w:sz w:val="20"/>
                <w:szCs w:val="20"/>
              </w:rPr>
              <w:t>month</w:t>
            </w:r>
            <w:proofErr w:type="gramEnd"/>
            <w:r w:rsidRPr="00BE635B">
              <w:rPr>
                <w:rFonts w:ascii="Times New Roman" w:hAnsi="Times New Roman" w:cs="Times New Roman"/>
                <w:b/>
                <w:bCs/>
                <w:color w:val="000000"/>
                <w:sz w:val="20"/>
                <w:szCs w:val="20"/>
              </w:rPr>
              <w:t xml:space="preserve"> pause</w:t>
            </w:r>
          </w:p>
        </w:tc>
      </w:tr>
      <w:tr w:rsidR="00BE635B" w:rsidRPr="00BE635B" w14:paraId="787417F4" w14:textId="77777777" w:rsidTr="003F1754">
        <w:trPr>
          <w:trHeight w:val="288"/>
        </w:trPr>
        <w:tc>
          <w:tcPr>
            <w:tcW w:w="3397" w:type="dxa"/>
            <w:tcBorders>
              <w:top w:val="single" w:sz="4" w:space="0" w:color="auto"/>
            </w:tcBorders>
            <w:vAlign w:val="center"/>
          </w:tcPr>
          <w:p w14:paraId="154A420F" w14:textId="77777777" w:rsidR="00BE635B" w:rsidRPr="00BE635B" w:rsidRDefault="00BE635B" w:rsidP="00BE635B">
            <w:pPr>
              <w:spacing w:before="60" w:after="60"/>
              <w:rPr>
                <w:rFonts w:ascii="Times New Roman" w:hAnsi="Times New Roman" w:cs="Times New Roman"/>
                <w:color w:val="000000"/>
                <w:sz w:val="20"/>
                <w:szCs w:val="20"/>
              </w:rPr>
            </w:pPr>
            <w:r w:rsidRPr="00BE635B">
              <w:rPr>
                <w:rFonts w:ascii="Times New Roman" w:hAnsi="Times New Roman" w:cs="Times New Roman"/>
                <w:color w:val="000000"/>
                <w:sz w:val="20"/>
                <w:szCs w:val="20"/>
              </w:rPr>
              <w:t>Screening follow-up colonoscopies, 2020-2021</w:t>
            </w:r>
          </w:p>
        </w:tc>
        <w:tc>
          <w:tcPr>
            <w:tcW w:w="1418" w:type="dxa"/>
            <w:tcBorders>
              <w:top w:val="single" w:sz="4" w:space="0" w:color="auto"/>
            </w:tcBorders>
            <w:noWrap/>
            <w:vAlign w:val="center"/>
            <w:hideMark/>
          </w:tcPr>
          <w:p w14:paraId="5CD4F46B" w14:textId="77777777" w:rsidR="00BE635B" w:rsidRPr="00BE635B" w:rsidRDefault="00BE635B" w:rsidP="00BE635B">
            <w:pPr>
              <w:spacing w:before="60" w:after="60"/>
              <w:jc w:val="center"/>
              <w:rPr>
                <w:rFonts w:ascii="Times New Roman" w:hAnsi="Times New Roman" w:cs="Times New Roman"/>
                <w:color w:val="000000"/>
                <w:sz w:val="20"/>
                <w:szCs w:val="20"/>
              </w:rPr>
            </w:pPr>
            <w:r w:rsidRPr="00BE635B">
              <w:rPr>
                <w:rFonts w:ascii="Times New Roman" w:hAnsi="Times New Roman" w:cs="Times New Roman"/>
                <w:color w:val="000000"/>
                <w:sz w:val="20"/>
                <w:szCs w:val="20"/>
              </w:rPr>
              <w:t>149,035</w:t>
            </w:r>
          </w:p>
        </w:tc>
        <w:tc>
          <w:tcPr>
            <w:tcW w:w="1417" w:type="dxa"/>
            <w:tcBorders>
              <w:top w:val="single" w:sz="4" w:space="0" w:color="auto"/>
            </w:tcBorders>
            <w:noWrap/>
            <w:vAlign w:val="center"/>
            <w:hideMark/>
          </w:tcPr>
          <w:p w14:paraId="70B184D6" w14:textId="77777777" w:rsidR="00BE635B" w:rsidRPr="00BE635B" w:rsidRDefault="00BE635B" w:rsidP="00BE635B">
            <w:pPr>
              <w:spacing w:before="60" w:after="60"/>
              <w:jc w:val="center"/>
              <w:rPr>
                <w:rFonts w:ascii="Times New Roman" w:hAnsi="Times New Roman" w:cs="Times New Roman"/>
                <w:color w:val="000000"/>
                <w:sz w:val="20"/>
                <w:szCs w:val="20"/>
              </w:rPr>
            </w:pPr>
            <w:r w:rsidRPr="00BE635B">
              <w:rPr>
                <w:rFonts w:ascii="Times New Roman" w:hAnsi="Times New Roman" w:cs="Times New Roman"/>
                <w:color w:val="000000"/>
                <w:sz w:val="20"/>
                <w:szCs w:val="20"/>
              </w:rPr>
              <w:t>74,610</w:t>
            </w:r>
          </w:p>
        </w:tc>
        <w:tc>
          <w:tcPr>
            <w:tcW w:w="1560" w:type="dxa"/>
            <w:tcBorders>
              <w:top w:val="single" w:sz="4" w:space="0" w:color="auto"/>
            </w:tcBorders>
            <w:noWrap/>
            <w:vAlign w:val="center"/>
            <w:hideMark/>
          </w:tcPr>
          <w:p w14:paraId="6541E905" w14:textId="77777777" w:rsidR="00BE635B" w:rsidRPr="00BE635B" w:rsidRDefault="00BE635B" w:rsidP="00BE635B">
            <w:pPr>
              <w:spacing w:before="60" w:after="60"/>
              <w:jc w:val="center"/>
              <w:rPr>
                <w:rFonts w:ascii="Times New Roman" w:hAnsi="Times New Roman" w:cs="Times New Roman"/>
                <w:color w:val="000000"/>
                <w:sz w:val="20"/>
                <w:szCs w:val="20"/>
              </w:rPr>
            </w:pPr>
            <w:r w:rsidRPr="00BE635B">
              <w:rPr>
                <w:rFonts w:ascii="Times New Roman" w:hAnsi="Times New Roman" w:cs="Times New Roman"/>
                <w:color w:val="000000"/>
                <w:sz w:val="20"/>
                <w:szCs w:val="20"/>
              </w:rPr>
              <w:t>111,815</w:t>
            </w:r>
          </w:p>
        </w:tc>
        <w:tc>
          <w:tcPr>
            <w:tcW w:w="1417" w:type="dxa"/>
            <w:tcBorders>
              <w:top w:val="single" w:sz="4" w:space="0" w:color="auto"/>
            </w:tcBorders>
            <w:noWrap/>
            <w:vAlign w:val="center"/>
            <w:hideMark/>
          </w:tcPr>
          <w:p w14:paraId="2C955895" w14:textId="77777777" w:rsidR="00BE635B" w:rsidRPr="00BE635B" w:rsidRDefault="00BE635B" w:rsidP="00BE635B">
            <w:pPr>
              <w:spacing w:before="60" w:after="60"/>
              <w:jc w:val="center"/>
              <w:rPr>
                <w:rFonts w:ascii="Times New Roman" w:hAnsi="Times New Roman" w:cs="Times New Roman"/>
                <w:color w:val="000000"/>
                <w:sz w:val="20"/>
                <w:szCs w:val="20"/>
              </w:rPr>
            </w:pPr>
            <w:r w:rsidRPr="00BE635B">
              <w:rPr>
                <w:rFonts w:ascii="Times New Roman" w:hAnsi="Times New Roman" w:cs="Times New Roman"/>
                <w:color w:val="000000"/>
                <w:sz w:val="20"/>
                <w:szCs w:val="20"/>
              </w:rPr>
              <w:t>130,388</w:t>
            </w:r>
          </w:p>
        </w:tc>
      </w:tr>
      <w:tr w:rsidR="00BE635B" w:rsidRPr="00BE635B" w14:paraId="465797D2" w14:textId="77777777" w:rsidTr="003F1754">
        <w:trPr>
          <w:trHeight w:val="288"/>
        </w:trPr>
        <w:tc>
          <w:tcPr>
            <w:tcW w:w="3397" w:type="dxa"/>
            <w:vAlign w:val="center"/>
          </w:tcPr>
          <w:p w14:paraId="18C7E4F4" w14:textId="77777777" w:rsidR="00BE635B" w:rsidRPr="00BE635B" w:rsidRDefault="00BE635B" w:rsidP="00BE635B">
            <w:pPr>
              <w:spacing w:before="60" w:after="60"/>
              <w:rPr>
                <w:rFonts w:ascii="Times New Roman" w:hAnsi="Times New Roman" w:cs="Times New Roman"/>
                <w:color w:val="000000"/>
                <w:sz w:val="20"/>
                <w:szCs w:val="20"/>
              </w:rPr>
            </w:pPr>
            <w:r w:rsidRPr="00BE635B">
              <w:rPr>
                <w:rFonts w:ascii="Times New Roman" w:hAnsi="Times New Roman" w:cs="Times New Roman"/>
                <w:color w:val="000000"/>
                <w:sz w:val="20"/>
                <w:szCs w:val="20"/>
              </w:rPr>
              <w:t xml:space="preserve">   decrease (%) in 2020-2021</w:t>
            </w:r>
          </w:p>
        </w:tc>
        <w:tc>
          <w:tcPr>
            <w:tcW w:w="1418" w:type="dxa"/>
            <w:noWrap/>
            <w:vAlign w:val="center"/>
            <w:hideMark/>
          </w:tcPr>
          <w:p w14:paraId="47A71B1D" w14:textId="77777777" w:rsidR="00BE635B" w:rsidRPr="00BE635B" w:rsidRDefault="00BE635B" w:rsidP="00BE635B">
            <w:pPr>
              <w:spacing w:before="60" w:after="60"/>
              <w:jc w:val="center"/>
              <w:rPr>
                <w:rFonts w:ascii="Times New Roman" w:hAnsi="Times New Roman" w:cs="Times New Roman"/>
                <w:color w:val="000000"/>
                <w:sz w:val="20"/>
                <w:szCs w:val="20"/>
              </w:rPr>
            </w:pPr>
            <w:r w:rsidRPr="00BE635B">
              <w:rPr>
                <w:rFonts w:ascii="Times New Roman" w:hAnsi="Times New Roman" w:cs="Times New Roman"/>
                <w:color w:val="000000"/>
                <w:sz w:val="20"/>
                <w:szCs w:val="20"/>
              </w:rPr>
              <w:t>-</w:t>
            </w:r>
          </w:p>
        </w:tc>
        <w:tc>
          <w:tcPr>
            <w:tcW w:w="1417" w:type="dxa"/>
            <w:noWrap/>
            <w:vAlign w:val="center"/>
            <w:hideMark/>
          </w:tcPr>
          <w:p w14:paraId="70C80365" w14:textId="77777777" w:rsidR="00BE635B" w:rsidRPr="00BE635B" w:rsidRDefault="00BE635B" w:rsidP="00BE635B">
            <w:pPr>
              <w:spacing w:before="60" w:after="60"/>
              <w:jc w:val="center"/>
              <w:rPr>
                <w:rFonts w:ascii="Times New Roman" w:hAnsi="Times New Roman" w:cs="Times New Roman"/>
                <w:color w:val="000000"/>
                <w:sz w:val="20"/>
                <w:szCs w:val="20"/>
              </w:rPr>
            </w:pPr>
            <w:r w:rsidRPr="00BE635B">
              <w:rPr>
                <w:rFonts w:ascii="Times New Roman" w:hAnsi="Times New Roman" w:cs="Times New Roman"/>
                <w:color w:val="000000"/>
                <w:sz w:val="20"/>
                <w:szCs w:val="20"/>
              </w:rPr>
              <w:t>74,425 (49.94%)</w:t>
            </w:r>
          </w:p>
        </w:tc>
        <w:tc>
          <w:tcPr>
            <w:tcW w:w="1560" w:type="dxa"/>
            <w:noWrap/>
            <w:vAlign w:val="center"/>
            <w:hideMark/>
          </w:tcPr>
          <w:p w14:paraId="44372E0E" w14:textId="77777777" w:rsidR="00BE635B" w:rsidRPr="00BE635B" w:rsidRDefault="00BE635B" w:rsidP="00BE635B">
            <w:pPr>
              <w:spacing w:before="60" w:after="60"/>
              <w:jc w:val="center"/>
              <w:rPr>
                <w:rFonts w:ascii="Times New Roman" w:hAnsi="Times New Roman" w:cs="Times New Roman"/>
                <w:color w:val="000000"/>
                <w:sz w:val="20"/>
                <w:szCs w:val="20"/>
              </w:rPr>
            </w:pPr>
            <w:r w:rsidRPr="00BE635B">
              <w:rPr>
                <w:rFonts w:ascii="Times New Roman" w:hAnsi="Times New Roman" w:cs="Times New Roman"/>
                <w:color w:val="000000"/>
                <w:sz w:val="20"/>
                <w:szCs w:val="20"/>
              </w:rPr>
              <w:t>37,220 (24.97%)</w:t>
            </w:r>
          </w:p>
        </w:tc>
        <w:tc>
          <w:tcPr>
            <w:tcW w:w="1417" w:type="dxa"/>
            <w:noWrap/>
            <w:vAlign w:val="center"/>
            <w:hideMark/>
          </w:tcPr>
          <w:p w14:paraId="13EEAC60" w14:textId="77777777" w:rsidR="00BE635B" w:rsidRPr="00BE635B" w:rsidRDefault="00BE635B" w:rsidP="00BE635B">
            <w:pPr>
              <w:spacing w:before="60" w:after="60"/>
              <w:jc w:val="center"/>
              <w:rPr>
                <w:rFonts w:ascii="Times New Roman" w:hAnsi="Times New Roman" w:cs="Times New Roman"/>
                <w:color w:val="000000"/>
                <w:sz w:val="20"/>
                <w:szCs w:val="20"/>
              </w:rPr>
            </w:pPr>
            <w:r w:rsidRPr="00BE635B">
              <w:rPr>
                <w:rFonts w:ascii="Times New Roman" w:hAnsi="Times New Roman" w:cs="Times New Roman"/>
                <w:color w:val="000000"/>
                <w:sz w:val="20"/>
                <w:szCs w:val="20"/>
              </w:rPr>
              <w:t>18,647 (12.51%)</w:t>
            </w:r>
          </w:p>
        </w:tc>
      </w:tr>
      <w:tr w:rsidR="00BE635B" w:rsidRPr="00BE635B" w14:paraId="0AF63E50" w14:textId="77777777" w:rsidTr="003F1754">
        <w:trPr>
          <w:trHeight w:val="288"/>
        </w:trPr>
        <w:tc>
          <w:tcPr>
            <w:tcW w:w="3397" w:type="dxa"/>
            <w:vAlign w:val="center"/>
          </w:tcPr>
          <w:p w14:paraId="29682EEE" w14:textId="77777777" w:rsidR="00BE635B" w:rsidRPr="00BE635B" w:rsidRDefault="00BE635B" w:rsidP="00BE635B">
            <w:pPr>
              <w:spacing w:before="60" w:after="60"/>
              <w:rPr>
                <w:rFonts w:ascii="Times New Roman" w:hAnsi="Times New Roman" w:cs="Times New Roman"/>
                <w:color w:val="000000"/>
                <w:sz w:val="20"/>
                <w:szCs w:val="20"/>
              </w:rPr>
            </w:pPr>
            <w:r w:rsidRPr="00BE635B">
              <w:rPr>
                <w:rFonts w:ascii="Times New Roman" w:hAnsi="Times New Roman" w:cs="Times New Roman"/>
                <w:color w:val="000000"/>
                <w:sz w:val="20"/>
                <w:szCs w:val="20"/>
              </w:rPr>
              <w:t>NBCSP surveillance colonoscopies, 2020-2021</w:t>
            </w:r>
          </w:p>
        </w:tc>
        <w:tc>
          <w:tcPr>
            <w:tcW w:w="1418" w:type="dxa"/>
            <w:noWrap/>
            <w:vAlign w:val="center"/>
            <w:hideMark/>
          </w:tcPr>
          <w:p w14:paraId="1CDD198F" w14:textId="77777777" w:rsidR="00BE635B" w:rsidRPr="00BE635B" w:rsidRDefault="00BE635B" w:rsidP="00BE635B">
            <w:pPr>
              <w:spacing w:before="60" w:after="60"/>
              <w:jc w:val="center"/>
              <w:rPr>
                <w:rFonts w:ascii="Times New Roman" w:hAnsi="Times New Roman" w:cs="Times New Roman"/>
                <w:color w:val="000000"/>
                <w:sz w:val="20"/>
                <w:szCs w:val="20"/>
              </w:rPr>
            </w:pPr>
            <w:r w:rsidRPr="00BE635B">
              <w:rPr>
                <w:rFonts w:ascii="Times New Roman" w:hAnsi="Times New Roman" w:cs="Times New Roman"/>
                <w:color w:val="000000"/>
                <w:sz w:val="20"/>
                <w:szCs w:val="20"/>
              </w:rPr>
              <w:t>45,920</w:t>
            </w:r>
          </w:p>
        </w:tc>
        <w:tc>
          <w:tcPr>
            <w:tcW w:w="1417" w:type="dxa"/>
            <w:noWrap/>
            <w:vAlign w:val="center"/>
            <w:hideMark/>
          </w:tcPr>
          <w:p w14:paraId="692A4628" w14:textId="77777777" w:rsidR="00BE635B" w:rsidRPr="00BE635B" w:rsidRDefault="00BE635B" w:rsidP="00BE635B">
            <w:pPr>
              <w:spacing w:before="60" w:after="60"/>
              <w:jc w:val="center"/>
              <w:rPr>
                <w:rFonts w:ascii="Times New Roman" w:hAnsi="Times New Roman" w:cs="Times New Roman"/>
                <w:color w:val="000000"/>
                <w:sz w:val="20"/>
                <w:szCs w:val="20"/>
              </w:rPr>
            </w:pPr>
            <w:r w:rsidRPr="00BE635B">
              <w:rPr>
                <w:rFonts w:ascii="Times New Roman" w:hAnsi="Times New Roman" w:cs="Times New Roman"/>
                <w:color w:val="000000"/>
                <w:sz w:val="20"/>
                <w:szCs w:val="20"/>
              </w:rPr>
              <w:t>44,219</w:t>
            </w:r>
          </w:p>
        </w:tc>
        <w:tc>
          <w:tcPr>
            <w:tcW w:w="1560" w:type="dxa"/>
            <w:noWrap/>
            <w:vAlign w:val="center"/>
            <w:hideMark/>
          </w:tcPr>
          <w:p w14:paraId="15D26A1D" w14:textId="77777777" w:rsidR="00BE635B" w:rsidRPr="00BE635B" w:rsidRDefault="00BE635B" w:rsidP="00BE635B">
            <w:pPr>
              <w:spacing w:before="60" w:after="60"/>
              <w:jc w:val="center"/>
              <w:rPr>
                <w:rFonts w:ascii="Times New Roman" w:hAnsi="Times New Roman" w:cs="Times New Roman"/>
                <w:color w:val="000000"/>
                <w:sz w:val="20"/>
                <w:szCs w:val="20"/>
              </w:rPr>
            </w:pPr>
            <w:r w:rsidRPr="00BE635B">
              <w:rPr>
                <w:rFonts w:ascii="Times New Roman" w:hAnsi="Times New Roman" w:cs="Times New Roman"/>
                <w:color w:val="000000"/>
                <w:sz w:val="20"/>
                <w:szCs w:val="20"/>
              </w:rPr>
              <w:t>44,804</w:t>
            </w:r>
          </w:p>
        </w:tc>
        <w:tc>
          <w:tcPr>
            <w:tcW w:w="1417" w:type="dxa"/>
            <w:noWrap/>
            <w:vAlign w:val="center"/>
            <w:hideMark/>
          </w:tcPr>
          <w:p w14:paraId="443D9E7F" w14:textId="77777777" w:rsidR="00BE635B" w:rsidRPr="00BE635B" w:rsidRDefault="00BE635B" w:rsidP="00BE635B">
            <w:pPr>
              <w:spacing w:before="60" w:after="60"/>
              <w:jc w:val="center"/>
              <w:rPr>
                <w:rFonts w:ascii="Times New Roman" w:hAnsi="Times New Roman" w:cs="Times New Roman"/>
                <w:color w:val="000000"/>
                <w:sz w:val="20"/>
                <w:szCs w:val="20"/>
              </w:rPr>
            </w:pPr>
            <w:r w:rsidRPr="00BE635B">
              <w:rPr>
                <w:rFonts w:ascii="Times New Roman" w:hAnsi="Times New Roman" w:cs="Times New Roman"/>
                <w:color w:val="000000"/>
                <w:sz w:val="20"/>
                <w:szCs w:val="20"/>
              </w:rPr>
              <w:t>45,416</w:t>
            </w:r>
          </w:p>
        </w:tc>
      </w:tr>
      <w:tr w:rsidR="00BE635B" w:rsidRPr="00BE635B" w14:paraId="6FC85BBB" w14:textId="77777777" w:rsidTr="003F1754">
        <w:trPr>
          <w:trHeight w:val="288"/>
        </w:trPr>
        <w:tc>
          <w:tcPr>
            <w:tcW w:w="3397" w:type="dxa"/>
            <w:vAlign w:val="center"/>
          </w:tcPr>
          <w:p w14:paraId="23C1442D" w14:textId="77777777" w:rsidR="00BE635B" w:rsidRPr="00BE635B" w:rsidRDefault="00BE635B" w:rsidP="00BE635B">
            <w:pPr>
              <w:spacing w:before="60" w:after="60"/>
              <w:rPr>
                <w:rFonts w:ascii="Times New Roman" w:hAnsi="Times New Roman" w:cs="Times New Roman"/>
                <w:color w:val="000000"/>
                <w:sz w:val="20"/>
                <w:szCs w:val="20"/>
              </w:rPr>
            </w:pPr>
            <w:r w:rsidRPr="00BE635B">
              <w:rPr>
                <w:rFonts w:ascii="Times New Roman" w:hAnsi="Times New Roman" w:cs="Times New Roman"/>
                <w:color w:val="000000"/>
                <w:sz w:val="20"/>
                <w:szCs w:val="20"/>
              </w:rPr>
              <w:t xml:space="preserve">   decrease (%) in 2020-2021</w:t>
            </w:r>
          </w:p>
        </w:tc>
        <w:tc>
          <w:tcPr>
            <w:tcW w:w="1418" w:type="dxa"/>
            <w:noWrap/>
            <w:vAlign w:val="center"/>
            <w:hideMark/>
          </w:tcPr>
          <w:p w14:paraId="48614644" w14:textId="77777777" w:rsidR="00BE635B" w:rsidRPr="00BE635B" w:rsidRDefault="00BE635B" w:rsidP="00BE635B">
            <w:pPr>
              <w:spacing w:before="60" w:after="60"/>
              <w:jc w:val="center"/>
              <w:rPr>
                <w:rFonts w:ascii="Times New Roman" w:hAnsi="Times New Roman" w:cs="Times New Roman"/>
                <w:color w:val="000000"/>
                <w:sz w:val="20"/>
                <w:szCs w:val="20"/>
              </w:rPr>
            </w:pPr>
            <w:r w:rsidRPr="00BE635B">
              <w:rPr>
                <w:rFonts w:ascii="Times New Roman" w:hAnsi="Times New Roman" w:cs="Times New Roman"/>
                <w:color w:val="000000"/>
                <w:sz w:val="20"/>
                <w:szCs w:val="20"/>
              </w:rPr>
              <w:t>-</w:t>
            </w:r>
          </w:p>
        </w:tc>
        <w:tc>
          <w:tcPr>
            <w:tcW w:w="1417" w:type="dxa"/>
            <w:noWrap/>
            <w:vAlign w:val="center"/>
            <w:hideMark/>
          </w:tcPr>
          <w:p w14:paraId="56D18953" w14:textId="77777777" w:rsidR="00BE635B" w:rsidRPr="00BE635B" w:rsidRDefault="00BE635B" w:rsidP="00BE635B">
            <w:pPr>
              <w:spacing w:before="60" w:after="60"/>
              <w:jc w:val="center"/>
              <w:rPr>
                <w:rFonts w:ascii="Times New Roman" w:hAnsi="Times New Roman" w:cs="Times New Roman"/>
                <w:color w:val="000000"/>
                <w:sz w:val="20"/>
                <w:szCs w:val="20"/>
              </w:rPr>
            </w:pPr>
            <w:r w:rsidRPr="00BE635B">
              <w:rPr>
                <w:rFonts w:ascii="Times New Roman" w:hAnsi="Times New Roman" w:cs="Times New Roman"/>
                <w:color w:val="000000"/>
                <w:sz w:val="20"/>
                <w:szCs w:val="20"/>
              </w:rPr>
              <w:t>1,701 (3.7%)</w:t>
            </w:r>
          </w:p>
        </w:tc>
        <w:tc>
          <w:tcPr>
            <w:tcW w:w="1560" w:type="dxa"/>
            <w:noWrap/>
            <w:vAlign w:val="center"/>
            <w:hideMark/>
          </w:tcPr>
          <w:p w14:paraId="3F8E2133" w14:textId="77777777" w:rsidR="00BE635B" w:rsidRPr="00BE635B" w:rsidRDefault="00BE635B" w:rsidP="00BE635B">
            <w:pPr>
              <w:spacing w:before="60" w:after="60"/>
              <w:jc w:val="center"/>
              <w:rPr>
                <w:rFonts w:ascii="Times New Roman" w:hAnsi="Times New Roman" w:cs="Times New Roman"/>
                <w:color w:val="000000"/>
                <w:sz w:val="20"/>
                <w:szCs w:val="20"/>
              </w:rPr>
            </w:pPr>
            <w:r w:rsidRPr="00BE635B">
              <w:rPr>
                <w:rFonts w:ascii="Times New Roman" w:hAnsi="Times New Roman" w:cs="Times New Roman"/>
                <w:color w:val="000000"/>
                <w:sz w:val="20"/>
                <w:szCs w:val="20"/>
              </w:rPr>
              <w:t>1,115 (2.43%)</w:t>
            </w:r>
          </w:p>
        </w:tc>
        <w:tc>
          <w:tcPr>
            <w:tcW w:w="1417" w:type="dxa"/>
            <w:noWrap/>
            <w:vAlign w:val="center"/>
            <w:hideMark/>
          </w:tcPr>
          <w:p w14:paraId="4A9C7885" w14:textId="77777777" w:rsidR="00BE635B" w:rsidRPr="00BE635B" w:rsidRDefault="00BE635B" w:rsidP="00BE635B">
            <w:pPr>
              <w:spacing w:before="60" w:after="60"/>
              <w:jc w:val="center"/>
              <w:rPr>
                <w:rFonts w:ascii="Times New Roman" w:hAnsi="Times New Roman" w:cs="Times New Roman"/>
                <w:color w:val="000000"/>
                <w:sz w:val="20"/>
                <w:szCs w:val="20"/>
              </w:rPr>
            </w:pPr>
            <w:r w:rsidRPr="00BE635B">
              <w:rPr>
                <w:rFonts w:ascii="Times New Roman" w:hAnsi="Times New Roman" w:cs="Times New Roman"/>
                <w:color w:val="000000"/>
                <w:sz w:val="20"/>
                <w:szCs w:val="20"/>
              </w:rPr>
              <w:t>504 (1.1%)</w:t>
            </w:r>
          </w:p>
        </w:tc>
      </w:tr>
      <w:tr w:rsidR="00BE635B" w:rsidRPr="00BE635B" w14:paraId="65778A5A" w14:textId="77777777" w:rsidTr="003F1754">
        <w:trPr>
          <w:trHeight w:val="288"/>
        </w:trPr>
        <w:tc>
          <w:tcPr>
            <w:tcW w:w="3397" w:type="dxa"/>
          </w:tcPr>
          <w:p w14:paraId="747417D5" w14:textId="77777777" w:rsidR="00BE635B" w:rsidRPr="00BE635B" w:rsidRDefault="00BE635B" w:rsidP="00BE635B">
            <w:pPr>
              <w:spacing w:before="60" w:after="60"/>
              <w:rPr>
                <w:rFonts w:ascii="Times New Roman" w:hAnsi="Times New Roman" w:cs="Times New Roman"/>
                <w:color w:val="000000"/>
                <w:sz w:val="20"/>
                <w:szCs w:val="20"/>
              </w:rPr>
            </w:pPr>
            <w:r w:rsidRPr="00BE635B">
              <w:rPr>
                <w:rFonts w:ascii="Times New Roman" w:hAnsi="Times New Roman" w:cs="Times New Roman"/>
                <w:color w:val="000000"/>
                <w:sz w:val="20"/>
                <w:szCs w:val="20"/>
              </w:rPr>
              <w:t>Adenomas not detected at screening, 2020-2021*</w:t>
            </w:r>
          </w:p>
        </w:tc>
        <w:tc>
          <w:tcPr>
            <w:tcW w:w="1418" w:type="dxa"/>
            <w:noWrap/>
            <w:vAlign w:val="center"/>
            <w:hideMark/>
          </w:tcPr>
          <w:p w14:paraId="24C32CCF" w14:textId="77777777" w:rsidR="00BE635B" w:rsidRPr="00BE635B" w:rsidRDefault="00BE635B" w:rsidP="00BE635B">
            <w:pPr>
              <w:spacing w:before="60" w:after="60"/>
              <w:jc w:val="center"/>
              <w:rPr>
                <w:rFonts w:ascii="Times New Roman" w:hAnsi="Times New Roman" w:cs="Times New Roman"/>
                <w:color w:val="000000"/>
                <w:sz w:val="20"/>
                <w:szCs w:val="20"/>
              </w:rPr>
            </w:pPr>
            <w:r w:rsidRPr="00BE635B">
              <w:rPr>
                <w:rFonts w:ascii="Times New Roman" w:hAnsi="Times New Roman" w:cs="Times New Roman"/>
                <w:color w:val="000000"/>
                <w:sz w:val="20"/>
                <w:szCs w:val="20"/>
              </w:rPr>
              <w:t>-</w:t>
            </w:r>
          </w:p>
        </w:tc>
        <w:tc>
          <w:tcPr>
            <w:tcW w:w="1417" w:type="dxa"/>
            <w:noWrap/>
            <w:vAlign w:val="center"/>
            <w:hideMark/>
          </w:tcPr>
          <w:p w14:paraId="6E9AC05C" w14:textId="77777777" w:rsidR="00BE635B" w:rsidRPr="00BE635B" w:rsidRDefault="00BE635B" w:rsidP="00BE635B">
            <w:pPr>
              <w:spacing w:before="60" w:after="60"/>
              <w:jc w:val="center"/>
              <w:rPr>
                <w:rFonts w:ascii="Times New Roman" w:hAnsi="Times New Roman" w:cs="Times New Roman"/>
                <w:color w:val="000000"/>
                <w:sz w:val="20"/>
                <w:szCs w:val="20"/>
              </w:rPr>
            </w:pPr>
            <w:r w:rsidRPr="00BE635B">
              <w:rPr>
                <w:rFonts w:ascii="Times New Roman" w:hAnsi="Times New Roman" w:cs="Times New Roman"/>
                <w:color w:val="000000"/>
                <w:sz w:val="20"/>
                <w:szCs w:val="20"/>
              </w:rPr>
              <w:t>31,811</w:t>
            </w:r>
          </w:p>
        </w:tc>
        <w:tc>
          <w:tcPr>
            <w:tcW w:w="1560" w:type="dxa"/>
            <w:noWrap/>
            <w:vAlign w:val="center"/>
            <w:hideMark/>
          </w:tcPr>
          <w:p w14:paraId="41D28E58" w14:textId="77777777" w:rsidR="00BE635B" w:rsidRPr="00BE635B" w:rsidRDefault="00BE635B" w:rsidP="00BE635B">
            <w:pPr>
              <w:spacing w:before="60" w:after="60"/>
              <w:jc w:val="center"/>
              <w:rPr>
                <w:rFonts w:ascii="Times New Roman" w:hAnsi="Times New Roman" w:cs="Times New Roman"/>
                <w:color w:val="000000"/>
                <w:sz w:val="20"/>
                <w:szCs w:val="20"/>
              </w:rPr>
            </w:pPr>
            <w:r w:rsidRPr="00BE635B">
              <w:rPr>
                <w:rFonts w:ascii="Times New Roman" w:hAnsi="Times New Roman" w:cs="Times New Roman"/>
                <w:color w:val="000000"/>
                <w:sz w:val="20"/>
                <w:szCs w:val="20"/>
              </w:rPr>
              <w:t>15,827</w:t>
            </w:r>
          </w:p>
        </w:tc>
        <w:tc>
          <w:tcPr>
            <w:tcW w:w="1417" w:type="dxa"/>
            <w:noWrap/>
            <w:vAlign w:val="center"/>
            <w:hideMark/>
          </w:tcPr>
          <w:p w14:paraId="45ABA8CD" w14:textId="77777777" w:rsidR="00BE635B" w:rsidRPr="00BE635B" w:rsidRDefault="00BE635B" w:rsidP="00BE635B">
            <w:pPr>
              <w:spacing w:before="60" w:after="60"/>
              <w:jc w:val="center"/>
              <w:rPr>
                <w:rFonts w:ascii="Times New Roman" w:hAnsi="Times New Roman" w:cs="Times New Roman"/>
                <w:color w:val="000000"/>
                <w:sz w:val="20"/>
                <w:szCs w:val="20"/>
              </w:rPr>
            </w:pPr>
            <w:r w:rsidRPr="00BE635B">
              <w:rPr>
                <w:rFonts w:ascii="Times New Roman" w:hAnsi="Times New Roman" w:cs="Times New Roman"/>
                <w:color w:val="000000"/>
                <w:sz w:val="20"/>
                <w:szCs w:val="20"/>
              </w:rPr>
              <w:t>7,917</w:t>
            </w:r>
          </w:p>
        </w:tc>
      </w:tr>
      <w:tr w:rsidR="00BE635B" w:rsidRPr="00BE635B" w14:paraId="4533F8E6" w14:textId="77777777" w:rsidTr="003F1754">
        <w:trPr>
          <w:trHeight w:val="288"/>
        </w:trPr>
        <w:tc>
          <w:tcPr>
            <w:tcW w:w="3397" w:type="dxa"/>
            <w:tcBorders>
              <w:bottom w:val="single" w:sz="4" w:space="0" w:color="auto"/>
            </w:tcBorders>
          </w:tcPr>
          <w:p w14:paraId="36037C48" w14:textId="77777777" w:rsidR="00BE635B" w:rsidRPr="00BE635B" w:rsidRDefault="00BE635B" w:rsidP="00BE635B">
            <w:pPr>
              <w:spacing w:before="60" w:after="60"/>
              <w:rPr>
                <w:rFonts w:ascii="Times New Roman" w:hAnsi="Times New Roman" w:cs="Times New Roman"/>
                <w:color w:val="000000"/>
                <w:sz w:val="20"/>
                <w:szCs w:val="20"/>
              </w:rPr>
            </w:pPr>
            <w:r w:rsidRPr="00BE635B">
              <w:rPr>
                <w:rFonts w:ascii="Times New Roman" w:hAnsi="Times New Roman" w:cs="Times New Roman"/>
                <w:color w:val="000000"/>
                <w:sz w:val="20"/>
                <w:szCs w:val="20"/>
              </w:rPr>
              <w:t>Advanced adenomas not detected at screening, 2020-2021*</w:t>
            </w:r>
          </w:p>
        </w:tc>
        <w:tc>
          <w:tcPr>
            <w:tcW w:w="1418" w:type="dxa"/>
            <w:tcBorders>
              <w:bottom w:val="single" w:sz="4" w:space="0" w:color="auto"/>
            </w:tcBorders>
            <w:noWrap/>
            <w:vAlign w:val="center"/>
            <w:hideMark/>
          </w:tcPr>
          <w:p w14:paraId="3EC3AAFA" w14:textId="77777777" w:rsidR="00BE635B" w:rsidRPr="00BE635B" w:rsidRDefault="00BE635B" w:rsidP="00BE635B">
            <w:pPr>
              <w:spacing w:before="60" w:after="60"/>
              <w:jc w:val="center"/>
              <w:rPr>
                <w:rFonts w:ascii="Times New Roman" w:hAnsi="Times New Roman" w:cs="Times New Roman"/>
                <w:color w:val="000000"/>
                <w:sz w:val="20"/>
                <w:szCs w:val="20"/>
              </w:rPr>
            </w:pPr>
            <w:r w:rsidRPr="00BE635B">
              <w:rPr>
                <w:rFonts w:ascii="Times New Roman" w:hAnsi="Times New Roman" w:cs="Times New Roman"/>
                <w:color w:val="000000"/>
                <w:sz w:val="20"/>
                <w:szCs w:val="20"/>
              </w:rPr>
              <w:t>-</w:t>
            </w:r>
          </w:p>
        </w:tc>
        <w:tc>
          <w:tcPr>
            <w:tcW w:w="1417" w:type="dxa"/>
            <w:tcBorders>
              <w:bottom w:val="single" w:sz="4" w:space="0" w:color="auto"/>
            </w:tcBorders>
            <w:noWrap/>
            <w:vAlign w:val="center"/>
            <w:hideMark/>
          </w:tcPr>
          <w:p w14:paraId="738303F8" w14:textId="77777777" w:rsidR="00BE635B" w:rsidRPr="00BE635B" w:rsidRDefault="00BE635B" w:rsidP="00BE635B">
            <w:pPr>
              <w:spacing w:before="60" w:after="60"/>
              <w:jc w:val="center"/>
              <w:rPr>
                <w:rFonts w:ascii="Times New Roman" w:hAnsi="Times New Roman" w:cs="Times New Roman"/>
                <w:color w:val="000000"/>
                <w:sz w:val="20"/>
                <w:szCs w:val="20"/>
              </w:rPr>
            </w:pPr>
            <w:r w:rsidRPr="00BE635B">
              <w:rPr>
                <w:rFonts w:ascii="Times New Roman" w:hAnsi="Times New Roman" w:cs="Times New Roman"/>
                <w:color w:val="000000"/>
                <w:sz w:val="20"/>
                <w:szCs w:val="20"/>
              </w:rPr>
              <w:t>17,156</w:t>
            </w:r>
          </w:p>
        </w:tc>
        <w:tc>
          <w:tcPr>
            <w:tcW w:w="1560" w:type="dxa"/>
            <w:tcBorders>
              <w:bottom w:val="single" w:sz="4" w:space="0" w:color="auto"/>
            </w:tcBorders>
            <w:noWrap/>
            <w:vAlign w:val="center"/>
            <w:hideMark/>
          </w:tcPr>
          <w:p w14:paraId="043C486B" w14:textId="77777777" w:rsidR="00BE635B" w:rsidRPr="00BE635B" w:rsidRDefault="00BE635B" w:rsidP="00BE635B">
            <w:pPr>
              <w:spacing w:before="60" w:after="60"/>
              <w:jc w:val="center"/>
              <w:rPr>
                <w:rFonts w:ascii="Times New Roman" w:hAnsi="Times New Roman" w:cs="Times New Roman"/>
                <w:color w:val="000000"/>
                <w:sz w:val="20"/>
                <w:szCs w:val="20"/>
              </w:rPr>
            </w:pPr>
            <w:r w:rsidRPr="00BE635B">
              <w:rPr>
                <w:rFonts w:ascii="Times New Roman" w:hAnsi="Times New Roman" w:cs="Times New Roman"/>
                <w:color w:val="000000"/>
                <w:sz w:val="20"/>
                <w:szCs w:val="20"/>
              </w:rPr>
              <w:t>8,536</w:t>
            </w:r>
          </w:p>
        </w:tc>
        <w:tc>
          <w:tcPr>
            <w:tcW w:w="1417" w:type="dxa"/>
            <w:tcBorders>
              <w:bottom w:val="single" w:sz="4" w:space="0" w:color="auto"/>
            </w:tcBorders>
            <w:noWrap/>
            <w:vAlign w:val="center"/>
            <w:hideMark/>
          </w:tcPr>
          <w:p w14:paraId="17B2E626" w14:textId="77777777" w:rsidR="00BE635B" w:rsidRPr="00BE635B" w:rsidRDefault="00BE635B" w:rsidP="00BE635B">
            <w:pPr>
              <w:spacing w:before="60" w:after="60"/>
              <w:jc w:val="center"/>
              <w:rPr>
                <w:rFonts w:ascii="Times New Roman" w:hAnsi="Times New Roman" w:cs="Times New Roman"/>
                <w:color w:val="000000"/>
                <w:sz w:val="20"/>
                <w:szCs w:val="20"/>
              </w:rPr>
            </w:pPr>
            <w:r w:rsidRPr="00BE635B">
              <w:rPr>
                <w:rFonts w:ascii="Times New Roman" w:hAnsi="Times New Roman" w:cs="Times New Roman"/>
                <w:color w:val="000000"/>
                <w:sz w:val="20"/>
                <w:szCs w:val="20"/>
              </w:rPr>
              <w:t>4,270</w:t>
            </w:r>
          </w:p>
        </w:tc>
      </w:tr>
    </w:tbl>
    <w:p w14:paraId="75E07920" w14:textId="77777777" w:rsidR="00BE635B" w:rsidRPr="00BE635B" w:rsidRDefault="00BE635B" w:rsidP="00BE635B">
      <w:pPr>
        <w:rPr>
          <w:rFonts w:ascii="Times New Roman" w:eastAsia="Calibri" w:hAnsi="Times New Roman" w:cs="Times New Roman"/>
          <w:sz w:val="18"/>
          <w:szCs w:val="18"/>
          <w:lang w:val="en-AU"/>
        </w:rPr>
      </w:pPr>
      <w:r w:rsidRPr="00BE635B">
        <w:rPr>
          <w:rFonts w:ascii="Times New Roman" w:eastAsia="Calibri" w:hAnsi="Times New Roman" w:cs="Times New Roman"/>
          <w:sz w:val="18"/>
          <w:szCs w:val="18"/>
          <w:lang w:val="en-AU"/>
        </w:rPr>
        <w:t xml:space="preserve">* This outcome is an estimate of the number of adenomas (including advanced and non-advanced adenomas) and advanced adenomas which would have been detected at NBCSP follow-up screening in 2020 or 2021 without any pause to </w:t>
      </w:r>
      <w:proofErr w:type="gramStart"/>
      <w:r w:rsidRPr="00BE635B">
        <w:rPr>
          <w:rFonts w:ascii="Times New Roman" w:eastAsia="Calibri" w:hAnsi="Times New Roman" w:cs="Times New Roman"/>
          <w:sz w:val="18"/>
          <w:szCs w:val="18"/>
          <w:lang w:val="en-AU"/>
        </w:rPr>
        <w:t>screening, but</w:t>
      </w:r>
      <w:proofErr w:type="gramEnd"/>
      <w:r w:rsidRPr="00BE635B">
        <w:rPr>
          <w:rFonts w:ascii="Times New Roman" w:eastAsia="Calibri" w:hAnsi="Times New Roman" w:cs="Times New Roman"/>
          <w:sz w:val="18"/>
          <w:szCs w:val="18"/>
          <w:lang w:val="en-AU"/>
        </w:rPr>
        <w:t xml:space="preserve"> would be missed with the corresponding pause to screening.</w:t>
      </w:r>
    </w:p>
    <w:p w14:paraId="3F93BE35" w14:textId="77777777" w:rsidR="00BE635B" w:rsidRPr="00BE635B" w:rsidRDefault="00BE635B" w:rsidP="00BE635B">
      <w:pPr>
        <w:spacing w:line="276" w:lineRule="auto"/>
        <w:rPr>
          <w:rFonts w:ascii="Times New Roman" w:hAnsi="Times New Roman" w:cs="Times New Roman"/>
          <w:color w:val="000000" w:themeColor="text1"/>
          <w:lang w:val="en-AU"/>
        </w:rPr>
      </w:pPr>
    </w:p>
    <w:p w14:paraId="196C355A" w14:textId="5C0CC4DD" w:rsidR="00BE635B" w:rsidRDefault="00BE635B">
      <w:r>
        <w:br w:type="page"/>
      </w:r>
    </w:p>
    <w:p w14:paraId="06B28F68" w14:textId="77777777" w:rsidR="0080543D" w:rsidRPr="006B24F4" w:rsidRDefault="00707A91" w:rsidP="0080543D">
      <w:pPr>
        <w:rPr>
          <w:rFonts w:ascii="Times New Roman" w:hAnsi="Times New Roman" w:cs="Times New Roman"/>
          <w:b/>
          <w:bCs/>
          <w:sz w:val="28"/>
          <w:szCs w:val="28"/>
        </w:rPr>
      </w:pPr>
      <w:r w:rsidRPr="006B24F4">
        <w:rPr>
          <w:rFonts w:ascii="Times New Roman" w:hAnsi="Times New Roman" w:cs="Times New Roman"/>
          <w:b/>
          <w:bCs/>
          <w:sz w:val="28"/>
          <w:szCs w:val="28"/>
        </w:rPr>
        <w:lastRenderedPageBreak/>
        <w:t>Supplementary File 1G</w:t>
      </w:r>
    </w:p>
    <w:p w14:paraId="1F08E333" w14:textId="011B12F2" w:rsidR="0080543D" w:rsidRPr="0080543D" w:rsidRDefault="0080543D" w:rsidP="0080543D">
      <w:pPr>
        <w:rPr>
          <w:b/>
          <w:bCs/>
          <w:sz w:val="28"/>
          <w:szCs w:val="28"/>
        </w:rPr>
      </w:pPr>
      <w:r w:rsidRPr="0080543D">
        <w:rPr>
          <w:rFonts w:ascii="Times New Roman" w:eastAsia="Calibri" w:hAnsi="Times New Roman" w:cs="Times New Roman"/>
          <w:b/>
          <w:bCs/>
          <w:color w:val="000000" w:themeColor="text1"/>
          <w:sz w:val="20"/>
          <w:szCs w:val="20"/>
          <w:lang w:val="en-AU"/>
        </w:rPr>
        <w:t>Impact of disruption on cancer outcomes among women aged 25-74 years, 2020-2022</w:t>
      </w:r>
    </w:p>
    <w:tbl>
      <w:tblPr>
        <w:tblStyle w:val="TableGrid5"/>
        <w:tblW w:w="8815" w:type="dxa"/>
        <w:tblBorders>
          <w:insideH w:val="none" w:sz="0" w:space="0" w:color="auto"/>
        </w:tblBorders>
        <w:tblLook w:val="04A0" w:firstRow="1" w:lastRow="0" w:firstColumn="1" w:lastColumn="0" w:noHBand="0" w:noVBand="1"/>
      </w:tblPr>
      <w:tblGrid>
        <w:gridCol w:w="1681"/>
        <w:gridCol w:w="676"/>
        <w:gridCol w:w="1418"/>
        <w:gridCol w:w="1350"/>
        <w:gridCol w:w="1350"/>
        <w:gridCol w:w="2340"/>
      </w:tblGrid>
      <w:tr w:rsidR="0080543D" w:rsidRPr="0080543D" w14:paraId="312EDF61" w14:textId="77777777" w:rsidTr="003F17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1" w:type="dxa"/>
            <w:vMerge w:val="restart"/>
            <w:tcBorders>
              <w:top w:val="single" w:sz="4" w:space="0" w:color="auto"/>
            </w:tcBorders>
            <w:shd w:val="clear" w:color="auto" w:fill="auto"/>
          </w:tcPr>
          <w:p w14:paraId="3300E688" w14:textId="77777777" w:rsidR="0080543D" w:rsidRPr="0080543D" w:rsidRDefault="0080543D" w:rsidP="0080543D">
            <w:pPr>
              <w:rPr>
                <w:rFonts w:ascii="Times New Roman" w:eastAsia="Calibri" w:hAnsi="Times New Roman" w:cs="Times New Roman"/>
                <w:sz w:val="20"/>
                <w:szCs w:val="20"/>
              </w:rPr>
            </w:pPr>
            <w:r w:rsidRPr="0080543D">
              <w:rPr>
                <w:rFonts w:ascii="Times New Roman" w:eastAsia="Calibri" w:hAnsi="Times New Roman" w:cs="Times New Roman"/>
                <w:sz w:val="20"/>
                <w:szCs w:val="20"/>
              </w:rPr>
              <w:t>Scenario</w:t>
            </w:r>
          </w:p>
        </w:tc>
        <w:tc>
          <w:tcPr>
            <w:tcW w:w="2094" w:type="dxa"/>
            <w:gridSpan w:val="2"/>
            <w:tcBorders>
              <w:top w:val="single" w:sz="4" w:space="0" w:color="auto"/>
            </w:tcBorders>
            <w:shd w:val="clear" w:color="auto" w:fill="auto"/>
          </w:tcPr>
          <w:p w14:paraId="4498C26D" w14:textId="77777777" w:rsidR="0080543D" w:rsidRPr="0080543D" w:rsidRDefault="0080543D" w:rsidP="0080543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rPr>
            </w:pPr>
            <w:r w:rsidRPr="0080543D">
              <w:rPr>
                <w:rFonts w:ascii="Times New Roman" w:eastAsia="Calibri" w:hAnsi="Times New Roman" w:cs="Times New Roman"/>
                <w:b/>
                <w:sz w:val="20"/>
                <w:szCs w:val="20"/>
              </w:rPr>
              <w:t>Additional cancers*</w:t>
            </w:r>
          </w:p>
        </w:tc>
        <w:tc>
          <w:tcPr>
            <w:tcW w:w="2700" w:type="dxa"/>
            <w:gridSpan w:val="2"/>
            <w:tcBorders>
              <w:top w:val="single" w:sz="4" w:space="0" w:color="auto"/>
            </w:tcBorders>
            <w:shd w:val="clear" w:color="auto" w:fill="auto"/>
          </w:tcPr>
          <w:p w14:paraId="3367B354" w14:textId="77777777" w:rsidR="0080543D" w:rsidRPr="0080543D" w:rsidRDefault="0080543D" w:rsidP="0080543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rPr>
            </w:pPr>
            <w:r w:rsidRPr="0080543D">
              <w:rPr>
                <w:rFonts w:ascii="Times New Roman" w:eastAsia="Calibri" w:hAnsi="Times New Roman" w:cs="Times New Roman"/>
                <w:b/>
                <w:sz w:val="20"/>
                <w:szCs w:val="20"/>
              </w:rPr>
              <w:t>Cancers upstaged</w:t>
            </w:r>
          </w:p>
        </w:tc>
        <w:tc>
          <w:tcPr>
            <w:tcW w:w="2340" w:type="dxa"/>
            <w:vMerge w:val="restart"/>
            <w:tcBorders>
              <w:top w:val="single" w:sz="4" w:space="0" w:color="auto"/>
            </w:tcBorders>
            <w:shd w:val="clear" w:color="auto" w:fill="auto"/>
          </w:tcPr>
          <w:p w14:paraId="2C576E4A" w14:textId="77777777" w:rsidR="0080543D" w:rsidRPr="0080543D" w:rsidRDefault="0080543D" w:rsidP="0080543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rPr>
            </w:pPr>
            <w:r w:rsidRPr="0080543D">
              <w:rPr>
                <w:rFonts w:ascii="Times New Roman" w:eastAsia="Calibri" w:hAnsi="Times New Roman" w:cs="Times New Roman"/>
                <w:b/>
                <w:sz w:val="20"/>
                <w:szCs w:val="20"/>
              </w:rPr>
              <w:t>Additional deaths due to additional/ upstaged cancers over 2020-2022</w:t>
            </w:r>
          </w:p>
        </w:tc>
      </w:tr>
      <w:tr w:rsidR="0080543D" w:rsidRPr="0080543D" w14:paraId="241CD67D" w14:textId="77777777" w:rsidTr="003F17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1" w:type="dxa"/>
            <w:vMerge/>
            <w:tcBorders>
              <w:bottom w:val="single" w:sz="4" w:space="0" w:color="auto"/>
            </w:tcBorders>
            <w:shd w:val="clear" w:color="auto" w:fill="auto"/>
          </w:tcPr>
          <w:p w14:paraId="6E3C658D" w14:textId="77777777" w:rsidR="0080543D" w:rsidRPr="0080543D" w:rsidRDefault="0080543D" w:rsidP="0080543D">
            <w:pPr>
              <w:rPr>
                <w:rFonts w:ascii="Times New Roman" w:eastAsia="Calibri" w:hAnsi="Times New Roman" w:cs="Times New Roman"/>
                <w:sz w:val="20"/>
                <w:szCs w:val="20"/>
              </w:rPr>
            </w:pPr>
          </w:p>
        </w:tc>
        <w:tc>
          <w:tcPr>
            <w:tcW w:w="676" w:type="dxa"/>
            <w:tcBorders>
              <w:bottom w:val="single" w:sz="4" w:space="0" w:color="auto"/>
            </w:tcBorders>
            <w:shd w:val="clear" w:color="auto" w:fill="auto"/>
          </w:tcPr>
          <w:p w14:paraId="1E10BFD8" w14:textId="77777777" w:rsidR="0080543D" w:rsidRPr="0080543D" w:rsidRDefault="0080543D" w:rsidP="0080543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rPr>
            </w:pPr>
            <w:r w:rsidRPr="0080543D">
              <w:rPr>
                <w:rFonts w:ascii="Times New Roman" w:eastAsia="Calibri" w:hAnsi="Times New Roman" w:cs="Times New Roman"/>
                <w:b/>
                <w:sz w:val="20"/>
                <w:szCs w:val="20"/>
              </w:rPr>
              <w:t>N</w:t>
            </w:r>
          </w:p>
        </w:tc>
        <w:tc>
          <w:tcPr>
            <w:tcW w:w="1418" w:type="dxa"/>
            <w:tcBorders>
              <w:bottom w:val="single" w:sz="4" w:space="0" w:color="auto"/>
            </w:tcBorders>
            <w:shd w:val="clear" w:color="auto" w:fill="auto"/>
          </w:tcPr>
          <w:p w14:paraId="039C916C" w14:textId="77777777" w:rsidR="0080543D" w:rsidRPr="0080543D" w:rsidRDefault="0080543D" w:rsidP="0080543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rPr>
            </w:pPr>
            <w:r w:rsidRPr="0080543D">
              <w:rPr>
                <w:rFonts w:ascii="Times New Roman" w:eastAsia="Calibri" w:hAnsi="Times New Roman" w:cs="Times New Roman"/>
                <w:b/>
                <w:sz w:val="20"/>
                <w:szCs w:val="20"/>
              </w:rPr>
              <w:t>% increase</w:t>
            </w:r>
          </w:p>
        </w:tc>
        <w:tc>
          <w:tcPr>
            <w:tcW w:w="1350" w:type="dxa"/>
            <w:tcBorders>
              <w:bottom w:val="single" w:sz="4" w:space="0" w:color="auto"/>
            </w:tcBorders>
            <w:shd w:val="clear" w:color="auto" w:fill="auto"/>
          </w:tcPr>
          <w:p w14:paraId="28838872" w14:textId="77777777" w:rsidR="0080543D" w:rsidRPr="0080543D" w:rsidRDefault="0080543D" w:rsidP="0080543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rPr>
            </w:pPr>
            <w:r w:rsidRPr="0080543D">
              <w:rPr>
                <w:rFonts w:ascii="Times New Roman" w:eastAsia="Calibri" w:hAnsi="Times New Roman" w:cs="Times New Roman"/>
                <w:b/>
                <w:sz w:val="20"/>
                <w:szCs w:val="20"/>
              </w:rPr>
              <w:t>Localised → Regional</w:t>
            </w:r>
          </w:p>
        </w:tc>
        <w:tc>
          <w:tcPr>
            <w:tcW w:w="1350" w:type="dxa"/>
            <w:tcBorders>
              <w:bottom w:val="single" w:sz="4" w:space="0" w:color="auto"/>
            </w:tcBorders>
            <w:shd w:val="clear" w:color="auto" w:fill="auto"/>
          </w:tcPr>
          <w:p w14:paraId="59163755" w14:textId="77777777" w:rsidR="0080543D" w:rsidRPr="0080543D" w:rsidRDefault="0080543D" w:rsidP="0080543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rPr>
            </w:pPr>
            <w:r w:rsidRPr="0080543D">
              <w:rPr>
                <w:rFonts w:ascii="Times New Roman" w:eastAsia="Calibri" w:hAnsi="Times New Roman" w:cs="Times New Roman"/>
                <w:b/>
                <w:sz w:val="20"/>
                <w:szCs w:val="20"/>
              </w:rPr>
              <w:t>Regional → distant</w:t>
            </w:r>
          </w:p>
        </w:tc>
        <w:tc>
          <w:tcPr>
            <w:tcW w:w="2340" w:type="dxa"/>
            <w:vMerge/>
            <w:tcBorders>
              <w:bottom w:val="single" w:sz="4" w:space="0" w:color="auto"/>
            </w:tcBorders>
            <w:shd w:val="clear" w:color="auto" w:fill="auto"/>
          </w:tcPr>
          <w:p w14:paraId="4455A161" w14:textId="77777777" w:rsidR="0080543D" w:rsidRPr="0080543D" w:rsidRDefault="0080543D" w:rsidP="0080543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rPr>
            </w:pPr>
          </w:p>
        </w:tc>
      </w:tr>
      <w:tr w:rsidR="0080543D" w:rsidRPr="0080543D" w14:paraId="6B86841D" w14:textId="77777777" w:rsidTr="003F17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1" w:type="dxa"/>
            <w:tcBorders>
              <w:top w:val="single" w:sz="4" w:space="0" w:color="auto"/>
            </w:tcBorders>
            <w:shd w:val="clear" w:color="auto" w:fill="auto"/>
          </w:tcPr>
          <w:p w14:paraId="015D417F" w14:textId="77777777" w:rsidR="0080543D" w:rsidRPr="0080543D" w:rsidRDefault="0080543D" w:rsidP="0080543D">
            <w:pPr>
              <w:tabs>
                <w:tab w:val="left" w:pos="1736"/>
              </w:tabs>
              <w:rPr>
                <w:rFonts w:ascii="Times New Roman" w:eastAsia="Calibri" w:hAnsi="Times New Roman" w:cs="Times New Roman"/>
                <w:bCs/>
                <w:sz w:val="20"/>
                <w:szCs w:val="20"/>
              </w:rPr>
            </w:pPr>
            <w:r w:rsidRPr="0080543D">
              <w:rPr>
                <w:rFonts w:ascii="Times New Roman" w:eastAsia="Calibri" w:hAnsi="Times New Roman" w:cs="Times New Roman"/>
                <w:bCs/>
                <w:sz w:val="20"/>
                <w:szCs w:val="20"/>
              </w:rPr>
              <w:t>No disruption</w:t>
            </w:r>
          </w:p>
        </w:tc>
        <w:tc>
          <w:tcPr>
            <w:tcW w:w="676" w:type="dxa"/>
            <w:tcBorders>
              <w:top w:val="single" w:sz="4" w:space="0" w:color="auto"/>
            </w:tcBorders>
            <w:shd w:val="clear" w:color="auto" w:fill="auto"/>
          </w:tcPr>
          <w:p w14:paraId="71A64E92" w14:textId="77777777" w:rsidR="0080543D" w:rsidRPr="0080543D" w:rsidRDefault="0080543D" w:rsidP="0080543D">
            <w:pPr>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bCs/>
                <w:sz w:val="20"/>
                <w:szCs w:val="20"/>
              </w:rPr>
            </w:pPr>
            <w:r w:rsidRPr="0080543D">
              <w:rPr>
                <w:rFonts w:ascii="Times New Roman" w:eastAsia="Calibri" w:hAnsi="Times New Roman" w:cs="Times New Roman"/>
                <w:bCs/>
                <w:sz w:val="20"/>
                <w:szCs w:val="20"/>
              </w:rPr>
              <w:t>1,878</w:t>
            </w:r>
          </w:p>
        </w:tc>
        <w:tc>
          <w:tcPr>
            <w:tcW w:w="1418" w:type="dxa"/>
            <w:tcBorders>
              <w:top w:val="single" w:sz="4" w:space="0" w:color="auto"/>
            </w:tcBorders>
            <w:shd w:val="clear" w:color="auto" w:fill="auto"/>
          </w:tcPr>
          <w:p w14:paraId="1421220A" w14:textId="77777777" w:rsidR="0080543D" w:rsidRPr="0080543D" w:rsidRDefault="0080543D" w:rsidP="0080543D">
            <w:pPr>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bCs/>
                <w:sz w:val="20"/>
                <w:szCs w:val="20"/>
              </w:rPr>
            </w:pPr>
            <w:r w:rsidRPr="0080543D">
              <w:rPr>
                <w:rFonts w:ascii="Times New Roman" w:eastAsia="Calibri" w:hAnsi="Times New Roman" w:cs="Times New Roman"/>
                <w:bCs/>
                <w:sz w:val="20"/>
                <w:szCs w:val="20"/>
              </w:rPr>
              <w:t>n/a</w:t>
            </w:r>
          </w:p>
        </w:tc>
        <w:tc>
          <w:tcPr>
            <w:tcW w:w="1350" w:type="dxa"/>
            <w:tcBorders>
              <w:top w:val="single" w:sz="4" w:space="0" w:color="auto"/>
            </w:tcBorders>
            <w:shd w:val="clear" w:color="auto" w:fill="auto"/>
          </w:tcPr>
          <w:p w14:paraId="5623A755" w14:textId="77777777" w:rsidR="0080543D" w:rsidRPr="0080543D" w:rsidRDefault="0080543D" w:rsidP="0080543D">
            <w:pPr>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bCs/>
                <w:sz w:val="20"/>
                <w:szCs w:val="20"/>
              </w:rPr>
            </w:pPr>
            <w:r w:rsidRPr="0080543D">
              <w:rPr>
                <w:rFonts w:ascii="Times New Roman" w:eastAsia="Calibri" w:hAnsi="Times New Roman" w:cs="Times New Roman"/>
                <w:bCs/>
                <w:sz w:val="20"/>
                <w:szCs w:val="20"/>
              </w:rPr>
              <w:t>n/a</w:t>
            </w:r>
          </w:p>
        </w:tc>
        <w:tc>
          <w:tcPr>
            <w:tcW w:w="1350" w:type="dxa"/>
            <w:tcBorders>
              <w:top w:val="single" w:sz="4" w:space="0" w:color="auto"/>
            </w:tcBorders>
            <w:shd w:val="clear" w:color="auto" w:fill="auto"/>
          </w:tcPr>
          <w:p w14:paraId="30D74F95" w14:textId="77777777" w:rsidR="0080543D" w:rsidRPr="0080543D" w:rsidRDefault="0080543D" w:rsidP="0080543D">
            <w:pPr>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bCs/>
                <w:sz w:val="20"/>
                <w:szCs w:val="20"/>
              </w:rPr>
            </w:pPr>
            <w:r w:rsidRPr="0080543D">
              <w:rPr>
                <w:rFonts w:ascii="Times New Roman" w:eastAsia="Calibri" w:hAnsi="Times New Roman" w:cs="Times New Roman"/>
                <w:bCs/>
                <w:sz w:val="20"/>
                <w:szCs w:val="20"/>
              </w:rPr>
              <w:t>n/a</w:t>
            </w:r>
          </w:p>
        </w:tc>
        <w:tc>
          <w:tcPr>
            <w:tcW w:w="2340" w:type="dxa"/>
            <w:tcBorders>
              <w:top w:val="single" w:sz="4" w:space="0" w:color="auto"/>
            </w:tcBorders>
            <w:shd w:val="clear" w:color="auto" w:fill="auto"/>
          </w:tcPr>
          <w:p w14:paraId="4F14C997" w14:textId="77777777" w:rsidR="0080543D" w:rsidRPr="0080543D" w:rsidRDefault="0080543D" w:rsidP="0080543D">
            <w:pPr>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bCs/>
                <w:sz w:val="20"/>
                <w:szCs w:val="20"/>
              </w:rPr>
            </w:pPr>
            <w:r w:rsidRPr="0080543D">
              <w:rPr>
                <w:rFonts w:ascii="Times New Roman" w:eastAsia="Calibri" w:hAnsi="Times New Roman" w:cs="Times New Roman"/>
                <w:bCs/>
                <w:sz w:val="20"/>
                <w:szCs w:val="20"/>
              </w:rPr>
              <w:t>n/a</w:t>
            </w:r>
          </w:p>
        </w:tc>
      </w:tr>
      <w:tr w:rsidR="0080543D" w:rsidRPr="0080543D" w14:paraId="1D69721F" w14:textId="77777777" w:rsidTr="003F17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1" w:type="dxa"/>
            <w:shd w:val="clear" w:color="auto" w:fill="auto"/>
          </w:tcPr>
          <w:p w14:paraId="228739B5" w14:textId="77777777" w:rsidR="0080543D" w:rsidRPr="0080543D" w:rsidRDefault="0080543D" w:rsidP="0080543D">
            <w:pPr>
              <w:rPr>
                <w:rFonts w:ascii="Times New Roman" w:eastAsia="Calibri" w:hAnsi="Times New Roman" w:cs="Times New Roman"/>
                <w:bCs/>
                <w:sz w:val="20"/>
                <w:szCs w:val="20"/>
              </w:rPr>
            </w:pPr>
            <w:r w:rsidRPr="0080543D">
              <w:rPr>
                <w:rFonts w:ascii="Times New Roman" w:eastAsia="Calibri" w:hAnsi="Times New Roman" w:cs="Times New Roman"/>
                <w:bCs/>
                <w:sz w:val="20"/>
                <w:szCs w:val="20"/>
              </w:rPr>
              <w:t>S1: 12m 95% ↓</w:t>
            </w:r>
          </w:p>
        </w:tc>
        <w:tc>
          <w:tcPr>
            <w:tcW w:w="676" w:type="dxa"/>
            <w:shd w:val="clear" w:color="auto" w:fill="auto"/>
          </w:tcPr>
          <w:p w14:paraId="38BDA142" w14:textId="77777777" w:rsidR="0080543D" w:rsidRPr="0080543D" w:rsidRDefault="0080543D" w:rsidP="0080543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0"/>
                <w:szCs w:val="20"/>
              </w:rPr>
            </w:pPr>
            <w:r w:rsidRPr="0080543D">
              <w:rPr>
                <w:rFonts w:ascii="Times New Roman" w:eastAsia="Calibri" w:hAnsi="Times New Roman" w:cs="Times New Roman"/>
                <w:bCs/>
                <w:sz w:val="20"/>
                <w:szCs w:val="20"/>
              </w:rPr>
              <w:t>69</w:t>
            </w:r>
          </w:p>
        </w:tc>
        <w:tc>
          <w:tcPr>
            <w:tcW w:w="1418" w:type="dxa"/>
            <w:shd w:val="clear" w:color="auto" w:fill="auto"/>
          </w:tcPr>
          <w:p w14:paraId="5DE025E9" w14:textId="77777777" w:rsidR="0080543D" w:rsidRPr="0080543D" w:rsidRDefault="0080543D" w:rsidP="0080543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0"/>
                <w:szCs w:val="20"/>
              </w:rPr>
            </w:pPr>
            <w:r w:rsidRPr="0080543D">
              <w:rPr>
                <w:rFonts w:ascii="Times New Roman" w:eastAsia="Calibri" w:hAnsi="Times New Roman" w:cs="Times New Roman"/>
                <w:bCs/>
                <w:sz w:val="20"/>
                <w:szCs w:val="20"/>
              </w:rPr>
              <w:t>3.6%</w:t>
            </w:r>
          </w:p>
        </w:tc>
        <w:tc>
          <w:tcPr>
            <w:tcW w:w="1350" w:type="dxa"/>
            <w:shd w:val="clear" w:color="auto" w:fill="auto"/>
          </w:tcPr>
          <w:p w14:paraId="7B1B39AD" w14:textId="77777777" w:rsidR="0080543D" w:rsidRPr="0080543D" w:rsidRDefault="0080543D" w:rsidP="0080543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0"/>
                <w:szCs w:val="20"/>
              </w:rPr>
            </w:pPr>
            <w:r w:rsidRPr="0080543D">
              <w:rPr>
                <w:rFonts w:ascii="Times New Roman" w:eastAsia="Calibri" w:hAnsi="Times New Roman" w:cs="Times New Roman"/>
                <w:bCs/>
                <w:sz w:val="20"/>
                <w:szCs w:val="20"/>
              </w:rPr>
              <w:t>18</w:t>
            </w:r>
          </w:p>
        </w:tc>
        <w:tc>
          <w:tcPr>
            <w:tcW w:w="1350" w:type="dxa"/>
            <w:shd w:val="clear" w:color="auto" w:fill="auto"/>
          </w:tcPr>
          <w:p w14:paraId="5E80A07A" w14:textId="77777777" w:rsidR="0080543D" w:rsidRPr="0080543D" w:rsidRDefault="0080543D" w:rsidP="0080543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0"/>
                <w:szCs w:val="20"/>
              </w:rPr>
            </w:pPr>
            <w:r w:rsidRPr="0080543D">
              <w:rPr>
                <w:rFonts w:ascii="Times New Roman" w:eastAsia="Calibri" w:hAnsi="Times New Roman" w:cs="Times New Roman"/>
                <w:bCs/>
                <w:sz w:val="20"/>
                <w:szCs w:val="20"/>
              </w:rPr>
              <w:t>9</w:t>
            </w:r>
          </w:p>
        </w:tc>
        <w:tc>
          <w:tcPr>
            <w:tcW w:w="2340" w:type="dxa"/>
            <w:shd w:val="clear" w:color="auto" w:fill="auto"/>
          </w:tcPr>
          <w:p w14:paraId="07994144" w14:textId="77777777" w:rsidR="0080543D" w:rsidRPr="0080543D" w:rsidRDefault="0080543D" w:rsidP="0080543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0"/>
                <w:szCs w:val="20"/>
              </w:rPr>
            </w:pPr>
            <w:r w:rsidRPr="0080543D">
              <w:rPr>
                <w:rFonts w:ascii="Times New Roman" w:eastAsia="Calibri" w:hAnsi="Times New Roman" w:cs="Times New Roman"/>
                <w:bCs/>
                <w:sz w:val="20"/>
                <w:szCs w:val="20"/>
              </w:rPr>
              <w:t>20</w:t>
            </w:r>
          </w:p>
        </w:tc>
      </w:tr>
      <w:tr w:rsidR="0080543D" w:rsidRPr="0080543D" w14:paraId="58291281" w14:textId="77777777" w:rsidTr="003F17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1" w:type="dxa"/>
            <w:shd w:val="clear" w:color="auto" w:fill="auto"/>
          </w:tcPr>
          <w:p w14:paraId="714BCD60" w14:textId="77777777" w:rsidR="0080543D" w:rsidRPr="0080543D" w:rsidRDefault="0080543D" w:rsidP="0080543D">
            <w:pPr>
              <w:rPr>
                <w:rFonts w:ascii="Times New Roman" w:eastAsia="Calibri" w:hAnsi="Times New Roman" w:cs="Times New Roman"/>
                <w:bCs/>
                <w:sz w:val="20"/>
                <w:szCs w:val="20"/>
              </w:rPr>
            </w:pPr>
            <w:r w:rsidRPr="0080543D">
              <w:rPr>
                <w:rFonts w:ascii="Times New Roman" w:eastAsia="Calibri" w:hAnsi="Times New Roman" w:cs="Times New Roman"/>
                <w:bCs/>
                <w:sz w:val="20"/>
                <w:szCs w:val="20"/>
              </w:rPr>
              <w:t>S2: 9m 75% ↓</w:t>
            </w:r>
          </w:p>
        </w:tc>
        <w:tc>
          <w:tcPr>
            <w:tcW w:w="676" w:type="dxa"/>
            <w:shd w:val="clear" w:color="auto" w:fill="auto"/>
          </w:tcPr>
          <w:p w14:paraId="0412CBF9" w14:textId="77777777" w:rsidR="0080543D" w:rsidRPr="0080543D" w:rsidRDefault="0080543D" w:rsidP="0080543D">
            <w:pPr>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bCs/>
                <w:sz w:val="20"/>
                <w:szCs w:val="20"/>
              </w:rPr>
            </w:pPr>
            <w:r w:rsidRPr="0080543D">
              <w:rPr>
                <w:rFonts w:ascii="Times New Roman" w:eastAsia="Calibri" w:hAnsi="Times New Roman" w:cs="Times New Roman"/>
                <w:bCs/>
                <w:sz w:val="20"/>
                <w:szCs w:val="20"/>
              </w:rPr>
              <w:t>34</w:t>
            </w:r>
          </w:p>
        </w:tc>
        <w:tc>
          <w:tcPr>
            <w:tcW w:w="1418" w:type="dxa"/>
            <w:shd w:val="clear" w:color="auto" w:fill="auto"/>
          </w:tcPr>
          <w:p w14:paraId="6027B8BE" w14:textId="77777777" w:rsidR="0080543D" w:rsidRPr="0080543D" w:rsidRDefault="0080543D" w:rsidP="0080543D">
            <w:pPr>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bCs/>
                <w:sz w:val="20"/>
                <w:szCs w:val="20"/>
              </w:rPr>
            </w:pPr>
            <w:r w:rsidRPr="0080543D">
              <w:rPr>
                <w:rFonts w:ascii="Times New Roman" w:eastAsia="Calibri" w:hAnsi="Times New Roman" w:cs="Times New Roman"/>
                <w:bCs/>
                <w:sz w:val="20"/>
                <w:szCs w:val="20"/>
              </w:rPr>
              <w:t>1.8%</w:t>
            </w:r>
          </w:p>
        </w:tc>
        <w:tc>
          <w:tcPr>
            <w:tcW w:w="1350" w:type="dxa"/>
            <w:shd w:val="clear" w:color="auto" w:fill="auto"/>
          </w:tcPr>
          <w:p w14:paraId="6EE72E15" w14:textId="77777777" w:rsidR="0080543D" w:rsidRPr="0080543D" w:rsidRDefault="0080543D" w:rsidP="0080543D">
            <w:pPr>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bCs/>
                <w:sz w:val="20"/>
                <w:szCs w:val="20"/>
              </w:rPr>
            </w:pPr>
            <w:r w:rsidRPr="0080543D">
              <w:rPr>
                <w:rFonts w:ascii="Times New Roman" w:eastAsia="Calibri" w:hAnsi="Times New Roman" w:cs="Times New Roman"/>
                <w:bCs/>
                <w:sz w:val="20"/>
                <w:szCs w:val="20"/>
              </w:rPr>
              <w:t>8</w:t>
            </w:r>
          </w:p>
        </w:tc>
        <w:tc>
          <w:tcPr>
            <w:tcW w:w="1350" w:type="dxa"/>
            <w:shd w:val="clear" w:color="auto" w:fill="auto"/>
          </w:tcPr>
          <w:p w14:paraId="35DFCC66" w14:textId="77777777" w:rsidR="0080543D" w:rsidRPr="0080543D" w:rsidRDefault="0080543D" w:rsidP="0080543D">
            <w:pPr>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bCs/>
                <w:sz w:val="20"/>
                <w:szCs w:val="20"/>
              </w:rPr>
            </w:pPr>
            <w:r w:rsidRPr="0080543D">
              <w:rPr>
                <w:rFonts w:ascii="Times New Roman" w:eastAsia="Calibri" w:hAnsi="Times New Roman" w:cs="Times New Roman"/>
                <w:bCs/>
                <w:sz w:val="20"/>
                <w:szCs w:val="20"/>
              </w:rPr>
              <w:t>4</w:t>
            </w:r>
          </w:p>
        </w:tc>
        <w:tc>
          <w:tcPr>
            <w:tcW w:w="2340" w:type="dxa"/>
            <w:shd w:val="clear" w:color="auto" w:fill="auto"/>
          </w:tcPr>
          <w:p w14:paraId="65B126C4" w14:textId="77777777" w:rsidR="0080543D" w:rsidRPr="0080543D" w:rsidRDefault="0080543D" w:rsidP="0080543D">
            <w:pPr>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bCs/>
                <w:sz w:val="20"/>
                <w:szCs w:val="20"/>
              </w:rPr>
            </w:pPr>
            <w:r w:rsidRPr="0080543D">
              <w:rPr>
                <w:rFonts w:ascii="Times New Roman" w:eastAsia="Calibri" w:hAnsi="Times New Roman" w:cs="Times New Roman"/>
                <w:bCs/>
                <w:sz w:val="20"/>
                <w:szCs w:val="20"/>
              </w:rPr>
              <w:t>9</w:t>
            </w:r>
          </w:p>
        </w:tc>
      </w:tr>
      <w:tr w:rsidR="0080543D" w:rsidRPr="0080543D" w14:paraId="63588B15" w14:textId="77777777" w:rsidTr="003F17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1" w:type="dxa"/>
            <w:tcBorders>
              <w:bottom w:val="single" w:sz="4" w:space="0" w:color="auto"/>
            </w:tcBorders>
            <w:shd w:val="clear" w:color="auto" w:fill="auto"/>
          </w:tcPr>
          <w:p w14:paraId="3AB7CEE2" w14:textId="77777777" w:rsidR="0080543D" w:rsidRPr="0080543D" w:rsidRDefault="0080543D" w:rsidP="0080543D">
            <w:pPr>
              <w:rPr>
                <w:rFonts w:ascii="Times New Roman" w:eastAsia="Calibri" w:hAnsi="Times New Roman" w:cs="Times New Roman"/>
                <w:bCs/>
                <w:sz w:val="20"/>
                <w:szCs w:val="20"/>
              </w:rPr>
            </w:pPr>
            <w:r w:rsidRPr="0080543D">
              <w:rPr>
                <w:rFonts w:ascii="Times New Roman" w:eastAsia="Calibri" w:hAnsi="Times New Roman" w:cs="Times New Roman"/>
                <w:bCs/>
                <w:sz w:val="20"/>
                <w:szCs w:val="20"/>
              </w:rPr>
              <w:t>S3: 6m 50% ↓</w:t>
            </w:r>
          </w:p>
        </w:tc>
        <w:tc>
          <w:tcPr>
            <w:tcW w:w="676" w:type="dxa"/>
            <w:tcBorders>
              <w:bottom w:val="single" w:sz="4" w:space="0" w:color="auto"/>
            </w:tcBorders>
            <w:shd w:val="clear" w:color="auto" w:fill="auto"/>
          </w:tcPr>
          <w:p w14:paraId="38887CC8" w14:textId="77777777" w:rsidR="0080543D" w:rsidRPr="0080543D" w:rsidRDefault="0080543D" w:rsidP="0080543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0"/>
                <w:szCs w:val="20"/>
              </w:rPr>
            </w:pPr>
            <w:r w:rsidRPr="0080543D">
              <w:rPr>
                <w:rFonts w:ascii="Times New Roman" w:eastAsia="Calibri" w:hAnsi="Times New Roman" w:cs="Times New Roman"/>
                <w:bCs/>
                <w:sz w:val="20"/>
                <w:szCs w:val="20"/>
              </w:rPr>
              <w:t>21</w:t>
            </w:r>
          </w:p>
        </w:tc>
        <w:tc>
          <w:tcPr>
            <w:tcW w:w="1418" w:type="dxa"/>
            <w:tcBorders>
              <w:bottom w:val="single" w:sz="4" w:space="0" w:color="auto"/>
            </w:tcBorders>
            <w:shd w:val="clear" w:color="auto" w:fill="auto"/>
          </w:tcPr>
          <w:p w14:paraId="6727E5D6" w14:textId="77777777" w:rsidR="0080543D" w:rsidRPr="0080543D" w:rsidRDefault="0080543D" w:rsidP="0080543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0"/>
                <w:szCs w:val="20"/>
              </w:rPr>
            </w:pPr>
            <w:r w:rsidRPr="0080543D">
              <w:rPr>
                <w:rFonts w:ascii="Times New Roman" w:eastAsia="Calibri" w:hAnsi="Times New Roman" w:cs="Times New Roman"/>
                <w:bCs/>
                <w:sz w:val="20"/>
                <w:szCs w:val="20"/>
              </w:rPr>
              <w:t>1.1%</w:t>
            </w:r>
          </w:p>
        </w:tc>
        <w:tc>
          <w:tcPr>
            <w:tcW w:w="1350" w:type="dxa"/>
            <w:tcBorders>
              <w:bottom w:val="single" w:sz="4" w:space="0" w:color="auto"/>
            </w:tcBorders>
            <w:shd w:val="clear" w:color="auto" w:fill="auto"/>
          </w:tcPr>
          <w:p w14:paraId="00A93324" w14:textId="77777777" w:rsidR="0080543D" w:rsidRPr="0080543D" w:rsidRDefault="0080543D" w:rsidP="0080543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0"/>
                <w:szCs w:val="20"/>
              </w:rPr>
            </w:pPr>
            <w:r w:rsidRPr="0080543D">
              <w:rPr>
                <w:rFonts w:ascii="Times New Roman" w:eastAsia="Calibri" w:hAnsi="Times New Roman" w:cs="Times New Roman"/>
                <w:bCs/>
                <w:sz w:val="20"/>
                <w:szCs w:val="20"/>
              </w:rPr>
              <w:t>6</w:t>
            </w:r>
          </w:p>
        </w:tc>
        <w:tc>
          <w:tcPr>
            <w:tcW w:w="1350" w:type="dxa"/>
            <w:tcBorders>
              <w:bottom w:val="single" w:sz="4" w:space="0" w:color="auto"/>
            </w:tcBorders>
            <w:shd w:val="clear" w:color="auto" w:fill="auto"/>
          </w:tcPr>
          <w:p w14:paraId="761B8ADF" w14:textId="77777777" w:rsidR="0080543D" w:rsidRPr="0080543D" w:rsidRDefault="0080543D" w:rsidP="0080543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0"/>
                <w:szCs w:val="20"/>
              </w:rPr>
            </w:pPr>
            <w:r w:rsidRPr="0080543D">
              <w:rPr>
                <w:rFonts w:ascii="Times New Roman" w:eastAsia="Calibri" w:hAnsi="Times New Roman" w:cs="Times New Roman"/>
                <w:bCs/>
                <w:sz w:val="20"/>
                <w:szCs w:val="20"/>
              </w:rPr>
              <w:t>3</w:t>
            </w:r>
          </w:p>
        </w:tc>
        <w:tc>
          <w:tcPr>
            <w:tcW w:w="2340" w:type="dxa"/>
            <w:tcBorders>
              <w:bottom w:val="single" w:sz="4" w:space="0" w:color="auto"/>
            </w:tcBorders>
            <w:shd w:val="clear" w:color="auto" w:fill="auto"/>
          </w:tcPr>
          <w:p w14:paraId="19AB7FF5" w14:textId="77777777" w:rsidR="0080543D" w:rsidRPr="0080543D" w:rsidRDefault="0080543D" w:rsidP="0080543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0"/>
                <w:szCs w:val="20"/>
              </w:rPr>
            </w:pPr>
            <w:r w:rsidRPr="0080543D">
              <w:rPr>
                <w:rFonts w:ascii="Times New Roman" w:eastAsia="Calibri" w:hAnsi="Times New Roman" w:cs="Times New Roman"/>
                <w:bCs/>
                <w:sz w:val="20"/>
                <w:szCs w:val="20"/>
              </w:rPr>
              <w:t>6</w:t>
            </w:r>
          </w:p>
        </w:tc>
      </w:tr>
    </w:tbl>
    <w:p w14:paraId="16E8B916" w14:textId="77777777" w:rsidR="006B24F4" w:rsidRDefault="0080543D" w:rsidP="0080543D">
      <w:pPr>
        <w:spacing w:after="180"/>
        <w:rPr>
          <w:rFonts w:ascii="Times New Roman" w:eastAsia="Calibri" w:hAnsi="Times New Roman" w:cs="Times New Roman"/>
          <w:sz w:val="18"/>
          <w:szCs w:val="18"/>
          <w:lang w:val="en-AU"/>
        </w:rPr>
      </w:pPr>
      <w:r w:rsidRPr="0080543D">
        <w:rPr>
          <w:rFonts w:ascii="Times New Roman" w:eastAsia="Calibri" w:hAnsi="Times New Roman" w:cs="Times New Roman"/>
          <w:sz w:val="18"/>
          <w:szCs w:val="18"/>
          <w:lang w:val="en-AU"/>
        </w:rPr>
        <w:t xml:space="preserve">Includes outcomes in women aged up to 74 years in 2020, who will be aged up to 76 in 2022.  Cancer deaths includes deaths that would be expected to occur outside 2020-2022 but are a result of delayed diagnosis due to the disruption in 2020. </w:t>
      </w:r>
    </w:p>
    <w:p w14:paraId="56DC7D7E" w14:textId="72C1FBE0" w:rsidR="0080543D" w:rsidRPr="0080543D" w:rsidRDefault="0080543D" w:rsidP="0080543D">
      <w:pPr>
        <w:spacing w:after="180"/>
        <w:rPr>
          <w:rFonts w:ascii="Times New Roman" w:eastAsia="Calibri" w:hAnsi="Times New Roman" w:cs="Times New Roman"/>
          <w:sz w:val="18"/>
          <w:szCs w:val="18"/>
          <w:lang w:val="en-AU"/>
        </w:rPr>
      </w:pPr>
      <w:r w:rsidRPr="0080543D">
        <w:rPr>
          <w:rFonts w:ascii="Times New Roman" w:eastAsia="Calibri" w:hAnsi="Times New Roman" w:cs="Times New Roman"/>
          <w:sz w:val="18"/>
          <w:szCs w:val="18"/>
          <w:lang w:val="en-AU"/>
        </w:rPr>
        <w:t xml:space="preserve">* No disruption scenario row shows number expected in that scenario; other rows show difference in relation to the no disruption scenario. Upstaged localised cancers that progressed to regional were calculated by assuming that the number of upstaged cancers is equal to the difference in numbers of diagnosed regional cancers, corrected for the number of regional cancers which were upstaged </w:t>
      </w:r>
      <w:proofErr w:type="gramStart"/>
      <w:r w:rsidRPr="0080543D">
        <w:rPr>
          <w:rFonts w:ascii="Times New Roman" w:eastAsia="Calibri" w:hAnsi="Times New Roman" w:cs="Times New Roman"/>
          <w:sz w:val="18"/>
          <w:szCs w:val="18"/>
          <w:lang w:val="en-AU"/>
        </w:rPr>
        <w:t>to</w:t>
      </w:r>
      <w:proofErr w:type="gramEnd"/>
      <w:r w:rsidRPr="0080543D">
        <w:rPr>
          <w:rFonts w:ascii="Times New Roman" w:eastAsia="Calibri" w:hAnsi="Times New Roman" w:cs="Times New Roman"/>
          <w:sz w:val="18"/>
          <w:szCs w:val="18"/>
          <w:lang w:val="en-AU"/>
        </w:rPr>
        <w:t xml:space="preserve"> distant. Upstaged regional cancers that progressed to distant were calculated by assuming that the number of upstaged cancers is equal to the difference in numbers of diagnosed distant cancers, corrected for the number of distant cancers which resulted in cancer death in the simulated period. Some differences between Tables are due to rounding cases to whole numbers.</w:t>
      </w:r>
    </w:p>
    <w:p w14:paraId="04D3A8FF" w14:textId="4706F722" w:rsidR="00707A91" w:rsidRDefault="00707A91"/>
    <w:p w14:paraId="7143AB8A" w14:textId="6CD1E60B" w:rsidR="00707A91" w:rsidRPr="006B24F4" w:rsidRDefault="00707A91">
      <w:pPr>
        <w:rPr>
          <w:rFonts w:ascii="Times New Roman" w:hAnsi="Times New Roman" w:cs="Times New Roman"/>
          <w:b/>
          <w:bCs/>
          <w:sz w:val="28"/>
          <w:szCs w:val="28"/>
        </w:rPr>
      </w:pPr>
      <w:r w:rsidRPr="006B24F4">
        <w:rPr>
          <w:rFonts w:ascii="Times New Roman" w:hAnsi="Times New Roman" w:cs="Times New Roman"/>
          <w:b/>
          <w:bCs/>
          <w:sz w:val="28"/>
          <w:szCs w:val="28"/>
        </w:rPr>
        <w:t>Supplementary File 1H</w:t>
      </w:r>
    </w:p>
    <w:p w14:paraId="2DEC3A42" w14:textId="0B443F94" w:rsidR="00FB2E74" w:rsidRPr="00FB2E74" w:rsidRDefault="00FB2E74" w:rsidP="2E887C5E">
      <w:pPr>
        <w:keepNext/>
        <w:spacing w:after="200" w:line="240" w:lineRule="auto"/>
        <w:rPr>
          <w:rFonts w:ascii="Times New Roman" w:eastAsia="Calibri" w:hAnsi="Times New Roman" w:cs="Times New Roman"/>
          <w:b/>
          <w:bCs/>
          <w:color w:val="000000" w:themeColor="text1"/>
          <w:sz w:val="20"/>
          <w:szCs w:val="20"/>
          <w:lang w:val="en-AU"/>
        </w:rPr>
      </w:pPr>
      <w:r w:rsidRPr="2E887C5E">
        <w:rPr>
          <w:rFonts w:ascii="Times New Roman" w:eastAsia="Calibri" w:hAnsi="Times New Roman" w:cs="Times New Roman"/>
          <w:b/>
          <w:bCs/>
          <w:color w:val="000000" w:themeColor="text1"/>
          <w:sz w:val="20"/>
          <w:szCs w:val="20"/>
          <w:lang w:val="en-AU"/>
        </w:rPr>
        <w:t>Impact of disruption on number of women expected to attend for a</w:t>
      </w:r>
      <w:r w:rsidR="0A28E38F" w:rsidRPr="2E887C5E">
        <w:rPr>
          <w:rFonts w:ascii="Times New Roman" w:eastAsia="Calibri" w:hAnsi="Times New Roman" w:cs="Times New Roman"/>
          <w:b/>
          <w:bCs/>
          <w:color w:val="000000" w:themeColor="text1"/>
          <w:sz w:val="20"/>
          <w:szCs w:val="20"/>
          <w:lang w:val="en-AU"/>
        </w:rPr>
        <w:t xml:space="preserve">n </w:t>
      </w:r>
      <w:proofErr w:type="spellStart"/>
      <w:r w:rsidR="0A28E38F" w:rsidRPr="2E887C5E">
        <w:rPr>
          <w:rFonts w:ascii="Times New Roman" w:eastAsia="Calibri" w:hAnsi="Times New Roman" w:cs="Times New Roman"/>
          <w:b/>
          <w:bCs/>
          <w:color w:val="000000" w:themeColor="text1"/>
          <w:sz w:val="20"/>
          <w:szCs w:val="20"/>
          <w:lang w:val="en-AU"/>
        </w:rPr>
        <w:t>HPV</w:t>
      </w:r>
      <w:r w:rsidR="7E6D08A7" w:rsidRPr="2E887C5E">
        <w:rPr>
          <w:rFonts w:ascii="Times New Roman" w:eastAsia="Calibri" w:hAnsi="Times New Roman" w:cs="Times New Roman"/>
          <w:b/>
          <w:bCs/>
          <w:color w:val="000000" w:themeColor="text1"/>
          <w:sz w:val="20"/>
          <w:szCs w:val="20"/>
          <w:lang w:val="en-AU"/>
        </w:rPr>
        <w:t>t</w:t>
      </w:r>
      <w:r w:rsidRPr="2E887C5E">
        <w:rPr>
          <w:rFonts w:ascii="Times New Roman" w:eastAsia="Calibri" w:hAnsi="Times New Roman" w:cs="Times New Roman"/>
          <w:b/>
          <w:bCs/>
          <w:color w:val="000000" w:themeColor="text1"/>
          <w:sz w:val="20"/>
          <w:szCs w:val="20"/>
          <w:lang w:val="en-AU"/>
        </w:rPr>
        <w:t>est</w:t>
      </w:r>
      <w:proofErr w:type="spellEnd"/>
      <w:r w:rsidRPr="2E887C5E">
        <w:rPr>
          <w:rFonts w:ascii="Times New Roman" w:eastAsia="Calibri" w:hAnsi="Times New Roman" w:cs="Times New Roman"/>
          <w:b/>
          <w:bCs/>
          <w:color w:val="000000" w:themeColor="text1"/>
          <w:sz w:val="20"/>
          <w:szCs w:val="20"/>
          <w:lang w:val="en-AU"/>
        </w:rPr>
        <w:t xml:space="preserve"> (any purpose)</w:t>
      </w:r>
    </w:p>
    <w:tbl>
      <w:tblPr>
        <w:tblStyle w:val="TableGrid6"/>
        <w:tblW w:w="8888" w:type="dxa"/>
        <w:tblLayout w:type="fixed"/>
        <w:tblLook w:val="04A0" w:firstRow="1" w:lastRow="0" w:firstColumn="1" w:lastColumn="0" w:noHBand="0" w:noVBand="1"/>
      </w:tblPr>
      <w:tblGrid>
        <w:gridCol w:w="1710"/>
        <w:gridCol w:w="1686"/>
        <w:gridCol w:w="2558"/>
        <w:gridCol w:w="1658"/>
        <w:gridCol w:w="1276"/>
      </w:tblGrid>
      <w:tr w:rsidR="00FB2E74" w:rsidRPr="00FB2E74" w14:paraId="6406C745" w14:textId="77777777" w:rsidTr="003F17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Borders>
              <w:top w:val="single" w:sz="4" w:space="0" w:color="auto"/>
              <w:bottom w:val="single" w:sz="8" w:space="0" w:color="FFFFFF"/>
            </w:tcBorders>
            <w:shd w:val="clear" w:color="auto" w:fill="auto"/>
          </w:tcPr>
          <w:p w14:paraId="5A83B9DC" w14:textId="77777777" w:rsidR="00FB2E74" w:rsidRPr="00FB2E74" w:rsidRDefault="00FB2E74" w:rsidP="00FB2E74">
            <w:pPr>
              <w:keepNext/>
              <w:rPr>
                <w:rFonts w:ascii="Times New Roman" w:eastAsia="Calibri" w:hAnsi="Times New Roman" w:cs="Times New Roman"/>
                <w:bCs/>
                <w:sz w:val="20"/>
                <w:szCs w:val="20"/>
              </w:rPr>
            </w:pPr>
            <w:r w:rsidRPr="00FB2E74">
              <w:rPr>
                <w:rFonts w:ascii="Times New Roman" w:eastAsia="Arial" w:hAnsi="Times New Roman" w:cs="Times New Roman"/>
                <w:bCs/>
                <w:sz w:val="20"/>
                <w:szCs w:val="20"/>
              </w:rPr>
              <w:t>Scenario</w:t>
            </w:r>
          </w:p>
        </w:tc>
        <w:tc>
          <w:tcPr>
            <w:tcW w:w="4244" w:type="dxa"/>
            <w:gridSpan w:val="2"/>
            <w:tcBorders>
              <w:top w:val="single" w:sz="4" w:space="0" w:color="auto"/>
              <w:bottom w:val="single" w:sz="8" w:space="0" w:color="FFFFFF"/>
            </w:tcBorders>
            <w:shd w:val="clear" w:color="auto" w:fill="auto"/>
          </w:tcPr>
          <w:p w14:paraId="0A7E1C7E" w14:textId="77777777" w:rsidR="00FB2E74" w:rsidRPr="00FB2E74" w:rsidRDefault="00FB2E74" w:rsidP="00FB2E74">
            <w:pPr>
              <w:keepNext/>
              <w:jc w:val="right"/>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0"/>
              </w:rPr>
            </w:pPr>
            <w:r w:rsidRPr="00FB2E74">
              <w:rPr>
                <w:rFonts w:ascii="Times New Roman" w:eastAsia="Arial" w:hAnsi="Times New Roman" w:cs="Times New Roman"/>
                <w:b/>
                <w:bCs/>
                <w:sz w:val="20"/>
                <w:szCs w:val="20"/>
              </w:rPr>
              <w:t>Women screened/ who missed screening*, 2020</w:t>
            </w:r>
          </w:p>
        </w:tc>
        <w:tc>
          <w:tcPr>
            <w:tcW w:w="2934" w:type="dxa"/>
            <w:gridSpan w:val="2"/>
            <w:tcBorders>
              <w:top w:val="single" w:sz="4" w:space="0" w:color="auto"/>
              <w:bottom w:val="single" w:sz="8" w:space="0" w:color="FFFFFF"/>
            </w:tcBorders>
            <w:shd w:val="clear" w:color="auto" w:fill="auto"/>
          </w:tcPr>
          <w:p w14:paraId="2317D302" w14:textId="77777777" w:rsidR="00FB2E74" w:rsidRPr="00FB2E74" w:rsidRDefault="00FB2E74" w:rsidP="00FB2E74">
            <w:pPr>
              <w:keepNext/>
              <w:jc w:val="right"/>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0"/>
              </w:rPr>
            </w:pPr>
            <w:r w:rsidRPr="00FB2E74">
              <w:rPr>
                <w:rFonts w:ascii="Times New Roman" w:eastAsia="Arial" w:hAnsi="Times New Roman" w:cs="Times New Roman"/>
                <w:b/>
                <w:bCs/>
                <w:sz w:val="20"/>
                <w:szCs w:val="20"/>
              </w:rPr>
              <w:t>Additional women screened</w:t>
            </w:r>
          </w:p>
        </w:tc>
      </w:tr>
      <w:tr w:rsidR="00FB2E74" w:rsidRPr="00FB2E74" w14:paraId="70552EB5" w14:textId="77777777" w:rsidTr="003F17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Borders>
              <w:top w:val="single" w:sz="8" w:space="0" w:color="FFFFFF"/>
              <w:bottom w:val="single" w:sz="4" w:space="0" w:color="auto"/>
            </w:tcBorders>
            <w:shd w:val="clear" w:color="auto" w:fill="auto"/>
          </w:tcPr>
          <w:p w14:paraId="73179035" w14:textId="77777777" w:rsidR="00FB2E74" w:rsidRPr="00FB2E74" w:rsidRDefault="00FB2E74" w:rsidP="00FB2E74">
            <w:pPr>
              <w:keepNext/>
              <w:rPr>
                <w:rFonts w:ascii="Times New Roman" w:eastAsia="Calibri" w:hAnsi="Times New Roman" w:cs="Times New Roman"/>
                <w:bCs/>
                <w:sz w:val="20"/>
                <w:szCs w:val="20"/>
              </w:rPr>
            </w:pPr>
            <w:r w:rsidRPr="00FB2E74">
              <w:rPr>
                <w:rFonts w:ascii="Times New Roman" w:eastAsia="Arial" w:hAnsi="Times New Roman" w:cs="Times New Roman"/>
                <w:bCs/>
                <w:sz w:val="20"/>
                <w:szCs w:val="20"/>
              </w:rPr>
              <w:t xml:space="preserve"> </w:t>
            </w:r>
          </w:p>
        </w:tc>
        <w:tc>
          <w:tcPr>
            <w:tcW w:w="1686" w:type="dxa"/>
            <w:tcBorders>
              <w:top w:val="single" w:sz="8" w:space="0" w:color="FFFFFF"/>
              <w:bottom w:val="single" w:sz="4" w:space="0" w:color="auto"/>
            </w:tcBorders>
            <w:shd w:val="clear" w:color="auto" w:fill="auto"/>
          </w:tcPr>
          <w:p w14:paraId="6A0441E7" w14:textId="77777777" w:rsidR="00FB2E74" w:rsidRPr="00FB2E74" w:rsidRDefault="00FB2E74" w:rsidP="00FB2E74">
            <w:pPr>
              <w:keepNex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0"/>
                <w:szCs w:val="20"/>
              </w:rPr>
            </w:pPr>
            <w:r w:rsidRPr="00FB2E74">
              <w:rPr>
                <w:rFonts w:ascii="Times New Roman" w:eastAsia="Arial" w:hAnsi="Times New Roman" w:cs="Times New Roman"/>
                <w:b/>
                <w:bCs/>
                <w:sz w:val="20"/>
                <w:szCs w:val="20"/>
              </w:rPr>
              <w:t>N</w:t>
            </w:r>
          </w:p>
        </w:tc>
        <w:tc>
          <w:tcPr>
            <w:tcW w:w="2558" w:type="dxa"/>
            <w:tcBorders>
              <w:top w:val="single" w:sz="8" w:space="0" w:color="FFFFFF"/>
              <w:bottom w:val="single" w:sz="4" w:space="0" w:color="auto"/>
            </w:tcBorders>
            <w:shd w:val="clear" w:color="auto" w:fill="auto"/>
          </w:tcPr>
          <w:p w14:paraId="4061367A" w14:textId="77777777" w:rsidR="00FB2E74" w:rsidRPr="00FB2E74" w:rsidRDefault="00FB2E74" w:rsidP="00FB2E74">
            <w:pPr>
              <w:keepNex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0"/>
                <w:szCs w:val="20"/>
              </w:rPr>
            </w:pPr>
            <w:r w:rsidRPr="00FB2E74">
              <w:rPr>
                <w:rFonts w:ascii="Times New Roman" w:eastAsia="Arial" w:hAnsi="Times New Roman" w:cs="Times New Roman"/>
                <w:b/>
                <w:bCs/>
                <w:sz w:val="20"/>
                <w:szCs w:val="20"/>
              </w:rPr>
              <w:t xml:space="preserve">% </w:t>
            </w:r>
          </w:p>
        </w:tc>
        <w:tc>
          <w:tcPr>
            <w:tcW w:w="1658" w:type="dxa"/>
            <w:tcBorders>
              <w:top w:val="single" w:sz="8" w:space="0" w:color="FFFFFF"/>
              <w:bottom w:val="single" w:sz="4" w:space="0" w:color="auto"/>
            </w:tcBorders>
            <w:shd w:val="clear" w:color="auto" w:fill="auto"/>
          </w:tcPr>
          <w:p w14:paraId="6C73ADF3" w14:textId="77777777" w:rsidR="00FB2E74" w:rsidRPr="00FB2E74" w:rsidRDefault="00FB2E74" w:rsidP="00FB2E74">
            <w:pPr>
              <w:keepNex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0"/>
                <w:szCs w:val="20"/>
              </w:rPr>
            </w:pPr>
            <w:r w:rsidRPr="00FB2E74">
              <w:rPr>
                <w:rFonts w:ascii="Times New Roman" w:eastAsia="Arial" w:hAnsi="Times New Roman" w:cs="Times New Roman"/>
                <w:b/>
                <w:bCs/>
                <w:sz w:val="20"/>
                <w:szCs w:val="20"/>
              </w:rPr>
              <w:t>2021</w:t>
            </w:r>
          </w:p>
        </w:tc>
        <w:tc>
          <w:tcPr>
            <w:tcW w:w="1276" w:type="dxa"/>
            <w:tcBorders>
              <w:top w:val="single" w:sz="8" w:space="0" w:color="FFFFFF"/>
              <w:bottom w:val="single" w:sz="4" w:space="0" w:color="auto"/>
            </w:tcBorders>
            <w:shd w:val="clear" w:color="auto" w:fill="auto"/>
          </w:tcPr>
          <w:p w14:paraId="2CE535FE" w14:textId="77777777" w:rsidR="00FB2E74" w:rsidRPr="00FB2E74" w:rsidRDefault="00FB2E74" w:rsidP="00FB2E74">
            <w:pPr>
              <w:keepNex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0"/>
                <w:szCs w:val="20"/>
              </w:rPr>
            </w:pPr>
            <w:r w:rsidRPr="00FB2E74">
              <w:rPr>
                <w:rFonts w:ascii="Times New Roman" w:eastAsia="Arial" w:hAnsi="Times New Roman" w:cs="Times New Roman"/>
                <w:b/>
                <w:bCs/>
                <w:sz w:val="20"/>
                <w:szCs w:val="20"/>
              </w:rPr>
              <w:t>2022</w:t>
            </w:r>
          </w:p>
        </w:tc>
      </w:tr>
      <w:tr w:rsidR="00FB2E74" w:rsidRPr="00FB2E74" w14:paraId="7A62843A" w14:textId="77777777" w:rsidTr="003F17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Borders>
              <w:top w:val="single" w:sz="4" w:space="0" w:color="auto"/>
            </w:tcBorders>
            <w:shd w:val="clear" w:color="auto" w:fill="auto"/>
          </w:tcPr>
          <w:p w14:paraId="0EEDC301" w14:textId="77777777" w:rsidR="00FB2E74" w:rsidRPr="00FB2E74" w:rsidRDefault="00FB2E74" w:rsidP="00FB2E74">
            <w:pPr>
              <w:keepNext/>
              <w:rPr>
                <w:rFonts w:ascii="Times New Roman" w:eastAsia="Calibri" w:hAnsi="Times New Roman" w:cs="Times New Roman"/>
                <w:sz w:val="20"/>
                <w:szCs w:val="20"/>
              </w:rPr>
            </w:pPr>
            <w:r w:rsidRPr="00FB2E74">
              <w:rPr>
                <w:rFonts w:ascii="Times New Roman" w:eastAsia="Arial" w:hAnsi="Times New Roman" w:cs="Times New Roman"/>
                <w:sz w:val="20"/>
                <w:szCs w:val="20"/>
              </w:rPr>
              <w:t>No disruption</w:t>
            </w:r>
          </w:p>
        </w:tc>
        <w:tc>
          <w:tcPr>
            <w:tcW w:w="1686" w:type="dxa"/>
            <w:tcBorders>
              <w:top w:val="single" w:sz="4" w:space="0" w:color="auto"/>
            </w:tcBorders>
            <w:shd w:val="clear" w:color="auto" w:fill="auto"/>
          </w:tcPr>
          <w:p w14:paraId="525EAA8B" w14:textId="77777777" w:rsidR="00FB2E74" w:rsidRPr="00FB2E74" w:rsidRDefault="00FB2E74" w:rsidP="00FB2E74">
            <w:pPr>
              <w:keepNext/>
              <w:jc w:val="right"/>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0"/>
                <w:szCs w:val="20"/>
              </w:rPr>
            </w:pPr>
            <w:r w:rsidRPr="00FB2E74">
              <w:rPr>
                <w:rFonts w:ascii="Times New Roman" w:eastAsia="Arial" w:hAnsi="Times New Roman" w:cs="Times New Roman"/>
                <w:sz w:val="20"/>
                <w:szCs w:val="20"/>
              </w:rPr>
              <w:t>1,413,888</w:t>
            </w:r>
          </w:p>
        </w:tc>
        <w:tc>
          <w:tcPr>
            <w:tcW w:w="2558" w:type="dxa"/>
            <w:tcBorders>
              <w:top w:val="single" w:sz="4" w:space="0" w:color="auto"/>
            </w:tcBorders>
            <w:shd w:val="clear" w:color="auto" w:fill="auto"/>
          </w:tcPr>
          <w:p w14:paraId="14C184A5" w14:textId="77777777" w:rsidR="00FB2E74" w:rsidRPr="00FB2E74" w:rsidRDefault="00FB2E74" w:rsidP="00FB2E74">
            <w:pPr>
              <w:keepNext/>
              <w:jc w:val="right"/>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0"/>
                <w:szCs w:val="20"/>
              </w:rPr>
            </w:pPr>
            <w:r w:rsidRPr="00FB2E74">
              <w:rPr>
                <w:rFonts w:ascii="Times New Roman" w:eastAsia="Arial" w:hAnsi="Times New Roman" w:cs="Times New Roman"/>
                <w:sz w:val="20"/>
                <w:szCs w:val="20"/>
              </w:rPr>
              <w:t xml:space="preserve"> </w:t>
            </w:r>
          </w:p>
        </w:tc>
        <w:tc>
          <w:tcPr>
            <w:tcW w:w="1658" w:type="dxa"/>
            <w:tcBorders>
              <w:top w:val="single" w:sz="4" w:space="0" w:color="auto"/>
            </w:tcBorders>
            <w:shd w:val="clear" w:color="auto" w:fill="auto"/>
          </w:tcPr>
          <w:p w14:paraId="5F0A61DD" w14:textId="77777777" w:rsidR="00FB2E74" w:rsidRPr="00FB2E74" w:rsidRDefault="00FB2E74" w:rsidP="00FB2E74">
            <w:pPr>
              <w:keepNext/>
              <w:jc w:val="right"/>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0"/>
                <w:szCs w:val="20"/>
              </w:rPr>
            </w:pPr>
            <w:r w:rsidRPr="00FB2E74">
              <w:rPr>
                <w:rFonts w:ascii="Times New Roman" w:eastAsia="Arial" w:hAnsi="Times New Roman" w:cs="Times New Roman"/>
                <w:sz w:val="20"/>
                <w:szCs w:val="20"/>
              </w:rPr>
              <w:t>n/a</w:t>
            </w:r>
          </w:p>
        </w:tc>
        <w:tc>
          <w:tcPr>
            <w:tcW w:w="1276" w:type="dxa"/>
            <w:tcBorders>
              <w:top w:val="single" w:sz="4" w:space="0" w:color="auto"/>
            </w:tcBorders>
            <w:shd w:val="clear" w:color="auto" w:fill="auto"/>
          </w:tcPr>
          <w:p w14:paraId="2C5956C5" w14:textId="77777777" w:rsidR="00FB2E74" w:rsidRPr="00FB2E74" w:rsidRDefault="00FB2E74" w:rsidP="00FB2E74">
            <w:pPr>
              <w:keepNext/>
              <w:jc w:val="right"/>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0"/>
                <w:szCs w:val="20"/>
              </w:rPr>
            </w:pPr>
            <w:r w:rsidRPr="00FB2E74">
              <w:rPr>
                <w:rFonts w:ascii="Times New Roman" w:eastAsia="Arial" w:hAnsi="Times New Roman" w:cs="Times New Roman"/>
                <w:sz w:val="20"/>
                <w:szCs w:val="20"/>
              </w:rPr>
              <w:t>n/a</w:t>
            </w:r>
          </w:p>
        </w:tc>
      </w:tr>
      <w:tr w:rsidR="00FB2E74" w:rsidRPr="00FB2E74" w14:paraId="44F33607" w14:textId="77777777" w:rsidTr="003F17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shd w:val="clear" w:color="auto" w:fill="auto"/>
          </w:tcPr>
          <w:p w14:paraId="30779BE8" w14:textId="77777777" w:rsidR="00FB2E74" w:rsidRPr="00FB2E74" w:rsidRDefault="00FB2E74" w:rsidP="00FB2E74">
            <w:pPr>
              <w:keepNext/>
              <w:rPr>
                <w:rFonts w:ascii="Times New Roman" w:eastAsia="Calibri" w:hAnsi="Times New Roman" w:cs="Times New Roman"/>
                <w:sz w:val="20"/>
                <w:szCs w:val="20"/>
              </w:rPr>
            </w:pPr>
            <w:r w:rsidRPr="00FB2E74">
              <w:rPr>
                <w:rFonts w:ascii="Times New Roman" w:eastAsia="Arial" w:hAnsi="Times New Roman" w:cs="Times New Roman"/>
                <w:sz w:val="20"/>
                <w:szCs w:val="20"/>
              </w:rPr>
              <w:t>S1: 12m 95% ↓</w:t>
            </w:r>
          </w:p>
        </w:tc>
        <w:tc>
          <w:tcPr>
            <w:tcW w:w="1686" w:type="dxa"/>
            <w:shd w:val="clear" w:color="auto" w:fill="auto"/>
          </w:tcPr>
          <w:p w14:paraId="77A4F06A" w14:textId="77777777" w:rsidR="00FB2E74" w:rsidRPr="00FB2E74" w:rsidRDefault="00FB2E74" w:rsidP="00FB2E74">
            <w:pPr>
              <w:keepNex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B2E74">
              <w:rPr>
                <w:rFonts w:ascii="Times New Roman" w:eastAsia="Arial" w:hAnsi="Times New Roman" w:cs="Times New Roman"/>
                <w:sz w:val="20"/>
                <w:szCs w:val="20"/>
              </w:rPr>
              <w:t>1,027,437</w:t>
            </w:r>
          </w:p>
        </w:tc>
        <w:tc>
          <w:tcPr>
            <w:tcW w:w="2558" w:type="dxa"/>
            <w:shd w:val="clear" w:color="auto" w:fill="auto"/>
          </w:tcPr>
          <w:p w14:paraId="0DA80A3F" w14:textId="77777777" w:rsidR="00FB2E74" w:rsidRPr="00FB2E74" w:rsidRDefault="00FB2E74" w:rsidP="00FB2E74">
            <w:pPr>
              <w:keepNex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B2E74">
              <w:rPr>
                <w:rFonts w:ascii="Times New Roman" w:eastAsia="Arial" w:hAnsi="Times New Roman" w:cs="Times New Roman"/>
                <w:sz w:val="20"/>
                <w:szCs w:val="20"/>
              </w:rPr>
              <w:t>72.7%</w:t>
            </w:r>
          </w:p>
        </w:tc>
        <w:tc>
          <w:tcPr>
            <w:tcW w:w="1658" w:type="dxa"/>
            <w:shd w:val="clear" w:color="auto" w:fill="auto"/>
          </w:tcPr>
          <w:p w14:paraId="029DD08F" w14:textId="77777777" w:rsidR="00FB2E74" w:rsidRPr="00FB2E74" w:rsidRDefault="00FB2E74" w:rsidP="00FB2E74">
            <w:pPr>
              <w:keepNex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B2E74">
              <w:rPr>
                <w:rFonts w:ascii="Times New Roman" w:eastAsia="Arial" w:hAnsi="Times New Roman" w:cs="Times New Roman"/>
                <w:sz w:val="20"/>
                <w:szCs w:val="20"/>
              </w:rPr>
              <w:t>407,077</w:t>
            </w:r>
          </w:p>
        </w:tc>
        <w:tc>
          <w:tcPr>
            <w:tcW w:w="1276" w:type="dxa"/>
            <w:shd w:val="clear" w:color="auto" w:fill="auto"/>
          </w:tcPr>
          <w:p w14:paraId="7B569DDE" w14:textId="77777777" w:rsidR="00FB2E74" w:rsidRPr="00FB2E74" w:rsidRDefault="00FB2E74" w:rsidP="00FB2E74">
            <w:pPr>
              <w:keepNex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B2E74">
              <w:rPr>
                <w:rFonts w:ascii="Times New Roman" w:eastAsia="Arial" w:hAnsi="Times New Roman" w:cs="Times New Roman"/>
                <w:sz w:val="20"/>
                <w:szCs w:val="20"/>
              </w:rPr>
              <w:t>479,226</w:t>
            </w:r>
          </w:p>
        </w:tc>
      </w:tr>
      <w:tr w:rsidR="00FB2E74" w:rsidRPr="00FB2E74" w14:paraId="1E3AB796" w14:textId="77777777" w:rsidTr="003F17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Borders>
              <w:bottom w:val="single" w:sz="8" w:space="0" w:color="FFFFFF"/>
            </w:tcBorders>
            <w:shd w:val="clear" w:color="auto" w:fill="auto"/>
          </w:tcPr>
          <w:p w14:paraId="416C75FF" w14:textId="77777777" w:rsidR="00FB2E74" w:rsidRPr="00FB2E74" w:rsidRDefault="00FB2E74" w:rsidP="00FB2E74">
            <w:pPr>
              <w:keepNext/>
              <w:rPr>
                <w:rFonts w:ascii="Times New Roman" w:eastAsia="Calibri" w:hAnsi="Times New Roman" w:cs="Times New Roman"/>
                <w:sz w:val="20"/>
                <w:szCs w:val="20"/>
              </w:rPr>
            </w:pPr>
            <w:r w:rsidRPr="00FB2E74">
              <w:rPr>
                <w:rFonts w:ascii="Times New Roman" w:eastAsia="Arial" w:hAnsi="Times New Roman" w:cs="Times New Roman"/>
                <w:sz w:val="20"/>
                <w:szCs w:val="20"/>
              </w:rPr>
              <w:t>S2: 9m 75% ↓</w:t>
            </w:r>
          </w:p>
        </w:tc>
        <w:tc>
          <w:tcPr>
            <w:tcW w:w="1686" w:type="dxa"/>
            <w:tcBorders>
              <w:bottom w:val="single" w:sz="8" w:space="0" w:color="FFFFFF"/>
            </w:tcBorders>
            <w:shd w:val="clear" w:color="auto" w:fill="auto"/>
          </w:tcPr>
          <w:p w14:paraId="78F78E1A" w14:textId="77777777" w:rsidR="00FB2E74" w:rsidRPr="00FB2E74" w:rsidRDefault="00FB2E74" w:rsidP="00FB2E74">
            <w:pPr>
              <w:keepNext/>
              <w:jc w:val="right"/>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0"/>
                <w:szCs w:val="20"/>
              </w:rPr>
            </w:pPr>
            <w:r w:rsidRPr="00FB2E74">
              <w:rPr>
                <w:rFonts w:ascii="Times New Roman" w:eastAsia="Arial" w:hAnsi="Times New Roman" w:cs="Times New Roman"/>
                <w:sz w:val="20"/>
                <w:szCs w:val="20"/>
              </w:rPr>
              <w:t>608,351</w:t>
            </w:r>
          </w:p>
        </w:tc>
        <w:tc>
          <w:tcPr>
            <w:tcW w:w="2558" w:type="dxa"/>
            <w:tcBorders>
              <w:bottom w:val="single" w:sz="8" w:space="0" w:color="FFFFFF"/>
            </w:tcBorders>
            <w:shd w:val="clear" w:color="auto" w:fill="auto"/>
          </w:tcPr>
          <w:p w14:paraId="4C136CD0" w14:textId="77777777" w:rsidR="00FB2E74" w:rsidRPr="00FB2E74" w:rsidRDefault="00FB2E74" w:rsidP="00FB2E74">
            <w:pPr>
              <w:keepNext/>
              <w:jc w:val="right"/>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0"/>
                <w:szCs w:val="20"/>
              </w:rPr>
            </w:pPr>
            <w:r w:rsidRPr="00FB2E74">
              <w:rPr>
                <w:rFonts w:ascii="Times New Roman" w:eastAsia="Arial" w:hAnsi="Times New Roman" w:cs="Times New Roman"/>
                <w:sz w:val="20"/>
                <w:szCs w:val="20"/>
              </w:rPr>
              <w:t>43.0%</w:t>
            </w:r>
          </w:p>
        </w:tc>
        <w:tc>
          <w:tcPr>
            <w:tcW w:w="1658" w:type="dxa"/>
            <w:tcBorders>
              <w:bottom w:val="single" w:sz="8" w:space="0" w:color="FFFFFF"/>
            </w:tcBorders>
            <w:shd w:val="clear" w:color="auto" w:fill="auto"/>
          </w:tcPr>
          <w:p w14:paraId="20423AA9" w14:textId="77777777" w:rsidR="00FB2E74" w:rsidRPr="00FB2E74" w:rsidRDefault="00FB2E74" w:rsidP="00FB2E74">
            <w:pPr>
              <w:keepNext/>
              <w:jc w:val="right"/>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0"/>
                <w:szCs w:val="20"/>
              </w:rPr>
            </w:pPr>
            <w:r w:rsidRPr="00FB2E74">
              <w:rPr>
                <w:rFonts w:ascii="Times New Roman" w:eastAsia="Arial" w:hAnsi="Times New Roman" w:cs="Times New Roman"/>
                <w:sz w:val="20"/>
                <w:szCs w:val="20"/>
              </w:rPr>
              <w:t>542,670</w:t>
            </w:r>
          </w:p>
        </w:tc>
        <w:tc>
          <w:tcPr>
            <w:tcW w:w="1276" w:type="dxa"/>
            <w:tcBorders>
              <w:bottom w:val="single" w:sz="8" w:space="0" w:color="FFFFFF"/>
            </w:tcBorders>
            <w:shd w:val="clear" w:color="auto" w:fill="auto"/>
          </w:tcPr>
          <w:p w14:paraId="27D129BB" w14:textId="77777777" w:rsidR="00FB2E74" w:rsidRPr="00FB2E74" w:rsidRDefault="00FB2E74" w:rsidP="00FB2E74">
            <w:pPr>
              <w:keepNext/>
              <w:jc w:val="right"/>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0"/>
                <w:szCs w:val="20"/>
              </w:rPr>
            </w:pPr>
            <w:r w:rsidRPr="00FB2E74">
              <w:rPr>
                <w:rFonts w:ascii="Times New Roman" w:eastAsia="Arial" w:hAnsi="Times New Roman" w:cs="Times New Roman"/>
                <w:sz w:val="20"/>
                <w:szCs w:val="20"/>
              </w:rPr>
              <w:t>7,808</w:t>
            </w:r>
          </w:p>
        </w:tc>
      </w:tr>
      <w:tr w:rsidR="00FB2E74" w:rsidRPr="00FB2E74" w14:paraId="440B048C" w14:textId="77777777" w:rsidTr="003F17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Borders>
              <w:top w:val="single" w:sz="8" w:space="0" w:color="FFFFFF"/>
              <w:bottom w:val="single" w:sz="4" w:space="0" w:color="auto"/>
            </w:tcBorders>
            <w:shd w:val="clear" w:color="auto" w:fill="auto"/>
          </w:tcPr>
          <w:p w14:paraId="4DA1C85D" w14:textId="77777777" w:rsidR="00FB2E74" w:rsidRPr="00FB2E74" w:rsidRDefault="00FB2E74" w:rsidP="00FB2E74">
            <w:pPr>
              <w:keepNext/>
              <w:rPr>
                <w:rFonts w:ascii="Times New Roman" w:eastAsia="Calibri" w:hAnsi="Times New Roman" w:cs="Times New Roman"/>
                <w:sz w:val="20"/>
                <w:szCs w:val="20"/>
              </w:rPr>
            </w:pPr>
            <w:r w:rsidRPr="00FB2E74">
              <w:rPr>
                <w:rFonts w:ascii="Times New Roman" w:eastAsia="Arial" w:hAnsi="Times New Roman" w:cs="Times New Roman"/>
                <w:sz w:val="20"/>
                <w:szCs w:val="20"/>
              </w:rPr>
              <w:t>S3: 6m 50% ↓</w:t>
            </w:r>
          </w:p>
        </w:tc>
        <w:tc>
          <w:tcPr>
            <w:tcW w:w="1686" w:type="dxa"/>
            <w:tcBorders>
              <w:top w:val="single" w:sz="8" w:space="0" w:color="FFFFFF"/>
              <w:bottom w:val="single" w:sz="4" w:space="0" w:color="auto"/>
            </w:tcBorders>
            <w:shd w:val="clear" w:color="auto" w:fill="auto"/>
          </w:tcPr>
          <w:p w14:paraId="52906D94" w14:textId="77777777" w:rsidR="00FB2E74" w:rsidRPr="00FB2E74" w:rsidRDefault="00FB2E74" w:rsidP="00FB2E74">
            <w:pPr>
              <w:keepNex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B2E74">
              <w:rPr>
                <w:rFonts w:ascii="Times New Roman" w:eastAsia="Arial" w:hAnsi="Times New Roman" w:cs="Times New Roman"/>
                <w:sz w:val="20"/>
                <w:szCs w:val="20"/>
              </w:rPr>
              <w:t>270,378</w:t>
            </w:r>
          </w:p>
        </w:tc>
        <w:tc>
          <w:tcPr>
            <w:tcW w:w="2558" w:type="dxa"/>
            <w:tcBorders>
              <w:top w:val="single" w:sz="8" w:space="0" w:color="FFFFFF"/>
              <w:bottom w:val="single" w:sz="4" w:space="0" w:color="auto"/>
            </w:tcBorders>
            <w:shd w:val="clear" w:color="auto" w:fill="auto"/>
          </w:tcPr>
          <w:p w14:paraId="09C89FC9" w14:textId="77777777" w:rsidR="00FB2E74" w:rsidRPr="00FB2E74" w:rsidRDefault="00FB2E74" w:rsidP="00FB2E74">
            <w:pPr>
              <w:keepNex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B2E74">
              <w:rPr>
                <w:rFonts w:ascii="Times New Roman" w:eastAsia="Arial" w:hAnsi="Times New Roman" w:cs="Times New Roman"/>
                <w:sz w:val="20"/>
                <w:szCs w:val="20"/>
              </w:rPr>
              <w:t>19.1%</w:t>
            </w:r>
          </w:p>
        </w:tc>
        <w:tc>
          <w:tcPr>
            <w:tcW w:w="1658" w:type="dxa"/>
            <w:tcBorders>
              <w:top w:val="single" w:sz="8" w:space="0" w:color="FFFFFF"/>
              <w:bottom w:val="single" w:sz="4" w:space="0" w:color="auto"/>
            </w:tcBorders>
            <w:shd w:val="clear" w:color="auto" w:fill="auto"/>
          </w:tcPr>
          <w:p w14:paraId="70A68D66" w14:textId="77777777" w:rsidR="00FB2E74" w:rsidRPr="00FB2E74" w:rsidRDefault="00FB2E74" w:rsidP="00FB2E74">
            <w:pPr>
              <w:keepNex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B2E74">
              <w:rPr>
                <w:rFonts w:ascii="Times New Roman" w:eastAsia="Arial" w:hAnsi="Times New Roman" w:cs="Times New Roman"/>
                <w:sz w:val="20"/>
                <w:szCs w:val="20"/>
              </w:rPr>
              <w:t>103,318</w:t>
            </w:r>
          </w:p>
        </w:tc>
        <w:tc>
          <w:tcPr>
            <w:tcW w:w="1276" w:type="dxa"/>
            <w:tcBorders>
              <w:top w:val="single" w:sz="8" w:space="0" w:color="FFFFFF"/>
              <w:bottom w:val="single" w:sz="4" w:space="0" w:color="auto"/>
            </w:tcBorders>
            <w:shd w:val="clear" w:color="auto" w:fill="auto"/>
          </w:tcPr>
          <w:p w14:paraId="408B88C7" w14:textId="77777777" w:rsidR="00FB2E74" w:rsidRPr="00FB2E74" w:rsidRDefault="00FB2E74" w:rsidP="00FB2E74">
            <w:pPr>
              <w:keepNex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B2E74">
              <w:rPr>
                <w:rFonts w:ascii="Times New Roman" w:eastAsia="Arial" w:hAnsi="Times New Roman" w:cs="Times New Roman"/>
                <w:sz w:val="20"/>
                <w:szCs w:val="20"/>
              </w:rPr>
              <w:t>123,982</w:t>
            </w:r>
          </w:p>
        </w:tc>
      </w:tr>
    </w:tbl>
    <w:p w14:paraId="75BA48EC" w14:textId="604EAF8C" w:rsidR="00FB2E74" w:rsidRPr="00FB2E74" w:rsidRDefault="00FB2E74" w:rsidP="2E887C5E">
      <w:pPr>
        <w:rPr>
          <w:rFonts w:ascii="Times New Roman" w:eastAsia="Calibri" w:hAnsi="Times New Roman" w:cs="Times New Roman"/>
          <w:sz w:val="20"/>
          <w:szCs w:val="20"/>
          <w:lang w:val="en-AU"/>
        </w:rPr>
      </w:pPr>
      <w:r w:rsidRPr="2E887C5E">
        <w:rPr>
          <w:rFonts w:ascii="Times New Roman" w:eastAsia="Arial" w:hAnsi="Times New Roman" w:cs="Times New Roman"/>
          <w:sz w:val="20"/>
          <w:szCs w:val="20"/>
          <w:lang w:val="en-AU"/>
        </w:rPr>
        <w:t>Includes women with a</w:t>
      </w:r>
      <w:r w:rsidR="61BEFCED" w:rsidRPr="2E887C5E">
        <w:rPr>
          <w:rFonts w:ascii="Times New Roman" w:eastAsia="Arial" w:hAnsi="Times New Roman" w:cs="Times New Roman"/>
          <w:sz w:val="20"/>
          <w:szCs w:val="20"/>
          <w:lang w:val="en-AU"/>
        </w:rPr>
        <w:t>n HPV test</w:t>
      </w:r>
      <w:r w:rsidRPr="2E887C5E">
        <w:rPr>
          <w:rFonts w:ascii="Times New Roman" w:eastAsia="Arial" w:hAnsi="Times New Roman" w:cs="Times New Roman"/>
          <w:sz w:val="20"/>
          <w:szCs w:val="20"/>
          <w:lang w:val="en-AU"/>
        </w:rPr>
        <w:t xml:space="preserve"> for any purpose, including follow-up tests or tests in symptomatic women that result in a cancer diagnosis, but excludes women with a</w:t>
      </w:r>
      <w:r w:rsidR="4867EDB3" w:rsidRPr="2E887C5E">
        <w:rPr>
          <w:rFonts w:ascii="Times New Roman" w:eastAsia="Arial" w:hAnsi="Times New Roman" w:cs="Times New Roman"/>
          <w:sz w:val="20"/>
          <w:szCs w:val="20"/>
          <w:lang w:val="en-AU"/>
        </w:rPr>
        <w:t>n HPV test</w:t>
      </w:r>
      <w:r w:rsidRPr="2E887C5E">
        <w:rPr>
          <w:rFonts w:ascii="Times New Roman" w:eastAsia="Arial" w:hAnsi="Times New Roman" w:cs="Times New Roman"/>
          <w:sz w:val="20"/>
          <w:szCs w:val="20"/>
          <w:lang w:val="en-AU"/>
        </w:rPr>
        <w:t xml:space="preserve"> for symptoms who are not diagnosed with cervical cancer. * No disruption scenario row shows number expected in that scenario; other rows show difference in relation to the no disruption scenario.</w:t>
      </w:r>
    </w:p>
    <w:p w14:paraId="4B7319AC" w14:textId="3F8F5A29" w:rsidR="00FB2E74" w:rsidRDefault="00FB2E74">
      <w:r>
        <w:br w:type="page"/>
      </w:r>
    </w:p>
    <w:p w14:paraId="7982BF44" w14:textId="77777777" w:rsidR="00707A91" w:rsidRDefault="00707A91"/>
    <w:p w14:paraId="1483A27F" w14:textId="025E12B7" w:rsidR="00707A91" w:rsidRPr="00B7170E" w:rsidRDefault="00707A91">
      <w:pPr>
        <w:rPr>
          <w:rFonts w:ascii="Times New Roman" w:hAnsi="Times New Roman" w:cs="Times New Roman"/>
          <w:b/>
          <w:bCs/>
          <w:sz w:val="28"/>
          <w:szCs w:val="28"/>
        </w:rPr>
      </w:pPr>
      <w:r w:rsidRPr="00B7170E">
        <w:rPr>
          <w:rFonts w:ascii="Times New Roman" w:hAnsi="Times New Roman" w:cs="Times New Roman"/>
          <w:b/>
          <w:bCs/>
          <w:sz w:val="28"/>
          <w:szCs w:val="28"/>
        </w:rPr>
        <w:t xml:space="preserve">Supplementary File </w:t>
      </w:r>
      <w:r w:rsidR="00E93A85" w:rsidRPr="00B7170E">
        <w:rPr>
          <w:rFonts w:ascii="Times New Roman" w:hAnsi="Times New Roman" w:cs="Times New Roman"/>
          <w:b/>
          <w:bCs/>
          <w:sz w:val="28"/>
          <w:szCs w:val="28"/>
        </w:rPr>
        <w:t>1</w:t>
      </w:r>
      <w:r w:rsidR="00894582" w:rsidRPr="00B7170E">
        <w:rPr>
          <w:rFonts w:ascii="Times New Roman" w:hAnsi="Times New Roman" w:cs="Times New Roman"/>
          <w:b/>
          <w:bCs/>
          <w:sz w:val="28"/>
          <w:szCs w:val="28"/>
        </w:rPr>
        <w:t>I</w:t>
      </w:r>
    </w:p>
    <w:p w14:paraId="1A27E746" w14:textId="77777777" w:rsidR="00B7170E" w:rsidRDefault="00B7170E" w:rsidP="00B7170E">
      <w:pPr>
        <w:keepNext/>
        <w:spacing w:after="200" w:line="240" w:lineRule="auto"/>
        <w:rPr>
          <w:rFonts w:ascii="Times New Roman" w:hAnsi="Times New Roman" w:cs="Times New Roman"/>
          <w:color w:val="000000" w:themeColor="text1"/>
          <w:lang w:val="en-AU"/>
        </w:rPr>
      </w:pPr>
    </w:p>
    <w:p w14:paraId="23BC0C1D" w14:textId="5A982748" w:rsidR="00B7170E" w:rsidRPr="00B7170E" w:rsidRDefault="00B7170E" w:rsidP="00B7170E">
      <w:pPr>
        <w:keepNext/>
        <w:spacing w:after="200" w:line="240" w:lineRule="auto"/>
        <w:rPr>
          <w:rFonts w:ascii="Times New Roman" w:eastAsia="Calibri" w:hAnsi="Times New Roman" w:cs="Times New Roman"/>
          <w:b/>
          <w:bCs/>
          <w:color w:val="000000" w:themeColor="text1"/>
          <w:sz w:val="20"/>
          <w:szCs w:val="20"/>
          <w:lang w:val="en-AU"/>
        </w:rPr>
      </w:pPr>
      <w:r w:rsidRPr="00B7170E">
        <w:rPr>
          <w:rFonts w:ascii="Times New Roman" w:eastAsia="Calibri" w:hAnsi="Times New Roman" w:cs="Times New Roman"/>
          <w:b/>
          <w:bCs/>
          <w:color w:val="000000" w:themeColor="text1"/>
          <w:sz w:val="20"/>
          <w:szCs w:val="20"/>
          <w:lang w:val="en-AU"/>
        </w:rPr>
        <w:t xml:space="preserve">Impact of disruption on expected colposcopy utilisation, 2020-2022* </w:t>
      </w:r>
    </w:p>
    <w:tbl>
      <w:tblPr>
        <w:tblStyle w:val="TableGrid7"/>
        <w:tblW w:w="9072" w:type="dxa"/>
        <w:tblBorders>
          <w:top w:val="single" w:sz="4" w:space="0" w:color="auto"/>
          <w:bottom w:val="single" w:sz="4" w:space="0" w:color="auto"/>
        </w:tblBorders>
        <w:tblLayout w:type="fixed"/>
        <w:tblLook w:val="04A0" w:firstRow="1" w:lastRow="0" w:firstColumn="1" w:lastColumn="0" w:noHBand="0" w:noVBand="1"/>
      </w:tblPr>
      <w:tblGrid>
        <w:gridCol w:w="1418"/>
        <w:gridCol w:w="820"/>
        <w:gridCol w:w="881"/>
        <w:gridCol w:w="850"/>
        <w:gridCol w:w="851"/>
        <w:gridCol w:w="850"/>
        <w:gridCol w:w="709"/>
        <w:gridCol w:w="1134"/>
        <w:gridCol w:w="1559"/>
      </w:tblGrid>
      <w:tr w:rsidR="00B7170E" w:rsidRPr="00B7170E" w14:paraId="7D6EA875" w14:textId="77777777" w:rsidTr="003F17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Merge w:val="restart"/>
            <w:tcBorders>
              <w:top w:val="single" w:sz="4" w:space="0" w:color="auto"/>
              <w:bottom w:val="single" w:sz="8" w:space="0" w:color="FFFFFF"/>
            </w:tcBorders>
            <w:shd w:val="clear" w:color="auto" w:fill="auto"/>
          </w:tcPr>
          <w:p w14:paraId="00297341" w14:textId="77777777" w:rsidR="00B7170E" w:rsidRPr="00B7170E" w:rsidRDefault="00B7170E" w:rsidP="00B7170E">
            <w:pPr>
              <w:keepNext/>
              <w:rPr>
                <w:rFonts w:ascii="Times New Roman" w:eastAsia="Calibri" w:hAnsi="Times New Roman" w:cs="Times New Roman"/>
                <w:sz w:val="20"/>
                <w:szCs w:val="20"/>
              </w:rPr>
            </w:pPr>
            <w:r w:rsidRPr="00B7170E">
              <w:rPr>
                <w:rFonts w:ascii="Times New Roman" w:eastAsia="Calibri" w:hAnsi="Times New Roman" w:cs="Times New Roman"/>
                <w:sz w:val="20"/>
                <w:szCs w:val="20"/>
              </w:rPr>
              <w:t>Scenario</w:t>
            </w:r>
          </w:p>
        </w:tc>
        <w:tc>
          <w:tcPr>
            <w:tcW w:w="4961" w:type="dxa"/>
            <w:gridSpan w:val="6"/>
            <w:tcBorders>
              <w:top w:val="single" w:sz="4" w:space="0" w:color="auto"/>
              <w:bottom w:val="single" w:sz="4" w:space="0" w:color="auto"/>
            </w:tcBorders>
            <w:shd w:val="clear" w:color="auto" w:fill="auto"/>
          </w:tcPr>
          <w:p w14:paraId="5137395D" w14:textId="77777777" w:rsidR="00B7170E" w:rsidRPr="00B7170E" w:rsidRDefault="00B7170E" w:rsidP="00B7170E">
            <w:pPr>
              <w:keepNext/>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rPr>
            </w:pPr>
            <w:r w:rsidRPr="00B7170E">
              <w:rPr>
                <w:rFonts w:ascii="Times New Roman" w:eastAsia="Calibri" w:hAnsi="Times New Roman" w:cs="Times New Roman"/>
                <w:b/>
                <w:sz w:val="20"/>
                <w:szCs w:val="20"/>
              </w:rPr>
              <w:t>Difference in number (%) of colposcopies</w:t>
            </w:r>
          </w:p>
        </w:tc>
        <w:tc>
          <w:tcPr>
            <w:tcW w:w="2693" w:type="dxa"/>
            <w:gridSpan w:val="2"/>
            <w:tcBorders>
              <w:top w:val="single" w:sz="4" w:space="0" w:color="auto"/>
              <w:bottom w:val="single" w:sz="8" w:space="0" w:color="FFFFFF"/>
            </w:tcBorders>
            <w:shd w:val="clear" w:color="auto" w:fill="auto"/>
          </w:tcPr>
          <w:p w14:paraId="4EA079D4" w14:textId="77777777" w:rsidR="00B7170E" w:rsidRPr="00B7170E" w:rsidRDefault="00B7170E" w:rsidP="00B7170E">
            <w:pPr>
              <w:keepNext/>
              <w:jc w:val="right"/>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0"/>
              </w:rPr>
            </w:pPr>
            <w:r w:rsidRPr="00B7170E">
              <w:rPr>
                <w:rFonts w:ascii="Times New Roman" w:eastAsia="Calibri" w:hAnsi="Times New Roman" w:cs="Times New Roman"/>
                <w:b/>
                <w:sz w:val="20"/>
                <w:szCs w:val="20"/>
              </w:rPr>
              <w:t>Cumulative (2020-2022)</w:t>
            </w:r>
          </w:p>
        </w:tc>
      </w:tr>
      <w:tr w:rsidR="00B7170E" w:rsidRPr="00B7170E" w14:paraId="180D9D8C" w14:textId="77777777" w:rsidTr="003F17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Merge/>
            <w:tcBorders>
              <w:top w:val="single" w:sz="8" w:space="0" w:color="FFFFFF"/>
              <w:bottom w:val="single" w:sz="4" w:space="0" w:color="auto"/>
            </w:tcBorders>
            <w:shd w:val="clear" w:color="auto" w:fill="auto"/>
          </w:tcPr>
          <w:p w14:paraId="194186AB" w14:textId="77777777" w:rsidR="00B7170E" w:rsidRPr="00B7170E" w:rsidRDefault="00B7170E" w:rsidP="00B7170E">
            <w:pPr>
              <w:keepNext/>
              <w:rPr>
                <w:rFonts w:ascii="Times New Roman" w:eastAsia="Calibri" w:hAnsi="Times New Roman" w:cs="Times New Roman"/>
                <w:sz w:val="20"/>
                <w:szCs w:val="20"/>
              </w:rPr>
            </w:pPr>
          </w:p>
        </w:tc>
        <w:tc>
          <w:tcPr>
            <w:tcW w:w="820" w:type="dxa"/>
            <w:tcBorders>
              <w:top w:val="single" w:sz="4" w:space="0" w:color="auto"/>
              <w:bottom w:val="single" w:sz="4" w:space="0" w:color="auto"/>
            </w:tcBorders>
            <w:shd w:val="clear" w:color="auto" w:fill="auto"/>
          </w:tcPr>
          <w:p w14:paraId="01D812D6" w14:textId="77777777" w:rsidR="00B7170E" w:rsidRPr="00B7170E" w:rsidRDefault="00B7170E" w:rsidP="00B7170E">
            <w:pPr>
              <w:keepNex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rPr>
            </w:pPr>
            <w:r w:rsidRPr="00B7170E">
              <w:rPr>
                <w:rFonts w:ascii="Times New Roman" w:eastAsia="Calibri" w:hAnsi="Times New Roman" w:cs="Times New Roman"/>
                <w:b/>
                <w:sz w:val="20"/>
                <w:szCs w:val="20"/>
              </w:rPr>
              <w:t>2020</w:t>
            </w:r>
          </w:p>
        </w:tc>
        <w:tc>
          <w:tcPr>
            <w:tcW w:w="881" w:type="dxa"/>
            <w:tcBorders>
              <w:top w:val="single" w:sz="4" w:space="0" w:color="auto"/>
              <w:bottom w:val="single" w:sz="4" w:space="0" w:color="auto"/>
            </w:tcBorders>
            <w:shd w:val="clear" w:color="auto" w:fill="auto"/>
          </w:tcPr>
          <w:p w14:paraId="59573E82" w14:textId="77777777" w:rsidR="00B7170E" w:rsidRPr="00B7170E" w:rsidRDefault="00B7170E" w:rsidP="00B7170E">
            <w:pPr>
              <w:keepNex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rPr>
            </w:pPr>
            <w:r w:rsidRPr="00B7170E">
              <w:rPr>
                <w:rFonts w:ascii="Times New Roman" w:eastAsia="Calibri" w:hAnsi="Times New Roman" w:cs="Times New Roman"/>
                <w:b/>
                <w:sz w:val="20"/>
                <w:szCs w:val="20"/>
              </w:rPr>
              <w:t xml:space="preserve">% </w:t>
            </w:r>
          </w:p>
        </w:tc>
        <w:tc>
          <w:tcPr>
            <w:tcW w:w="850" w:type="dxa"/>
            <w:tcBorders>
              <w:top w:val="single" w:sz="4" w:space="0" w:color="auto"/>
              <w:bottom w:val="single" w:sz="4" w:space="0" w:color="auto"/>
            </w:tcBorders>
            <w:shd w:val="clear" w:color="auto" w:fill="auto"/>
          </w:tcPr>
          <w:p w14:paraId="0305E5DD" w14:textId="77777777" w:rsidR="00B7170E" w:rsidRPr="00B7170E" w:rsidRDefault="00B7170E" w:rsidP="00B7170E">
            <w:pPr>
              <w:keepNex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rPr>
            </w:pPr>
            <w:r w:rsidRPr="00B7170E">
              <w:rPr>
                <w:rFonts w:ascii="Times New Roman" w:eastAsia="Calibri" w:hAnsi="Times New Roman" w:cs="Times New Roman"/>
                <w:b/>
                <w:sz w:val="20"/>
                <w:szCs w:val="20"/>
              </w:rPr>
              <w:t>2021</w:t>
            </w:r>
          </w:p>
        </w:tc>
        <w:tc>
          <w:tcPr>
            <w:tcW w:w="851" w:type="dxa"/>
            <w:tcBorders>
              <w:top w:val="single" w:sz="4" w:space="0" w:color="auto"/>
              <w:bottom w:val="single" w:sz="4" w:space="0" w:color="auto"/>
            </w:tcBorders>
            <w:shd w:val="clear" w:color="auto" w:fill="auto"/>
          </w:tcPr>
          <w:p w14:paraId="144FF13B" w14:textId="77777777" w:rsidR="00B7170E" w:rsidRPr="00B7170E" w:rsidRDefault="00B7170E" w:rsidP="00B7170E">
            <w:pPr>
              <w:keepNex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rPr>
            </w:pPr>
            <w:r w:rsidRPr="00B7170E">
              <w:rPr>
                <w:rFonts w:ascii="Times New Roman" w:eastAsia="Calibri" w:hAnsi="Times New Roman" w:cs="Times New Roman"/>
                <w:b/>
                <w:sz w:val="20"/>
                <w:szCs w:val="20"/>
              </w:rPr>
              <w:t xml:space="preserve">% </w:t>
            </w:r>
          </w:p>
        </w:tc>
        <w:tc>
          <w:tcPr>
            <w:tcW w:w="850" w:type="dxa"/>
            <w:tcBorders>
              <w:top w:val="single" w:sz="4" w:space="0" w:color="auto"/>
              <w:bottom w:val="single" w:sz="4" w:space="0" w:color="auto"/>
            </w:tcBorders>
            <w:shd w:val="clear" w:color="auto" w:fill="auto"/>
          </w:tcPr>
          <w:p w14:paraId="59E622C6" w14:textId="77777777" w:rsidR="00B7170E" w:rsidRPr="00B7170E" w:rsidRDefault="00B7170E" w:rsidP="00B7170E">
            <w:pPr>
              <w:keepNex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rPr>
            </w:pPr>
            <w:r w:rsidRPr="00B7170E">
              <w:rPr>
                <w:rFonts w:ascii="Times New Roman" w:eastAsia="Calibri" w:hAnsi="Times New Roman" w:cs="Times New Roman"/>
                <w:b/>
                <w:sz w:val="20"/>
                <w:szCs w:val="20"/>
              </w:rPr>
              <w:t>2022</w:t>
            </w:r>
          </w:p>
        </w:tc>
        <w:tc>
          <w:tcPr>
            <w:tcW w:w="709" w:type="dxa"/>
            <w:tcBorders>
              <w:top w:val="single" w:sz="4" w:space="0" w:color="auto"/>
              <w:bottom w:val="single" w:sz="4" w:space="0" w:color="auto"/>
            </w:tcBorders>
            <w:shd w:val="clear" w:color="auto" w:fill="auto"/>
          </w:tcPr>
          <w:p w14:paraId="6CD0FB91" w14:textId="77777777" w:rsidR="00B7170E" w:rsidRPr="00B7170E" w:rsidRDefault="00B7170E" w:rsidP="00B7170E">
            <w:pPr>
              <w:keepNex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rPr>
            </w:pPr>
            <w:r w:rsidRPr="00B7170E">
              <w:rPr>
                <w:rFonts w:ascii="Times New Roman" w:eastAsia="Calibri" w:hAnsi="Times New Roman" w:cs="Times New Roman"/>
                <w:b/>
                <w:sz w:val="20"/>
                <w:szCs w:val="20"/>
              </w:rPr>
              <w:t xml:space="preserve">% </w:t>
            </w:r>
          </w:p>
        </w:tc>
        <w:tc>
          <w:tcPr>
            <w:tcW w:w="1134" w:type="dxa"/>
            <w:tcBorders>
              <w:top w:val="single" w:sz="8" w:space="0" w:color="FFFFFF"/>
              <w:bottom w:val="single" w:sz="4" w:space="0" w:color="auto"/>
            </w:tcBorders>
            <w:shd w:val="clear" w:color="auto" w:fill="auto"/>
          </w:tcPr>
          <w:p w14:paraId="284FCA43" w14:textId="77777777" w:rsidR="00B7170E" w:rsidRPr="00B7170E" w:rsidRDefault="00B7170E" w:rsidP="00B7170E">
            <w:pPr>
              <w:keepNex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rPr>
            </w:pPr>
            <w:r w:rsidRPr="00B7170E">
              <w:rPr>
                <w:rFonts w:ascii="Times New Roman" w:eastAsia="Calibri" w:hAnsi="Times New Roman" w:cs="Times New Roman"/>
                <w:b/>
                <w:sz w:val="20"/>
                <w:szCs w:val="20"/>
              </w:rPr>
              <w:t>N</w:t>
            </w:r>
          </w:p>
        </w:tc>
        <w:tc>
          <w:tcPr>
            <w:tcW w:w="1559" w:type="dxa"/>
            <w:tcBorders>
              <w:top w:val="single" w:sz="8" w:space="0" w:color="FFFFFF"/>
              <w:bottom w:val="single" w:sz="4" w:space="0" w:color="auto"/>
            </w:tcBorders>
            <w:shd w:val="clear" w:color="auto" w:fill="auto"/>
          </w:tcPr>
          <w:p w14:paraId="180F2510" w14:textId="77777777" w:rsidR="00B7170E" w:rsidRPr="00B7170E" w:rsidRDefault="00B7170E" w:rsidP="00B7170E">
            <w:pPr>
              <w:keepNex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rPr>
            </w:pPr>
            <w:r w:rsidRPr="00B7170E">
              <w:rPr>
                <w:rFonts w:ascii="Times New Roman" w:eastAsia="Calibri" w:hAnsi="Times New Roman" w:cs="Times New Roman"/>
                <w:b/>
                <w:sz w:val="20"/>
                <w:szCs w:val="20"/>
              </w:rPr>
              <w:t xml:space="preserve">% </w:t>
            </w:r>
          </w:p>
        </w:tc>
      </w:tr>
      <w:tr w:rsidR="00B7170E" w:rsidRPr="00B7170E" w14:paraId="70F19BD7" w14:textId="77777777" w:rsidTr="003F17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tcBorders>
            <w:shd w:val="clear" w:color="auto" w:fill="auto"/>
          </w:tcPr>
          <w:p w14:paraId="5D61C951" w14:textId="77777777" w:rsidR="00B7170E" w:rsidRPr="00B7170E" w:rsidRDefault="00B7170E" w:rsidP="00B7170E">
            <w:pPr>
              <w:keepNext/>
              <w:rPr>
                <w:rFonts w:ascii="Times New Roman" w:eastAsia="Calibri" w:hAnsi="Times New Roman" w:cs="Times New Roman"/>
                <w:bCs/>
                <w:sz w:val="20"/>
                <w:szCs w:val="20"/>
              </w:rPr>
            </w:pPr>
            <w:r w:rsidRPr="00B7170E">
              <w:rPr>
                <w:rFonts w:ascii="Times New Roman" w:eastAsia="Calibri" w:hAnsi="Times New Roman" w:cs="Times New Roman"/>
                <w:bCs/>
                <w:sz w:val="20"/>
                <w:szCs w:val="20"/>
              </w:rPr>
              <w:t>No disruption**</w:t>
            </w:r>
          </w:p>
        </w:tc>
        <w:tc>
          <w:tcPr>
            <w:tcW w:w="820" w:type="dxa"/>
            <w:tcBorders>
              <w:top w:val="single" w:sz="4" w:space="0" w:color="auto"/>
            </w:tcBorders>
            <w:shd w:val="clear" w:color="auto" w:fill="auto"/>
          </w:tcPr>
          <w:p w14:paraId="0B7510E1" w14:textId="77777777" w:rsidR="00B7170E" w:rsidRPr="00B7170E" w:rsidRDefault="00B7170E" w:rsidP="00B7170E">
            <w:pPr>
              <w:keepNext/>
              <w:jc w:val="right"/>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bCs/>
                <w:sz w:val="20"/>
                <w:szCs w:val="20"/>
              </w:rPr>
            </w:pPr>
            <w:r w:rsidRPr="00B7170E">
              <w:rPr>
                <w:rFonts w:ascii="Times New Roman" w:eastAsia="Calibri" w:hAnsi="Times New Roman" w:cs="Times New Roman"/>
                <w:bCs/>
                <w:sz w:val="20"/>
                <w:szCs w:val="20"/>
              </w:rPr>
              <w:t>101,376</w:t>
            </w:r>
          </w:p>
        </w:tc>
        <w:tc>
          <w:tcPr>
            <w:tcW w:w="881" w:type="dxa"/>
            <w:tcBorders>
              <w:top w:val="single" w:sz="4" w:space="0" w:color="auto"/>
            </w:tcBorders>
            <w:shd w:val="clear" w:color="auto" w:fill="auto"/>
          </w:tcPr>
          <w:p w14:paraId="25154329" w14:textId="77777777" w:rsidR="00B7170E" w:rsidRPr="00B7170E" w:rsidRDefault="00B7170E" w:rsidP="00B7170E">
            <w:pPr>
              <w:keepNext/>
              <w:jc w:val="right"/>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bCs/>
                <w:sz w:val="20"/>
                <w:szCs w:val="20"/>
              </w:rPr>
            </w:pPr>
            <w:r w:rsidRPr="00B7170E">
              <w:rPr>
                <w:rFonts w:ascii="Times New Roman" w:eastAsia="Calibri" w:hAnsi="Times New Roman" w:cs="Times New Roman"/>
                <w:bCs/>
                <w:sz w:val="20"/>
                <w:szCs w:val="20"/>
              </w:rPr>
              <w:t>n/a</w:t>
            </w:r>
          </w:p>
        </w:tc>
        <w:tc>
          <w:tcPr>
            <w:tcW w:w="850" w:type="dxa"/>
            <w:tcBorders>
              <w:top w:val="single" w:sz="4" w:space="0" w:color="auto"/>
            </w:tcBorders>
            <w:shd w:val="clear" w:color="auto" w:fill="auto"/>
          </w:tcPr>
          <w:p w14:paraId="3BBE30F2" w14:textId="77777777" w:rsidR="00B7170E" w:rsidRPr="00B7170E" w:rsidRDefault="00B7170E" w:rsidP="00B7170E">
            <w:pPr>
              <w:keepNext/>
              <w:jc w:val="right"/>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bCs/>
                <w:sz w:val="20"/>
                <w:szCs w:val="20"/>
              </w:rPr>
            </w:pPr>
            <w:r w:rsidRPr="00B7170E">
              <w:rPr>
                <w:rFonts w:ascii="Times New Roman" w:eastAsia="Calibri" w:hAnsi="Times New Roman" w:cs="Times New Roman"/>
                <w:bCs/>
                <w:sz w:val="20"/>
                <w:szCs w:val="20"/>
              </w:rPr>
              <w:t>79,476</w:t>
            </w:r>
          </w:p>
        </w:tc>
        <w:tc>
          <w:tcPr>
            <w:tcW w:w="851" w:type="dxa"/>
            <w:tcBorders>
              <w:top w:val="single" w:sz="4" w:space="0" w:color="auto"/>
            </w:tcBorders>
            <w:shd w:val="clear" w:color="auto" w:fill="auto"/>
          </w:tcPr>
          <w:p w14:paraId="0A687E79" w14:textId="77777777" w:rsidR="00B7170E" w:rsidRPr="00B7170E" w:rsidRDefault="00B7170E" w:rsidP="00B7170E">
            <w:pPr>
              <w:keepNext/>
              <w:jc w:val="right"/>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bCs/>
                <w:sz w:val="20"/>
                <w:szCs w:val="20"/>
              </w:rPr>
            </w:pPr>
            <w:r w:rsidRPr="00B7170E">
              <w:rPr>
                <w:rFonts w:ascii="Times New Roman" w:eastAsia="Calibri" w:hAnsi="Times New Roman" w:cs="Times New Roman"/>
                <w:bCs/>
                <w:sz w:val="20"/>
                <w:szCs w:val="20"/>
              </w:rPr>
              <w:t>n/a</w:t>
            </w:r>
          </w:p>
        </w:tc>
        <w:tc>
          <w:tcPr>
            <w:tcW w:w="850" w:type="dxa"/>
            <w:tcBorders>
              <w:top w:val="single" w:sz="4" w:space="0" w:color="auto"/>
            </w:tcBorders>
            <w:shd w:val="clear" w:color="auto" w:fill="auto"/>
          </w:tcPr>
          <w:p w14:paraId="65C8912A" w14:textId="77777777" w:rsidR="00B7170E" w:rsidRPr="00B7170E" w:rsidRDefault="00B7170E" w:rsidP="00B7170E">
            <w:pPr>
              <w:keepNext/>
              <w:jc w:val="right"/>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bCs/>
                <w:sz w:val="20"/>
                <w:szCs w:val="20"/>
              </w:rPr>
            </w:pPr>
            <w:r w:rsidRPr="00B7170E">
              <w:rPr>
                <w:rFonts w:ascii="Times New Roman" w:eastAsia="Calibri" w:hAnsi="Times New Roman" w:cs="Times New Roman"/>
                <w:bCs/>
                <w:sz w:val="20"/>
                <w:szCs w:val="20"/>
              </w:rPr>
              <w:t>64,768</w:t>
            </w:r>
          </w:p>
        </w:tc>
        <w:tc>
          <w:tcPr>
            <w:tcW w:w="709" w:type="dxa"/>
            <w:tcBorders>
              <w:top w:val="single" w:sz="4" w:space="0" w:color="auto"/>
            </w:tcBorders>
            <w:shd w:val="clear" w:color="auto" w:fill="auto"/>
          </w:tcPr>
          <w:p w14:paraId="5A75F4B6" w14:textId="77777777" w:rsidR="00B7170E" w:rsidRPr="00B7170E" w:rsidRDefault="00B7170E" w:rsidP="00B7170E">
            <w:pPr>
              <w:keepNext/>
              <w:jc w:val="right"/>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bCs/>
                <w:sz w:val="20"/>
                <w:szCs w:val="20"/>
              </w:rPr>
            </w:pPr>
            <w:r w:rsidRPr="00B7170E">
              <w:rPr>
                <w:rFonts w:ascii="Times New Roman" w:eastAsia="Calibri" w:hAnsi="Times New Roman" w:cs="Times New Roman"/>
                <w:bCs/>
                <w:sz w:val="20"/>
                <w:szCs w:val="20"/>
              </w:rPr>
              <w:t>n/a</w:t>
            </w:r>
          </w:p>
        </w:tc>
        <w:tc>
          <w:tcPr>
            <w:tcW w:w="1134" w:type="dxa"/>
            <w:tcBorders>
              <w:top w:val="single" w:sz="4" w:space="0" w:color="auto"/>
            </w:tcBorders>
            <w:shd w:val="clear" w:color="auto" w:fill="auto"/>
          </w:tcPr>
          <w:p w14:paraId="7A39DF01" w14:textId="77777777" w:rsidR="00B7170E" w:rsidRPr="00B7170E" w:rsidRDefault="00B7170E" w:rsidP="00B7170E">
            <w:pPr>
              <w:keepNext/>
              <w:jc w:val="right"/>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bCs/>
                <w:sz w:val="20"/>
                <w:szCs w:val="20"/>
              </w:rPr>
            </w:pPr>
            <w:r w:rsidRPr="00B7170E">
              <w:rPr>
                <w:rFonts w:ascii="Times New Roman" w:eastAsia="Calibri" w:hAnsi="Times New Roman" w:cs="Times New Roman"/>
                <w:bCs/>
                <w:sz w:val="20"/>
                <w:szCs w:val="20"/>
              </w:rPr>
              <w:t>245,620</w:t>
            </w:r>
          </w:p>
        </w:tc>
        <w:tc>
          <w:tcPr>
            <w:tcW w:w="1559" w:type="dxa"/>
            <w:tcBorders>
              <w:top w:val="single" w:sz="4" w:space="0" w:color="auto"/>
            </w:tcBorders>
            <w:shd w:val="clear" w:color="auto" w:fill="auto"/>
          </w:tcPr>
          <w:p w14:paraId="192D10FE" w14:textId="77777777" w:rsidR="00B7170E" w:rsidRPr="00B7170E" w:rsidRDefault="00B7170E" w:rsidP="00B7170E">
            <w:pPr>
              <w:keepNext/>
              <w:jc w:val="right"/>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bCs/>
                <w:sz w:val="20"/>
                <w:szCs w:val="20"/>
              </w:rPr>
            </w:pPr>
            <w:r w:rsidRPr="00B7170E">
              <w:rPr>
                <w:rFonts w:ascii="Times New Roman" w:eastAsia="Calibri" w:hAnsi="Times New Roman" w:cs="Times New Roman"/>
                <w:bCs/>
                <w:sz w:val="20"/>
                <w:szCs w:val="20"/>
              </w:rPr>
              <w:t>n/a</w:t>
            </w:r>
          </w:p>
        </w:tc>
      </w:tr>
      <w:tr w:rsidR="00B7170E" w:rsidRPr="00B7170E" w14:paraId="4DA8AC2A" w14:textId="77777777" w:rsidTr="003F17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7FF47073" w14:textId="77777777" w:rsidR="00B7170E" w:rsidRPr="00B7170E" w:rsidRDefault="00B7170E" w:rsidP="00B7170E">
            <w:pPr>
              <w:keepNext/>
              <w:rPr>
                <w:rFonts w:ascii="Times New Roman" w:eastAsia="Calibri" w:hAnsi="Times New Roman" w:cs="Times New Roman"/>
                <w:bCs/>
                <w:sz w:val="20"/>
                <w:szCs w:val="20"/>
              </w:rPr>
            </w:pPr>
            <w:r w:rsidRPr="00B7170E">
              <w:rPr>
                <w:rFonts w:ascii="Times New Roman" w:eastAsia="Calibri" w:hAnsi="Times New Roman" w:cs="Times New Roman"/>
                <w:bCs/>
                <w:sz w:val="20"/>
                <w:szCs w:val="20"/>
              </w:rPr>
              <w:t>S1: 12m 95% ↓</w:t>
            </w:r>
          </w:p>
        </w:tc>
        <w:tc>
          <w:tcPr>
            <w:tcW w:w="820" w:type="dxa"/>
            <w:shd w:val="clear" w:color="auto" w:fill="auto"/>
          </w:tcPr>
          <w:p w14:paraId="5F8AFAF7" w14:textId="77777777" w:rsidR="00B7170E" w:rsidRPr="00B7170E" w:rsidRDefault="00B7170E" w:rsidP="00B7170E">
            <w:pPr>
              <w:keepNex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0"/>
                <w:szCs w:val="20"/>
              </w:rPr>
            </w:pPr>
            <w:r w:rsidRPr="00B7170E">
              <w:rPr>
                <w:rFonts w:ascii="Times New Roman" w:eastAsia="Calibri" w:hAnsi="Times New Roman" w:cs="Times New Roman"/>
                <w:bCs/>
                <w:sz w:val="20"/>
                <w:szCs w:val="20"/>
              </w:rPr>
              <w:t>-47,868</w:t>
            </w:r>
          </w:p>
        </w:tc>
        <w:tc>
          <w:tcPr>
            <w:tcW w:w="881" w:type="dxa"/>
            <w:shd w:val="clear" w:color="auto" w:fill="auto"/>
          </w:tcPr>
          <w:p w14:paraId="71CAB410" w14:textId="77777777" w:rsidR="00B7170E" w:rsidRPr="00B7170E" w:rsidRDefault="00B7170E" w:rsidP="00B7170E">
            <w:pPr>
              <w:keepNex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0"/>
                <w:szCs w:val="20"/>
              </w:rPr>
            </w:pPr>
            <w:r w:rsidRPr="00B7170E">
              <w:rPr>
                <w:rFonts w:ascii="Times New Roman" w:eastAsia="Calibri" w:hAnsi="Times New Roman" w:cs="Times New Roman"/>
                <w:bCs/>
                <w:sz w:val="20"/>
                <w:szCs w:val="20"/>
              </w:rPr>
              <w:t>-47.2%</w:t>
            </w:r>
          </w:p>
        </w:tc>
        <w:tc>
          <w:tcPr>
            <w:tcW w:w="850" w:type="dxa"/>
            <w:shd w:val="clear" w:color="auto" w:fill="auto"/>
          </w:tcPr>
          <w:p w14:paraId="086ABDF5" w14:textId="77777777" w:rsidR="00B7170E" w:rsidRPr="00B7170E" w:rsidRDefault="00B7170E" w:rsidP="00B7170E">
            <w:pPr>
              <w:keepNex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0"/>
                <w:szCs w:val="20"/>
              </w:rPr>
            </w:pPr>
            <w:r w:rsidRPr="00B7170E">
              <w:rPr>
                <w:rFonts w:ascii="Times New Roman" w:eastAsia="Calibri" w:hAnsi="Times New Roman" w:cs="Times New Roman"/>
                <w:bCs/>
                <w:sz w:val="20"/>
                <w:szCs w:val="20"/>
              </w:rPr>
              <w:t>-3,633</w:t>
            </w:r>
          </w:p>
        </w:tc>
        <w:tc>
          <w:tcPr>
            <w:tcW w:w="851" w:type="dxa"/>
            <w:shd w:val="clear" w:color="auto" w:fill="auto"/>
          </w:tcPr>
          <w:p w14:paraId="0206021A" w14:textId="77777777" w:rsidR="00B7170E" w:rsidRPr="00B7170E" w:rsidRDefault="00B7170E" w:rsidP="00B7170E">
            <w:pPr>
              <w:keepNex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0"/>
                <w:szCs w:val="20"/>
              </w:rPr>
            </w:pPr>
            <w:r w:rsidRPr="00B7170E">
              <w:rPr>
                <w:rFonts w:ascii="Times New Roman" w:eastAsia="Calibri" w:hAnsi="Times New Roman" w:cs="Times New Roman"/>
                <w:bCs/>
                <w:sz w:val="20"/>
                <w:szCs w:val="20"/>
              </w:rPr>
              <w:t>-4.6%</w:t>
            </w:r>
          </w:p>
        </w:tc>
        <w:tc>
          <w:tcPr>
            <w:tcW w:w="850" w:type="dxa"/>
            <w:shd w:val="clear" w:color="auto" w:fill="auto"/>
          </w:tcPr>
          <w:p w14:paraId="3B8B455C" w14:textId="77777777" w:rsidR="00B7170E" w:rsidRPr="00B7170E" w:rsidRDefault="00B7170E" w:rsidP="00B7170E">
            <w:pPr>
              <w:keepNex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0"/>
                <w:szCs w:val="20"/>
              </w:rPr>
            </w:pPr>
            <w:r w:rsidRPr="00B7170E">
              <w:rPr>
                <w:rFonts w:ascii="Times New Roman" w:eastAsia="Calibri" w:hAnsi="Times New Roman" w:cs="Times New Roman"/>
                <w:bCs/>
                <w:sz w:val="20"/>
                <w:szCs w:val="20"/>
              </w:rPr>
              <w:t>17,325</w:t>
            </w:r>
          </w:p>
        </w:tc>
        <w:tc>
          <w:tcPr>
            <w:tcW w:w="709" w:type="dxa"/>
            <w:shd w:val="clear" w:color="auto" w:fill="auto"/>
          </w:tcPr>
          <w:p w14:paraId="68F0B0D0" w14:textId="77777777" w:rsidR="00B7170E" w:rsidRPr="00B7170E" w:rsidRDefault="00B7170E" w:rsidP="00B7170E">
            <w:pPr>
              <w:keepNex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0"/>
                <w:szCs w:val="20"/>
              </w:rPr>
            </w:pPr>
            <w:r w:rsidRPr="00B7170E">
              <w:rPr>
                <w:rFonts w:ascii="Times New Roman" w:eastAsia="Calibri" w:hAnsi="Times New Roman" w:cs="Times New Roman"/>
                <w:bCs/>
                <w:sz w:val="20"/>
                <w:szCs w:val="20"/>
              </w:rPr>
              <w:t>26.8%</w:t>
            </w:r>
          </w:p>
        </w:tc>
        <w:tc>
          <w:tcPr>
            <w:tcW w:w="1134" w:type="dxa"/>
            <w:shd w:val="clear" w:color="auto" w:fill="auto"/>
          </w:tcPr>
          <w:p w14:paraId="74BC1CF6" w14:textId="77777777" w:rsidR="00B7170E" w:rsidRPr="00B7170E" w:rsidRDefault="00B7170E" w:rsidP="00B7170E">
            <w:pPr>
              <w:keepNex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0"/>
                <w:szCs w:val="20"/>
              </w:rPr>
            </w:pPr>
            <w:r w:rsidRPr="00B7170E">
              <w:rPr>
                <w:rFonts w:ascii="Times New Roman" w:eastAsia="Calibri" w:hAnsi="Times New Roman" w:cs="Times New Roman"/>
                <w:bCs/>
                <w:sz w:val="20"/>
                <w:szCs w:val="20"/>
              </w:rPr>
              <w:t>-34,175</w:t>
            </w:r>
          </w:p>
        </w:tc>
        <w:tc>
          <w:tcPr>
            <w:tcW w:w="1559" w:type="dxa"/>
            <w:shd w:val="clear" w:color="auto" w:fill="auto"/>
          </w:tcPr>
          <w:p w14:paraId="6FAFFDCE" w14:textId="77777777" w:rsidR="00B7170E" w:rsidRPr="00B7170E" w:rsidRDefault="00B7170E" w:rsidP="00B7170E">
            <w:pPr>
              <w:keepNex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0"/>
                <w:szCs w:val="20"/>
              </w:rPr>
            </w:pPr>
            <w:r w:rsidRPr="00B7170E">
              <w:rPr>
                <w:rFonts w:ascii="Times New Roman" w:eastAsia="Calibri" w:hAnsi="Times New Roman" w:cs="Times New Roman"/>
                <w:bCs/>
                <w:sz w:val="20"/>
                <w:szCs w:val="20"/>
              </w:rPr>
              <w:t>-13.9%</w:t>
            </w:r>
          </w:p>
        </w:tc>
      </w:tr>
      <w:tr w:rsidR="00B7170E" w:rsidRPr="00B7170E" w14:paraId="05ED4B22" w14:textId="77777777" w:rsidTr="003F17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5AE1A97D" w14:textId="77777777" w:rsidR="00B7170E" w:rsidRPr="00B7170E" w:rsidRDefault="00B7170E" w:rsidP="00B7170E">
            <w:pPr>
              <w:keepNext/>
              <w:rPr>
                <w:rFonts w:ascii="Times New Roman" w:eastAsia="Calibri" w:hAnsi="Times New Roman" w:cs="Times New Roman"/>
                <w:bCs/>
                <w:sz w:val="20"/>
                <w:szCs w:val="20"/>
              </w:rPr>
            </w:pPr>
            <w:r w:rsidRPr="00B7170E">
              <w:rPr>
                <w:rFonts w:ascii="Times New Roman" w:eastAsia="Calibri" w:hAnsi="Times New Roman" w:cs="Times New Roman"/>
                <w:bCs/>
                <w:sz w:val="20"/>
                <w:szCs w:val="20"/>
              </w:rPr>
              <w:t>S2: 9m 75% ↓</w:t>
            </w:r>
          </w:p>
        </w:tc>
        <w:tc>
          <w:tcPr>
            <w:tcW w:w="820" w:type="dxa"/>
            <w:shd w:val="clear" w:color="auto" w:fill="auto"/>
          </w:tcPr>
          <w:p w14:paraId="1E2FFF46" w14:textId="77777777" w:rsidR="00B7170E" w:rsidRPr="00B7170E" w:rsidRDefault="00B7170E" w:rsidP="00B7170E">
            <w:pPr>
              <w:keepNext/>
              <w:jc w:val="right"/>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bCs/>
                <w:sz w:val="20"/>
                <w:szCs w:val="20"/>
              </w:rPr>
            </w:pPr>
            <w:r w:rsidRPr="00B7170E">
              <w:rPr>
                <w:rFonts w:ascii="Times New Roman" w:eastAsia="Calibri" w:hAnsi="Times New Roman" w:cs="Times New Roman"/>
                <w:bCs/>
                <w:sz w:val="20"/>
                <w:szCs w:val="20"/>
              </w:rPr>
              <w:t>-32,208</w:t>
            </w:r>
          </w:p>
        </w:tc>
        <w:tc>
          <w:tcPr>
            <w:tcW w:w="881" w:type="dxa"/>
            <w:shd w:val="clear" w:color="auto" w:fill="auto"/>
          </w:tcPr>
          <w:p w14:paraId="3260D242" w14:textId="77777777" w:rsidR="00B7170E" w:rsidRPr="00B7170E" w:rsidRDefault="00B7170E" w:rsidP="00B7170E">
            <w:pPr>
              <w:keepNext/>
              <w:jc w:val="right"/>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bCs/>
                <w:sz w:val="20"/>
                <w:szCs w:val="20"/>
              </w:rPr>
            </w:pPr>
            <w:r w:rsidRPr="00B7170E">
              <w:rPr>
                <w:rFonts w:ascii="Times New Roman" w:eastAsia="Calibri" w:hAnsi="Times New Roman" w:cs="Times New Roman"/>
                <w:bCs/>
                <w:sz w:val="20"/>
                <w:szCs w:val="20"/>
              </w:rPr>
              <w:t>-31.8%</w:t>
            </w:r>
          </w:p>
        </w:tc>
        <w:tc>
          <w:tcPr>
            <w:tcW w:w="850" w:type="dxa"/>
            <w:shd w:val="clear" w:color="auto" w:fill="auto"/>
          </w:tcPr>
          <w:p w14:paraId="476EFFCC" w14:textId="77777777" w:rsidR="00B7170E" w:rsidRPr="00B7170E" w:rsidRDefault="00B7170E" w:rsidP="00B7170E">
            <w:pPr>
              <w:keepNext/>
              <w:jc w:val="right"/>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bCs/>
                <w:sz w:val="20"/>
                <w:szCs w:val="20"/>
              </w:rPr>
            </w:pPr>
            <w:r w:rsidRPr="00B7170E">
              <w:rPr>
                <w:rFonts w:ascii="Times New Roman" w:eastAsia="Calibri" w:hAnsi="Times New Roman" w:cs="Times New Roman"/>
                <w:bCs/>
                <w:sz w:val="20"/>
                <w:szCs w:val="20"/>
              </w:rPr>
              <w:t>7,947</w:t>
            </w:r>
          </w:p>
        </w:tc>
        <w:tc>
          <w:tcPr>
            <w:tcW w:w="851" w:type="dxa"/>
            <w:shd w:val="clear" w:color="auto" w:fill="auto"/>
          </w:tcPr>
          <w:p w14:paraId="08581C70" w14:textId="77777777" w:rsidR="00B7170E" w:rsidRPr="00B7170E" w:rsidRDefault="00B7170E" w:rsidP="00B7170E">
            <w:pPr>
              <w:keepNext/>
              <w:jc w:val="right"/>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bCs/>
                <w:sz w:val="20"/>
                <w:szCs w:val="20"/>
              </w:rPr>
            </w:pPr>
            <w:r w:rsidRPr="00B7170E">
              <w:rPr>
                <w:rFonts w:ascii="Times New Roman" w:eastAsia="Calibri" w:hAnsi="Times New Roman" w:cs="Times New Roman"/>
                <w:bCs/>
                <w:sz w:val="20"/>
                <w:szCs w:val="20"/>
              </w:rPr>
              <w:t>10.0%</w:t>
            </w:r>
          </w:p>
        </w:tc>
        <w:tc>
          <w:tcPr>
            <w:tcW w:w="850" w:type="dxa"/>
            <w:shd w:val="clear" w:color="auto" w:fill="auto"/>
          </w:tcPr>
          <w:p w14:paraId="3747BAAC" w14:textId="77777777" w:rsidR="00B7170E" w:rsidRPr="00B7170E" w:rsidRDefault="00B7170E" w:rsidP="00B7170E">
            <w:pPr>
              <w:keepNext/>
              <w:jc w:val="right"/>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bCs/>
                <w:sz w:val="20"/>
                <w:szCs w:val="20"/>
              </w:rPr>
            </w:pPr>
            <w:r w:rsidRPr="00B7170E">
              <w:rPr>
                <w:rFonts w:ascii="Times New Roman" w:eastAsia="Calibri" w:hAnsi="Times New Roman" w:cs="Times New Roman"/>
                <w:bCs/>
                <w:sz w:val="20"/>
                <w:szCs w:val="20"/>
              </w:rPr>
              <w:t>9,024</w:t>
            </w:r>
          </w:p>
        </w:tc>
        <w:tc>
          <w:tcPr>
            <w:tcW w:w="709" w:type="dxa"/>
            <w:shd w:val="clear" w:color="auto" w:fill="auto"/>
          </w:tcPr>
          <w:p w14:paraId="55D124FC" w14:textId="77777777" w:rsidR="00B7170E" w:rsidRPr="00B7170E" w:rsidRDefault="00B7170E" w:rsidP="00B7170E">
            <w:pPr>
              <w:keepNext/>
              <w:jc w:val="right"/>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bCs/>
                <w:sz w:val="20"/>
                <w:szCs w:val="20"/>
              </w:rPr>
            </w:pPr>
            <w:r w:rsidRPr="00B7170E">
              <w:rPr>
                <w:rFonts w:ascii="Times New Roman" w:eastAsia="Calibri" w:hAnsi="Times New Roman" w:cs="Times New Roman"/>
                <w:bCs/>
                <w:sz w:val="20"/>
                <w:szCs w:val="20"/>
              </w:rPr>
              <w:t>13.9%</w:t>
            </w:r>
          </w:p>
        </w:tc>
        <w:tc>
          <w:tcPr>
            <w:tcW w:w="1134" w:type="dxa"/>
            <w:shd w:val="clear" w:color="auto" w:fill="auto"/>
          </w:tcPr>
          <w:p w14:paraId="5384C2D8" w14:textId="77777777" w:rsidR="00B7170E" w:rsidRPr="00B7170E" w:rsidRDefault="00B7170E" w:rsidP="00B7170E">
            <w:pPr>
              <w:keepNext/>
              <w:jc w:val="right"/>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bCs/>
                <w:sz w:val="20"/>
                <w:szCs w:val="20"/>
              </w:rPr>
            </w:pPr>
            <w:r w:rsidRPr="00B7170E">
              <w:rPr>
                <w:rFonts w:ascii="Times New Roman" w:eastAsia="Calibri" w:hAnsi="Times New Roman" w:cs="Times New Roman"/>
                <w:bCs/>
                <w:sz w:val="20"/>
                <w:szCs w:val="20"/>
              </w:rPr>
              <w:t>-15,237</w:t>
            </w:r>
          </w:p>
        </w:tc>
        <w:tc>
          <w:tcPr>
            <w:tcW w:w="1559" w:type="dxa"/>
            <w:shd w:val="clear" w:color="auto" w:fill="auto"/>
          </w:tcPr>
          <w:p w14:paraId="2733B681" w14:textId="77777777" w:rsidR="00B7170E" w:rsidRPr="00B7170E" w:rsidRDefault="00B7170E" w:rsidP="00B7170E">
            <w:pPr>
              <w:keepNext/>
              <w:jc w:val="right"/>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bCs/>
                <w:sz w:val="20"/>
                <w:szCs w:val="20"/>
              </w:rPr>
            </w:pPr>
            <w:r w:rsidRPr="00B7170E">
              <w:rPr>
                <w:rFonts w:ascii="Times New Roman" w:eastAsia="Calibri" w:hAnsi="Times New Roman" w:cs="Times New Roman"/>
                <w:bCs/>
                <w:sz w:val="20"/>
                <w:szCs w:val="20"/>
              </w:rPr>
              <w:t>-6.2%</w:t>
            </w:r>
          </w:p>
        </w:tc>
      </w:tr>
      <w:tr w:rsidR="00B7170E" w:rsidRPr="00B7170E" w14:paraId="0A704F8A" w14:textId="77777777" w:rsidTr="003F17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7B6809C6" w14:textId="77777777" w:rsidR="00B7170E" w:rsidRPr="00B7170E" w:rsidRDefault="00B7170E" w:rsidP="00B7170E">
            <w:pPr>
              <w:rPr>
                <w:rFonts w:ascii="Times New Roman" w:eastAsia="Calibri" w:hAnsi="Times New Roman" w:cs="Times New Roman"/>
                <w:bCs/>
                <w:sz w:val="20"/>
                <w:szCs w:val="20"/>
              </w:rPr>
            </w:pPr>
            <w:r w:rsidRPr="00B7170E">
              <w:rPr>
                <w:rFonts w:ascii="Times New Roman" w:eastAsia="Calibri" w:hAnsi="Times New Roman" w:cs="Times New Roman"/>
                <w:bCs/>
                <w:sz w:val="20"/>
                <w:szCs w:val="20"/>
              </w:rPr>
              <w:t>S3: 6m 50% ↓</w:t>
            </w:r>
          </w:p>
        </w:tc>
        <w:tc>
          <w:tcPr>
            <w:tcW w:w="820" w:type="dxa"/>
            <w:shd w:val="clear" w:color="auto" w:fill="auto"/>
          </w:tcPr>
          <w:p w14:paraId="614BFA7F" w14:textId="77777777" w:rsidR="00B7170E" w:rsidRPr="00B7170E" w:rsidRDefault="00B7170E" w:rsidP="00B7170E">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0"/>
                <w:szCs w:val="20"/>
              </w:rPr>
            </w:pPr>
            <w:r w:rsidRPr="00B7170E">
              <w:rPr>
                <w:rFonts w:ascii="Times New Roman" w:eastAsia="Calibri" w:hAnsi="Times New Roman" w:cs="Times New Roman"/>
                <w:bCs/>
                <w:sz w:val="20"/>
                <w:szCs w:val="20"/>
              </w:rPr>
              <w:t>-17,680</w:t>
            </w:r>
          </w:p>
        </w:tc>
        <w:tc>
          <w:tcPr>
            <w:tcW w:w="881" w:type="dxa"/>
            <w:shd w:val="clear" w:color="auto" w:fill="auto"/>
          </w:tcPr>
          <w:p w14:paraId="3AD5C6DC" w14:textId="77777777" w:rsidR="00B7170E" w:rsidRPr="00B7170E" w:rsidRDefault="00B7170E" w:rsidP="00B7170E">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0"/>
                <w:szCs w:val="20"/>
              </w:rPr>
            </w:pPr>
            <w:r w:rsidRPr="00B7170E">
              <w:rPr>
                <w:rFonts w:ascii="Times New Roman" w:eastAsia="Calibri" w:hAnsi="Times New Roman" w:cs="Times New Roman"/>
                <w:bCs/>
                <w:sz w:val="20"/>
                <w:szCs w:val="20"/>
              </w:rPr>
              <w:t>-17.4%</w:t>
            </w:r>
          </w:p>
        </w:tc>
        <w:tc>
          <w:tcPr>
            <w:tcW w:w="850" w:type="dxa"/>
            <w:shd w:val="clear" w:color="auto" w:fill="auto"/>
          </w:tcPr>
          <w:p w14:paraId="363AAEE7" w14:textId="77777777" w:rsidR="00B7170E" w:rsidRPr="00B7170E" w:rsidRDefault="00B7170E" w:rsidP="00B7170E">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0"/>
                <w:szCs w:val="20"/>
              </w:rPr>
            </w:pPr>
            <w:r w:rsidRPr="00B7170E">
              <w:rPr>
                <w:rFonts w:ascii="Times New Roman" w:eastAsia="Calibri" w:hAnsi="Times New Roman" w:cs="Times New Roman"/>
                <w:bCs/>
                <w:sz w:val="20"/>
                <w:szCs w:val="20"/>
              </w:rPr>
              <w:t>527</w:t>
            </w:r>
          </w:p>
        </w:tc>
        <w:tc>
          <w:tcPr>
            <w:tcW w:w="851" w:type="dxa"/>
            <w:shd w:val="clear" w:color="auto" w:fill="auto"/>
          </w:tcPr>
          <w:p w14:paraId="0454AA9D" w14:textId="77777777" w:rsidR="00B7170E" w:rsidRPr="00B7170E" w:rsidRDefault="00B7170E" w:rsidP="00B7170E">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0"/>
                <w:szCs w:val="20"/>
              </w:rPr>
            </w:pPr>
            <w:r w:rsidRPr="00B7170E">
              <w:rPr>
                <w:rFonts w:ascii="Times New Roman" w:eastAsia="Calibri" w:hAnsi="Times New Roman" w:cs="Times New Roman"/>
                <w:bCs/>
                <w:sz w:val="20"/>
                <w:szCs w:val="20"/>
              </w:rPr>
              <w:t>0.7%</w:t>
            </w:r>
          </w:p>
        </w:tc>
        <w:tc>
          <w:tcPr>
            <w:tcW w:w="850" w:type="dxa"/>
            <w:shd w:val="clear" w:color="auto" w:fill="auto"/>
          </w:tcPr>
          <w:p w14:paraId="3F220295" w14:textId="77777777" w:rsidR="00B7170E" w:rsidRPr="00B7170E" w:rsidRDefault="00B7170E" w:rsidP="00B7170E">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0"/>
                <w:szCs w:val="20"/>
              </w:rPr>
            </w:pPr>
            <w:r w:rsidRPr="00B7170E">
              <w:rPr>
                <w:rFonts w:ascii="Times New Roman" w:eastAsia="Calibri" w:hAnsi="Times New Roman" w:cs="Times New Roman"/>
                <w:bCs/>
                <w:sz w:val="20"/>
                <w:szCs w:val="20"/>
              </w:rPr>
              <w:t>4,995</w:t>
            </w:r>
          </w:p>
        </w:tc>
        <w:tc>
          <w:tcPr>
            <w:tcW w:w="709" w:type="dxa"/>
            <w:shd w:val="clear" w:color="auto" w:fill="auto"/>
          </w:tcPr>
          <w:p w14:paraId="16C9D4CA" w14:textId="77777777" w:rsidR="00B7170E" w:rsidRPr="00B7170E" w:rsidRDefault="00B7170E" w:rsidP="00B7170E">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0"/>
                <w:szCs w:val="20"/>
              </w:rPr>
            </w:pPr>
            <w:r w:rsidRPr="00B7170E">
              <w:rPr>
                <w:rFonts w:ascii="Times New Roman" w:eastAsia="Calibri" w:hAnsi="Times New Roman" w:cs="Times New Roman"/>
                <w:bCs/>
                <w:sz w:val="20"/>
                <w:szCs w:val="20"/>
              </w:rPr>
              <w:t>7.7%</w:t>
            </w:r>
          </w:p>
        </w:tc>
        <w:tc>
          <w:tcPr>
            <w:tcW w:w="1134" w:type="dxa"/>
            <w:shd w:val="clear" w:color="auto" w:fill="auto"/>
          </w:tcPr>
          <w:p w14:paraId="57F507DF" w14:textId="77777777" w:rsidR="00B7170E" w:rsidRPr="00B7170E" w:rsidRDefault="00B7170E" w:rsidP="00B7170E">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0"/>
                <w:szCs w:val="20"/>
              </w:rPr>
            </w:pPr>
            <w:r w:rsidRPr="00B7170E">
              <w:rPr>
                <w:rFonts w:ascii="Times New Roman" w:eastAsia="Calibri" w:hAnsi="Times New Roman" w:cs="Times New Roman"/>
                <w:bCs/>
                <w:sz w:val="20"/>
                <w:szCs w:val="20"/>
              </w:rPr>
              <w:t>-12,157</w:t>
            </w:r>
          </w:p>
        </w:tc>
        <w:tc>
          <w:tcPr>
            <w:tcW w:w="1559" w:type="dxa"/>
            <w:shd w:val="clear" w:color="auto" w:fill="auto"/>
          </w:tcPr>
          <w:p w14:paraId="6E3BE295" w14:textId="77777777" w:rsidR="00B7170E" w:rsidRPr="00B7170E" w:rsidRDefault="00B7170E" w:rsidP="00B7170E">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0"/>
                <w:szCs w:val="20"/>
              </w:rPr>
            </w:pPr>
            <w:r w:rsidRPr="00B7170E">
              <w:rPr>
                <w:rFonts w:ascii="Times New Roman" w:eastAsia="Calibri" w:hAnsi="Times New Roman" w:cs="Times New Roman"/>
                <w:bCs/>
                <w:sz w:val="20"/>
                <w:szCs w:val="20"/>
              </w:rPr>
              <w:t>-4.9%</w:t>
            </w:r>
          </w:p>
        </w:tc>
      </w:tr>
    </w:tbl>
    <w:p w14:paraId="3F475AAA" w14:textId="45B17902" w:rsidR="00B7170E" w:rsidRDefault="00B7170E" w:rsidP="00B7170E">
      <w:pPr>
        <w:rPr>
          <w:rFonts w:ascii="Times New Roman" w:eastAsia="Calibri" w:hAnsi="Times New Roman" w:cs="Times New Roman"/>
          <w:sz w:val="18"/>
          <w:szCs w:val="18"/>
          <w:lang w:val="en-AU"/>
        </w:rPr>
      </w:pPr>
      <w:r w:rsidRPr="2E887C5E">
        <w:rPr>
          <w:rFonts w:ascii="Times New Roman" w:eastAsia="Calibri" w:hAnsi="Times New Roman" w:cs="Times New Roman"/>
          <w:sz w:val="18"/>
          <w:szCs w:val="18"/>
          <w:lang w:val="en-AU"/>
        </w:rPr>
        <w:t>Excludes colposcopies in women with a</w:t>
      </w:r>
      <w:r w:rsidR="74CC0A84" w:rsidRPr="2E887C5E">
        <w:rPr>
          <w:rFonts w:ascii="Times New Roman" w:eastAsia="Calibri" w:hAnsi="Times New Roman" w:cs="Times New Roman"/>
          <w:sz w:val="18"/>
          <w:szCs w:val="18"/>
          <w:lang w:val="en-AU"/>
        </w:rPr>
        <w:t>n HPV test</w:t>
      </w:r>
      <w:r w:rsidRPr="2E887C5E">
        <w:rPr>
          <w:rFonts w:ascii="Times New Roman" w:eastAsia="Calibri" w:hAnsi="Times New Roman" w:cs="Times New Roman"/>
          <w:sz w:val="18"/>
          <w:szCs w:val="18"/>
          <w:lang w:val="en-AU"/>
        </w:rPr>
        <w:t xml:space="preserve"> for symptoms who are not diagnosed with cervical cancer. These estimates do not explicitly </w:t>
      </w:r>
      <w:proofErr w:type="gramStart"/>
      <w:r w:rsidRPr="2E887C5E">
        <w:rPr>
          <w:rFonts w:ascii="Times New Roman" w:eastAsia="Calibri" w:hAnsi="Times New Roman" w:cs="Times New Roman"/>
          <w:sz w:val="18"/>
          <w:szCs w:val="18"/>
          <w:lang w:val="en-AU"/>
        </w:rPr>
        <w:t>take into account</w:t>
      </w:r>
      <w:proofErr w:type="gramEnd"/>
      <w:r w:rsidRPr="2E887C5E">
        <w:rPr>
          <w:rFonts w:ascii="Times New Roman" w:eastAsia="Calibri" w:hAnsi="Times New Roman" w:cs="Times New Roman"/>
          <w:sz w:val="18"/>
          <w:szCs w:val="18"/>
          <w:lang w:val="en-AU"/>
        </w:rPr>
        <w:t xml:space="preserve"> colposcopy capacity or waiting lists (this information was not available) but do incorporate less than perfect adherence to colposcopy.  The disruptions modelled are predicted to result in around 12,157-34,175 fewer colposcopies over 2020-2022.    </w:t>
      </w:r>
    </w:p>
    <w:p w14:paraId="11A819B5" w14:textId="07E03469" w:rsidR="00B7170E" w:rsidRPr="00B7170E" w:rsidRDefault="00B7170E" w:rsidP="00B7170E">
      <w:pPr>
        <w:rPr>
          <w:rFonts w:ascii="Times New Roman" w:eastAsia="Calibri" w:hAnsi="Times New Roman" w:cs="Times New Roman"/>
          <w:sz w:val="18"/>
          <w:szCs w:val="18"/>
          <w:lang w:val="en-AU"/>
        </w:rPr>
      </w:pPr>
      <w:r w:rsidRPr="00B7170E">
        <w:rPr>
          <w:rFonts w:ascii="Times New Roman" w:eastAsia="Calibri" w:hAnsi="Times New Roman" w:cs="Times New Roman"/>
          <w:sz w:val="18"/>
          <w:szCs w:val="18"/>
          <w:lang w:val="en-AU"/>
        </w:rPr>
        <w:t>** No disruption scenario row shows number expected in that scenario; other rows show difference in relation to the no disruption scenario.</w:t>
      </w:r>
    </w:p>
    <w:p w14:paraId="78EEED8C" w14:textId="77777777" w:rsidR="00B7170E" w:rsidRPr="00B7170E" w:rsidRDefault="00B7170E" w:rsidP="00B7170E">
      <w:pPr>
        <w:spacing w:line="276" w:lineRule="auto"/>
        <w:rPr>
          <w:rFonts w:ascii="Times New Roman" w:hAnsi="Times New Roman" w:cs="Times New Roman"/>
          <w:color w:val="000000" w:themeColor="text1"/>
          <w:lang w:val="en-AU"/>
        </w:rPr>
      </w:pPr>
    </w:p>
    <w:p w14:paraId="6E009832" w14:textId="77777777" w:rsidR="00894582" w:rsidRDefault="00894582"/>
    <w:p w14:paraId="5CDFF902" w14:textId="77777777" w:rsidR="00E93A85" w:rsidRDefault="00E93A85"/>
    <w:sectPr w:rsidR="00E93A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C3C85"/>
    <w:multiLevelType w:val="hybridMultilevel"/>
    <w:tmpl w:val="D85CCF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4429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3A4"/>
    <w:rsid w:val="000F04BD"/>
    <w:rsid w:val="00124DDE"/>
    <w:rsid w:val="001E01CE"/>
    <w:rsid w:val="00251673"/>
    <w:rsid w:val="002D6F68"/>
    <w:rsid w:val="00353895"/>
    <w:rsid w:val="003874EA"/>
    <w:rsid w:val="003D6452"/>
    <w:rsid w:val="006A699C"/>
    <w:rsid w:val="006A6B5B"/>
    <w:rsid w:val="006B24F4"/>
    <w:rsid w:val="00707A91"/>
    <w:rsid w:val="0080543D"/>
    <w:rsid w:val="008919F9"/>
    <w:rsid w:val="00894582"/>
    <w:rsid w:val="008E0247"/>
    <w:rsid w:val="00B10844"/>
    <w:rsid w:val="00B7170E"/>
    <w:rsid w:val="00BC13A4"/>
    <w:rsid w:val="00BE635B"/>
    <w:rsid w:val="00D55C4A"/>
    <w:rsid w:val="00E93A85"/>
    <w:rsid w:val="00F75BA8"/>
    <w:rsid w:val="00FB2E74"/>
    <w:rsid w:val="0A28E38F"/>
    <w:rsid w:val="1D858FEF"/>
    <w:rsid w:val="2B33DFDD"/>
    <w:rsid w:val="2E887C5E"/>
    <w:rsid w:val="4867EDB3"/>
    <w:rsid w:val="61BEFCED"/>
    <w:rsid w:val="74CC0A84"/>
    <w:rsid w:val="7E6D0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57F8D"/>
  <w15:chartTrackingRefBased/>
  <w15:docId w15:val="{AC29DE99-58AA-406C-BA20-EEC841CB2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645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39"/>
    <w:rsid w:val="006A699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39"/>
    <w:rsid w:val="00353895"/>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39"/>
    <w:rsid w:val="00BE635B"/>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80543D"/>
    <w:pPr>
      <w:spacing w:after="0" w:line="240" w:lineRule="auto"/>
    </w:pPr>
    <w:rPr>
      <w:lang w:val="en-AU"/>
    </w:rPr>
    <w:tblPr>
      <w:tblStyleRowBandSize w:val="1"/>
      <w:tblBorders>
        <w:insideH w:val="single" w:sz="8" w:space="0" w:color="FFFFFF"/>
      </w:tblBorders>
      <w:tblCellMar>
        <w:top w:w="113" w:type="dxa"/>
        <w:left w:w="113" w:type="dxa"/>
        <w:bottom w:w="113" w:type="dxa"/>
        <w:right w:w="113" w:type="dxa"/>
      </w:tblCellMar>
    </w:tblPr>
    <w:tblStylePr w:type="firstRow">
      <w:tblPr/>
      <w:tcPr>
        <w:shd w:val="clear" w:color="auto" w:fill="44546A"/>
      </w:tcPr>
    </w:tblStylePr>
    <w:tblStylePr w:type="lastRow">
      <w:rPr>
        <w:b/>
      </w:rPr>
      <w:tblPr/>
      <w:tcPr>
        <w:tcBorders>
          <w:top w:val="single" w:sz="8" w:space="0" w:color="44546A"/>
          <w:left w:val="nil"/>
          <w:bottom w:val="single" w:sz="8" w:space="0" w:color="44546A"/>
          <w:right w:val="nil"/>
          <w:insideH w:val="nil"/>
          <w:insideV w:val="nil"/>
          <w:tl2br w:val="nil"/>
          <w:tr2bl w:val="nil"/>
        </w:tcBorders>
      </w:tcPr>
    </w:tblStylePr>
    <w:tblStylePr w:type="firstCol">
      <w:rPr>
        <w:b/>
      </w:rPr>
    </w:tblStylePr>
    <w:tblStylePr w:type="lastCol">
      <w:pPr>
        <w:wordWrap/>
        <w:jc w:val="right"/>
      </w:pPr>
    </w:tblStylePr>
    <w:tblStylePr w:type="band1Horz">
      <w:tblPr/>
      <w:tcPr>
        <w:shd w:val="clear" w:color="auto" w:fill="FAFAFA"/>
      </w:tcPr>
    </w:tblStylePr>
    <w:tblStylePr w:type="band2Horz">
      <w:tblPr/>
      <w:tcPr>
        <w:shd w:val="clear" w:color="auto" w:fill="F2F2F2"/>
      </w:tcPr>
    </w:tblStylePr>
  </w:style>
  <w:style w:type="table" w:customStyle="1" w:styleId="TableGrid6">
    <w:name w:val="Table Grid6"/>
    <w:basedOn w:val="TableNormal"/>
    <w:next w:val="TableGrid"/>
    <w:uiPriority w:val="39"/>
    <w:rsid w:val="00FB2E74"/>
    <w:pPr>
      <w:spacing w:after="0" w:line="240" w:lineRule="auto"/>
    </w:pPr>
    <w:rPr>
      <w:lang w:val="en-AU"/>
    </w:rPr>
    <w:tblPr>
      <w:tblStyleRowBandSize w:val="1"/>
      <w:tblBorders>
        <w:insideH w:val="single" w:sz="8" w:space="0" w:color="FFFFFF"/>
      </w:tblBorders>
      <w:tblCellMar>
        <w:top w:w="113" w:type="dxa"/>
        <w:left w:w="113" w:type="dxa"/>
        <w:bottom w:w="113" w:type="dxa"/>
        <w:right w:w="113" w:type="dxa"/>
      </w:tblCellMar>
    </w:tblPr>
    <w:tblStylePr w:type="firstRow">
      <w:tblPr/>
      <w:tcPr>
        <w:shd w:val="clear" w:color="auto" w:fill="44546A"/>
      </w:tcPr>
    </w:tblStylePr>
    <w:tblStylePr w:type="lastRow">
      <w:rPr>
        <w:b/>
      </w:rPr>
      <w:tblPr/>
      <w:tcPr>
        <w:tcBorders>
          <w:top w:val="single" w:sz="8" w:space="0" w:color="44546A"/>
          <w:left w:val="nil"/>
          <w:bottom w:val="single" w:sz="8" w:space="0" w:color="44546A"/>
          <w:right w:val="nil"/>
          <w:insideH w:val="nil"/>
          <w:insideV w:val="nil"/>
          <w:tl2br w:val="nil"/>
          <w:tr2bl w:val="nil"/>
        </w:tcBorders>
      </w:tcPr>
    </w:tblStylePr>
    <w:tblStylePr w:type="firstCol">
      <w:rPr>
        <w:b/>
      </w:rPr>
    </w:tblStylePr>
    <w:tblStylePr w:type="lastCol">
      <w:pPr>
        <w:wordWrap/>
        <w:jc w:val="right"/>
      </w:pPr>
    </w:tblStylePr>
    <w:tblStylePr w:type="band1Horz">
      <w:tblPr/>
      <w:tcPr>
        <w:shd w:val="clear" w:color="auto" w:fill="FAFAFA"/>
      </w:tcPr>
    </w:tblStylePr>
    <w:tblStylePr w:type="band2Horz">
      <w:tblPr/>
      <w:tcPr>
        <w:shd w:val="clear" w:color="auto" w:fill="F2F2F2"/>
      </w:tcPr>
    </w:tblStylePr>
  </w:style>
  <w:style w:type="table" w:customStyle="1" w:styleId="TableGrid7">
    <w:name w:val="Table Grid7"/>
    <w:basedOn w:val="TableNormal"/>
    <w:next w:val="TableGrid"/>
    <w:uiPriority w:val="39"/>
    <w:rsid w:val="00B7170E"/>
    <w:pPr>
      <w:spacing w:after="0" w:line="240" w:lineRule="auto"/>
    </w:pPr>
    <w:rPr>
      <w:lang w:val="en-AU"/>
    </w:rPr>
    <w:tblPr>
      <w:tblStyleRowBandSize w:val="1"/>
      <w:tblBorders>
        <w:insideH w:val="single" w:sz="8" w:space="0" w:color="FFFFFF"/>
      </w:tblBorders>
      <w:tblCellMar>
        <w:top w:w="113" w:type="dxa"/>
        <w:left w:w="113" w:type="dxa"/>
        <w:bottom w:w="113" w:type="dxa"/>
        <w:right w:w="113" w:type="dxa"/>
      </w:tblCellMar>
    </w:tblPr>
    <w:tblStylePr w:type="firstRow">
      <w:tblPr/>
      <w:tcPr>
        <w:shd w:val="clear" w:color="auto" w:fill="44546A"/>
      </w:tcPr>
    </w:tblStylePr>
    <w:tblStylePr w:type="lastRow">
      <w:rPr>
        <w:b/>
      </w:rPr>
      <w:tblPr/>
      <w:tcPr>
        <w:tcBorders>
          <w:top w:val="single" w:sz="8" w:space="0" w:color="44546A"/>
          <w:left w:val="nil"/>
          <w:bottom w:val="single" w:sz="8" w:space="0" w:color="44546A"/>
          <w:right w:val="nil"/>
          <w:insideH w:val="nil"/>
          <w:insideV w:val="nil"/>
          <w:tl2br w:val="nil"/>
          <w:tr2bl w:val="nil"/>
        </w:tcBorders>
      </w:tcPr>
    </w:tblStylePr>
    <w:tblStylePr w:type="firstCol">
      <w:rPr>
        <w:b/>
      </w:rPr>
    </w:tblStylePr>
    <w:tblStylePr w:type="lastCol">
      <w:pPr>
        <w:wordWrap/>
        <w:jc w:val="right"/>
      </w:pPr>
    </w:tblStylePr>
    <w:tblStylePr w:type="band1Horz">
      <w:tblPr/>
      <w:tcPr>
        <w:shd w:val="clear" w:color="auto" w:fill="FAFAFA"/>
      </w:tcPr>
    </w:tblStylePr>
    <w:tblStylePr w:type="band2Horz">
      <w:tblPr/>
      <w:tcPr>
        <w:shd w:val="clear" w:color="auto" w:fill="F2F2F2"/>
      </w:tcPr>
    </w:tblStylePr>
  </w:style>
  <w:style w:type="paragraph" w:styleId="Revision">
    <w:name w:val="Revision"/>
    <w:hidden/>
    <w:uiPriority w:val="99"/>
    <w:semiHidden/>
    <w:rsid w:val="000F04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808f6a-a654-4f04-b565-c7b4aa374a77">
      <Terms xmlns="http://schemas.microsoft.com/office/infopath/2007/PartnerControls"/>
    </lcf76f155ced4ddcb4097134ff3c332f>
    <TaxCatchAll xmlns="fcf8fdd6-eade-4778-8b26-504461acb0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D517C8DAAFE141B27CC15750C1EE0F" ma:contentTypeVersion="13" ma:contentTypeDescription="Create a new document." ma:contentTypeScope="" ma:versionID="cf0335d6d04c75fe09498333d83ef3b8">
  <xsd:schema xmlns:xsd="http://www.w3.org/2001/XMLSchema" xmlns:xs="http://www.w3.org/2001/XMLSchema" xmlns:p="http://schemas.microsoft.com/office/2006/metadata/properties" xmlns:ns2="b7808f6a-a654-4f04-b565-c7b4aa374a77" xmlns:ns3="fcf8fdd6-eade-4778-8b26-504461acb0c1" targetNamespace="http://schemas.microsoft.com/office/2006/metadata/properties" ma:root="true" ma:fieldsID="c2f486e26a80102ec1f112bff1d13665" ns2:_="" ns3:_="">
    <xsd:import namespace="b7808f6a-a654-4f04-b565-c7b4aa374a77"/>
    <xsd:import namespace="fcf8fdd6-eade-4778-8b26-504461acb0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08f6a-a654-4f04-b565-c7b4aa374a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33fd168-d4e0-4d4c-be93-b91e2ddf9c3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f8fdd6-eade-4778-8b26-504461acb0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105d634-c41b-4484-82dc-3532f6e5e125}" ma:internalName="TaxCatchAll" ma:showField="CatchAllData" ma:web="fcf8fdd6-eade-4778-8b26-504461acb0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E6E768-325D-46C5-AF55-2BB4F54CB9A6}">
  <ds:schemaRefs>
    <ds:schemaRef ds:uri="http://schemas.openxmlformats.org/package/2006/metadata/core-properties"/>
    <ds:schemaRef ds:uri="http://schemas.microsoft.com/office/infopath/2007/PartnerControls"/>
    <ds:schemaRef ds:uri="http://purl.org/dc/terms/"/>
    <ds:schemaRef ds:uri="fcf8fdd6-eade-4778-8b26-504461acb0c1"/>
    <ds:schemaRef ds:uri="http://purl.org/dc/elements/1.1/"/>
    <ds:schemaRef ds:uri="http://www.w3.org/XML/1998/namespace"/>
    <ds:schemaRef ds:uri="http://schemas.microsoft.com/office/2006/documentManagement/types"/>
    <ds:schemaRef ds:uri="b7808f6a-a654-4f04-b565-c7b4aa374a77"/>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1A6D829-1EE1-4283-B422-D606C5543ACF}">
  <ds:schemaRefs>
    <ds:schemaRef ds:uri="http://schemas.microsoft.com/sharepoint/v3/contenttype/forms"/>
  </ds:schemaRefs>
</ds:datastoreItem>
</file>

<file path=customXml/itemProps3.xml><?xml version="1.0" encoding="utf-8"?>
<ds:datastoreItem xmlns:ds="http://schemas.openxmlformats.org/officeDocument/2006/customXml" ds:itemID="{7A5CE8CA-13FA-45ED-ACE3-06A89DFD1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08f6a-a654-4f04-b565-c7b4aa374a77"/>
    <ds:schemaRef ds:uri="fcf8fdd6-eade-4778-8b26-504461acb0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1767</Words>
  <Characters>10073</Characters>
  <Application>Microsoft Office Word</Application>
  <DocSecurity>0</DocSecurity>
  <Lines>83</Lines>
  <Paragraphs>23</Paragraphs>
  <ScaleCrop>false</ScaleCrop>
  <Company/>
  <LinksUpToDate>false</LinksUpToDate>
  <CharactersWithSpaces>11817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Louiza Velentzis</dc:creator>
  <cp:keywords/>
  <dc:description/>
  <cp:lastModifiedBy>Louiza Velentzis</cp:lastModifiedBy>
  <cp:revision>2</cp:revision>
  <dcterms:created xsi:type="dcterms:W3CDTF">2023-03-09T23:49:00Z</dcterms:created>
  <dcterms:modified xsi:type="dcterms:W3CDTF">2023-03-09T23:49:00Z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0x010100FED517C8DAAFE141B27CC15750C1EE0F</vt:lpwstr>
  </property>
  <property fmtid="{D5CDD505-2E9C-101B-9397-08002B2CF9AE}" pid="3" name="MediaServiceImageTags">
    <vt:lpwstr/>
  </property>
</Properties>
</file>