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3D9EE0" w14:textId="713740F3" w:rsidR="00BD39BD" w:rsidRDefault="00BD39BD" w:rsidP="00BD39BD">
      <w:pPr>
        <w:jc w:val="both"/>
        <w:rPr>
          <w:rFonts w:cs="Arial"/>
          <w:b/>
          <w:bCs/>
          <w:sz w:val="38"/>
          <w:szCs w:val="38"/>
        </w:rPr>
      </w:pPr>
      <w:r>
        <w:rPr>
          <w:rFonts w:cs="Arial"/>
          <w:b/>
          <w:bCs/>
          <w:sz w:val="38"/>
          <w:szCs w:val="38"/>
        </w:rPr>
        <w:t>Supplementary Figures</w:t>
      </w:r>
    </w:p>
    <w:p w14:paraId="6FC3B0FF" w14:textId="77777777" w:rsidR="00BD39BD" w:rsidRDefault="00BD39BD" w:rsidP="00BD39BD">
      <w:pPr>
        <w:jc w:val="both"/>
        <w:rPr>
          <w:rFonts w:cs="Arial"/>
          <w:b/>
          <w:bCs/>
          <w:sz w:val="38"/>
          <w:szCs w:val="38"/>
        </w:rPr>
      </w:pPr>
    </w:p>
    <w:p w14:paraId="49DB3295" w14:textId="517A925D" w:rsidR="00BD39BD" w:rsidRPr="004F57B3" w:rsidRDefault="00BD39BD" w:rsidP="00BD39BD">
      <w:pPr>
        <w:rPr>
          <w:rFonts w:cs="Arial"/>
          <w:b/>
          <w:bCs/>
          <w:sz w:val="36"/>
          <w:szCs w:val="36"/>
        </w:rPr>
      </w:pPr>
      <w:r w:rsidRPr="004F57B3">
        <w:rPr>
          <w:rFonts w:cs="Arial"/>
          <w:b/>
          <w:bCs/>
          <w:sz w:val="36"/>
          <w:szCs w:val="36"/>
        </w:rPr>
        <w:t>Transiently heritable fates and quorum sensing drive early IFN-I response</w:t>
      </w:r>
      <w:r w:rsidR="004F57B3" w:rsidRPr="004F57B3">
        <w:rPr>
          <w:rFonts w:cs="Arial"/>
          <w:b/>
          <w:bCs/>
          <w:sz w:val="36"/>
          <w:szCs w:val="36"/>
        </w:rPr>
        <w:t xml:space="preserve"> dynamics</w:t>
      </w:r>
    </w:p>
    <w:p w14:paraId="793059C3" w14:textId="4BE35CAD" w:rsidR="00BD39BD" w:rsidRPr="007B3A9B" w:rsidRDefault="00BD39BD" w:rsidP="00BD39BD">
      <w:pPr>
        <w:spacing w:before="240" w:line="276" w:lineRule="auto"/>
        <w:rPr>
          <w:b/>
          <w:bCs/>
          <w:vertAlign w:val="superscript"/>
          <w:lang w:val="nl-NL"/>
        </w:rPr>
      </w:pPr>
      <w:r w:rsidRPr="007B3A9B">
        <w:rPr>
          <w:b/>
          <w:bCs/>
          <w:lang w:val="nl-NL"/>
        </w:rPr>
        <w:t>Laura C. Van Eyndhoven</w:t>
      </w:r>
      <w:r w:rsidRPr="007B3A9B">
        <w:rPr>
          <w:b/>
          <w:bCs/>
          <w:vertAlign w:val="superscript"/>
          <w:lang w:val="nl-NL"/>
        </w:rPr>
        <w:t>1,2</w:t>
      </w:r>
      <w:r w:rsidRPr="007B3A9B">
        <w:rPr>
          <w:b/>
          <w:bCs/>
          <w:lang w:val="nl-NL"/>
        </w:rPr>
        <w:t>, Vincent P.G. Verberne</w:t>
      </w:r>
      <w:r w:rsidRPr="007B3A9B">
        <w:rPr>
          <w:b/>
          <w:bCs/>
          <w:vertAlign w:val="superscript"/>
          <w:lang w:val="nl-NL"/>
        </w:rPr>
        <w:t>1,2</w:t>
      </w:r>
      <w:r w:rsidRPr="007B3A9B">
        <w:rPr>
          <w:b/>
          <w:bCs/>
          <w:lang w:val="nl-NL"/>
        </w:rPr>
        <w:t>, Carlijn V.C. Bouten</w:t>
      </w:r>
      <w:r w:rsidRPr="007B3A9B">
        <w:rPr>
          <w:b/>
          <w:bCs/>
          <w:vertAlign w:val="superscript"/>
          <w:lang w:val="nl-NL"/>
        </w:rPr>
        <w:t>2,3</w:t>
      </w:r>
      <w:r w:rsidRPr="007B3A9B">
        <w:rPr>
          <w:b/>
          <w:bCs/>
          <w:lang w:val="nl-NL"/>
        </w:rPr>
        <w:t>, Abhyudai Singh</w:t>
      </w:r>
      <w:r w:rsidR="00F34B1A" w:rsidRPr="007B3A9B">
        <w:rPr>
          <w:b/>
          <w:bCs/>
          <w:vertAlign w:val="superscript"/>
          <w:lang w:val="nl-NL"/>
        </w:rPr>
        <w:t>4</w:t>
      </w:r>
      <w:r w:rsidRPr="007B3A9B">
        <w:rPr>
          <w:b/>
          <w:bCs/>
          <w:lang w:val="nl-NL"/>
        </w:rPr>
        <w:t>, Jurjen Tel</w:t>
      </w:r>
      <w:r w:rsidRPr="007B3A9B">
        <w:rPr>
          <w:b/>
          <w:bCs/>
          <w:vertAlign w:val="superscript"/>
          <w:lang w:val="nl-NL"/>
        </w:rPr>
        <w:t>1,2*</w:t>
      </w:r>
    </w:p>
    <w:p w14:paraId="4EF093A9" w14:textId="77777777" w:rsidR="00BD39BD" w:rsidRPr="002740B1" w:rsidRDefault="00BD39BD" w:rsidP="00BD39BD">
      <w:pPr>
        <w:spacing w:before="240" w:line="276" w:lineRule="auto"/>
      </w:pPr>
      <w:r w:rsidRPr="002740B1">
        <w:rPr>
          <w:vertAlign w:val="superscript"/>
        </w:rPr>
        <w:t>1</w:t>
      </w:r>
      <w:r w:rsidRPr="002740B1">
        <w:t xml:space="preserve">Laboratory of Immunoengineering, </w:t>
      </w:r>
      <w:r w:rsidRPr="00342D43">
        <w:t>Department</w:t>
      </w:r>
      <w:r>
        <w:t xml:space="preserve"> of</w:t>
      </w:r>
      <w:r w:rsidRPr="002740B1">
        <w:t xml:space="preserve"> Biomedical Engineering, Eindhoven University of Technology, Eindhoven, The Netherlands</w:t>
      </w:r>
    </w:p>
    <w:p w14:paraId="7E5DA41D" w14:textId="77777777" w:rsidR="00BD39BD" w:rsidRDefault="00BD39BD" w:rsidP="00BD39BD">
      <w:pPr>
        <w:spacing w:before="240" w:line="276" w:lineRule="auto"/>
      </w:pPr>
      <w:r w:rsidRPr="002740B1">
        <w:rPr>
          <w:vertAlign w:val="superscript"/>
        </w:rPr>
        <w:t>2</w:t>
      </w:r>
      <w:r w:rsidRPr="002740B1">
        <w:t>Institute for Complex Molecular Systems (ICMS), Eindhoven University of Technology, Eindhoven, The Netherlands</w:t>
      </w:r>
    </w:p>
    <w:p w14:paraId="696DF80D" w14:textId="7BA1180E" w:rsidR="00BD39BD" w:rsidRPr="005A3FA9" w:rsidRDefault="00BD39BD" w:rsidP="00BD39BD">
      <w:pPr>
        <w:spacing w:before="240" w:line="276" w:lineRule="auto"/>
        <w:rPr>
          <w:rFonts w:cs="Arial"/>
        </w:rPr>
      </w:pPr>
      <w:r>
        <w:rPr>
          <w:vertAlign w:val="superscript"/>
        </w:rPr>
        <w:t>3</w:t>
      </w:r>
      <w:r w:rsidR="00B66BC9" w:rsidRPr="00D759EF">
        <w:rPr>
          <w:rFonts w:cs="Arial"/>
          <w:color w:val="212121"/>
          <w:shd w:val="clear" w:color="auto" w:fill="FFFFFF"/>
        </w:rPr>
        <w:t>Soft Tissue Engineering and Mechanobiology (STEM),</w:t>
      </w:r>
      <w:r w:rsidR="00B66BC9">
        <w:rPr>
          <w:rFonts w:cs="Arial"/>
          <w:color w:val="212121"/>
          <w:shd w:val="clear" w:color="auto" w:fill="FFFFFF"/>
        </w:rPr>
        <w:t xml:space="preserve"> D</w:t>
      </w:r>
      <w:r w:rsidRPr="005A3FA9">
        <w:rPr>
          <w:rFonts w:cs="Arial"/>
          <w:color w:val="212121"/>
          <w:shd w:val="clear" w:color="auto" w:fill="FFFFFF"/>
        </w:rPr>
        <w:t>epartment of Biomedical Engineering, Eindhoven University of Technology, Eindhoven, The Netherlands</w:t>
      </w:r>
    </w:p>
    <w:p w14:paraId="3AD1ECF4" w14:textId="77777777" w:rsidR="00BD39BD" w:rsidRDefault="00BD39BD" w:rsidP="00BD39BD">
      <w:pPr>
        <w:spacing w:before="240" w:line="276" w:lineRule="auto"/>
      </w:pPr>
      <w:r>
        <w:rPr>
          <w:vertAlign w:val="superscript"/>
        </w:rPr>
        <w:t>4</w:t>
      </w:r>
      <w:r w:rsidRPr="002740B1">
        <w:t>Department of Electrical and Computer Engineering, University of Delaware, Newark, Delaware, USA</w:t>
      </w:r>
    </w:p>
    <w:p w14:paraId="227C2B81" w14:textId="77777777" w:rsidR="00BD39BD" w:rsidRDefault="00BD39BD" w:rsidP="00BD39BD">
      <w:pPr>
        <w:spacing w:before="240" w:line="276" w:lineRule="auto"/>
      </w:pPr>
      <w:r>
        <w:t xml:space="preserve">*Correspondence: </w:t>
      </w:r>
      <w:hyperlink r:id="rId6" w:history="1">
        <w:r w:rsidRPr="00D13D4C">
          <w:rPr>
            <w:rStyle w:val="Hyperlink"/>
          </w:rPr>
          <w:t>j.tel@tue.nl</w:t>
        </w:r>
      </w:hyperlink>
    </w:p>
    <w:p w14:paraId="7A5418E1" w14:textId="77777777" w:rsidR="00BD5DD1" w:rsidRDefault="00BD39BD" w:rsidP="00BD5DD1">
      <w:pPr>
        <w:spacing w:line="276" w:lineRule="auto"/>
        <w:jc w:val="center"/>
      </w:pPr>
      <w:r>
        <w:br w:type="page"/>
      </w:r>
      <w:r w:rsidR="00BD5DD1">
        <w:rPr>
          <w:noProof/>
        </w:rPr>
        <w:lastRenderedPageBreak/>
        <w:drawing>
          <wp:inline distT="0" distB="0" distL="0" distR="0" wp14:anchorId="0267090F" wp14:editId="45D3305B">
            <wp:extent cx="4631055" cy="4183539"/>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1583" b="2485"/>
                    <a:stretch/>
                  </pic:blipFill>
                  <pic:spPr bwMode="auto">
                    <a:xfrm>
                      <a:off x="0" y="0"/>
                      <a:ext cx="4645291" cy="4196399"/>
                    </a:xfrm>
                    <a:prstGeom prst="rect">
                      <a:avLst/>
                    </a:prstGeom>
                    <a:noFill/>
                    <a:ln>
                      <a:noFill/>
                    </a:ln>
                    <a:extLst>
                      <a:ext uri="{53640926-AAD7-44D8-BBD7-CCE9431645EC}">
                        <a14:shadowObscured xmlns:a14="http://schemas.microsoft.com/office/drawing/2010/main"/>
                      </a:ext>
                    </a:extLst>
                  </pic:spPr>
                </pic:pic>
              </a:graphicData>
            </a:graphic>
          </wp:inline>
        </w:drawing>
      </w:r>
    </w:p>
    <w:p w14:paraId="074B6202" w14:textId="77777777" w:rsidR="00BD5DD1" w:rsidRDefault="00BD5DD1" w:rsidP="00BD5DD1">
      <w:pPr>
        <w:spacing w:line="276" w:lineRule="auto"/>
        <w:jc w:val="both"/>
        <w:rPr>
          <w:sz w:val="20"/>
          <w:szCs w:val="20"/>
        </w:rPr>
      </w:pPr>
      <w:r w:rsidRPr="006B21F0">
        <w:rPr>
          <w:b/>
          <w:bCs/>
          <w:sz w:val="20"/>
          <w:szCs w:val="20"/>
        </w:rPr>
        <w:t xml:space="preserve">Supplementary </w:t>
      </w:r>
      <w:r>
        <w:rPr>
          <w:b/>
          <w:bCs/>
          <w:sz w:val="20"/>
          <w:szCs w:val="20"/>
        </w:rPr>
        <w:t>Figure</w:t>
      </w:r>
      <w:r w:rsidRPr="006B21F0">
        <w:rPr>
          <w:b/>
          <w:bCs/>
          <w:sz w:val="20"/>
          <w:szCs w:val="20"/>
        </w:rPr>
        <w:t xml:space="preserve"> 1</w:t>
      </w:r>
      <w:r>
        <w:rPr>
          <w:b/>
          <w:bCs/>
          <w:sz w:val="20"/>
          <w:szCs w:val="20"/>
        </w:rPr>
        <w:t>.</w:t>
      </w:r>
      <w:r w:rsidRPr="006B21F0">
        <w:rPr>
          <w:b/>
          <w:bCs/>
          <w:sz w:val="20"/>
          <w:szCs w:val="20"/>
        </w:rPr>
        <w:t xml:space="preserve"> </w:t>
      </w:r>
      <w:r w:rsidRPr="00915074">
        <w:rPr>
          <w:sz w:val="20"/>
          <w:szCs w:val="20"/>
        </w:rPr>
        <w:t>Details on automated script in CellProfiler software.</w:t>
      </w:r>
      <w:r w:rsidRPr="006B21F0">
        <w:rPr>
          <w:b/>
          <w:bCs/>
          <w:sz w:val="20"/>
          <w:szCs w:val="20"/>
        </w:rPr>
        <w:t xml:space="preserve"> </w:t>
      </w:r>
      <w:r w:rsidRPr="00915074">
        <w:rPr>
          <w:sz w:val="20"/>
          <w:szCs w:val="20"/>
        </w:rPr>
        <w:t>(</w:t>
      </w:r>
      <w:r>
        <w:rPr>
          <w:b/>
          <w:bCs/>
          <w:sz w:val="20"/>
          <w:szCs w:val="20"/>
        </w:rPr>
        <w:t>A-C</w:t>
      </w:r>
      <w:r w:rsidRPr="00915074">
        <w:rPr>
          <w:sz w:val="20"/>
          <w:szCs w:val="20"/>
        </w:rPr>
        <w:t>)</w:t>
      </w:r>
      <w:r w:rsidRPr="006B21F0">
        <w:rPr>
          <w:b/>
          <w:bCs/>
          <w:sz w:val="20"/>
          <w:szCs w:val="20"/>
        </w:rPr>
        <w:t xml:space="preserve"> </w:t>
      </w:r>
      <w:r w:rsidRPr="006B21F0">
        <w:rPr>
          <w:sz w:val="20"/>
          <w:szCs w:val="20"/>
        </w:rPr>
        <w:t>Identification of primary, secondary and tertiary objects.</w:t>
      </w:r>
    </w:p>
    <w:p w14:paraId="71FB9A59" w14:textId="77777777" w:rsidR="00BD5DD1" w:rsidRDefault="00BD5DD1" w:rsidP="00BD5DD1">
      <w:pPr>
        <w:spacing w:line="276" w:lineRule="auto"/>
        <w:jc w:val="both"/>
        <w:rPr>
          <w:sz w:val="20"/>
          <w:szCs w:val="20"/>
        </w:rPr>
      </w:pPr>
    </w:p>
    <w:p w14:paraId="5C5D4E4D" w14:textId="77777777" w:rsidR="00BD5DD1" w:rsidRDefault="00BD5DD1" w:rsidP="00BD5DD1">
      <w:pPr>
        <w:spacing w:line="276" w:lineRule="auto"/>
        <w:jc w:val="center"/>
        <w:rPr>
          <w:sz w:val="24"/>
          <w:szCs w:val="24"/>
        </w:rPr>
      </w:pPr>
      <w:r>
        <w:rPr>
          <w:noProof/>
          <w:sz w:val="24"/>
          <w:szCs w:val="24"/>
        </w:rPr>
        <w:drawing>
          <wp:inline distT="0" distB="0" distL="0" distR="0" wp14:anchorId="51F2FDD5" wp14:editId="7200BF00">
            <wp:extent cx="3959525" cy="2969212"/>
            <wp:effectExtent l="0" t="0" r="3175"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78305" cy="2983295"/>
                    </a:xfrm>
                    <a:prstGeom prst="rect">
                      <a:avLst/>
                    </a:prstGeom>
                    <a:noFill/>
                  </pic:spPr>
                </pic:pic>
              </a:graphicData>
            </a:graphic>
          </wp:inline>
        </w:drawing>
      </w:r>
    </w:p>
    <w:p w14:paraId="0291D77D" w14:textId="77777777" w:rsidR="00BD5DD1" w:rsidRDefault="00BD5DD1" w:rsidP="00BD5DD1">
      <w:pPr>
        <w:spacing w:line="276" w:lineRule="auto"/>
        <w:jc w:val="both"/>
        <w:rPr>
          <w:sz w:val="24"/>
          <w:szCs w:val="24"/>
        </w:rPr>
      </w:pPr>
      <w:r w:rsidRPr="006B21F0">
        <w:rPr>
          <w:b/>
          <w:bCs/>
          <w:sz w:val="20"/>
          <w:szCs w:val="20"/>
        </w:rPr>
        <w:t xml:space="preserve">Supplementary </w:t>
      </w:r>
      <w:r>
        <w:rPr>
          <w:b/>
          <w:bCs/>
          <w:sz w:val="20"/>
          <w:szCs w:val="20"/>
        </w:rPr>
        <w:t>Figure</w:t>
      </w:r>
      <w:r w:rsidRPr="006B21F0">
        <w:rPr>
          <w:b/>
          <w:bCs/>
          <w:sz w:val="20"/>
          <w:szCs w:val="20"/>
        </w:rPr>
        <w:t xml:space="preserve"> 2</w:t>
      </w:r>
      <w:r>
        <w:rPr>
          <w:b/>
          <w:bCs/>
          <w:sz w:val="20"/>
          <w:szCs w:val="20"/>
        </w:rPr>
        <w:t>.</w:t>
      </w:r>
      <w:r w:rsidRPr="006B21F0">
        <w:rPr>
          <w:b/>
          <w:bCs/>
          <w:sz w:val="20"/>
          <w:szCs w:val="20"/>
        </w:rPr>
        <w:t xml:space="preserve"> </w:t>
      </w:r>
      <w:r w:rsidRPr="00697732">
        <w:rPr>
          <w:sz w:val="20"/>
          <w:szCs w:val="20"/>
        </w:rPr>
        <w:t>Detailed automated script analysis performance.</w:t>
      </w:r>
      <w:r w:rsidRPr="006B21F0">
        <w:rPr>
          <w:b/>
          <w:bCs/>
          <w:sz w:val="20"/>
          <w:szCs w:val="20"/>
        </w:rPr>
        <w:t xml:space="preserve"> </w:t>
      </w:r>
      <w:r w:rsidRPr="00697732">
        <w:rPr>
          <w:sz w:val="20"/>
          <w:szCs w:val="20"/>
        </w:rPr>
        <w:t>(</w:t>
      </w:r>
      <w:r>
        <w:rPr>
          <w:b/>
          <w:bCs/>
          <w:sz w:val="20"/>
          <w:szCs w:val="20"/>
        </w:rPr>
        <w:t>A</w:t>
      </w:r>
      <w:r w:rsidRPr="00697732">
        <w:rPr>
          <w:sz w:val="20"/>
          <w:szCs w:val="20"/>
        </w:rPr>
        <w:t>)</w:t>
      </w:r>
      <w:r w:rsidRPr="006B21F0">
        <w:rPr>
          <w:b/>
          <w:bCs/>
          <w:sz w:val="20"/>
          <w:szCs w:val="20"/>
        </w:rPr>
        <w:t xml:space="preserve"> </w:t>
      </w:r>
      <w:r w:rsidRPr="006B21F0">
        <w:rPr>
          <w:sz w:val="20"/>
          <w:szCs w:val="20"/>
        </w:rPr>
        <w:t>Identification and indexing of objects</w:t>
      </w:r>
      <w:r w:rsidRPr="006B21F0">
        <w:rPr>
          <w:b/>
          <w:bCs/>
          <w:sz w:val="20"/>
          <w:szCs w:val="20"/>
        </w:rPr>
        <w:t xml:space="preserve">. </w:t>
      </w:r>
      <w:r w:rsidRPr="00697732">
        <w:rPr>
          <w:sz w:val="20"/>
          <w:szCs w:val="20"/>
        </w:rPr>
        <w:t>(</w:t>
      </w:r>
      <w:r w:rsidRPr="00697732">
        <w:rPr>
          <w:b/>
          <w:bCs/>
          <w:sz w:val="20"/>
          <w:szCs w:val="20"/>
        </w:rPr>
        <w:t>B</w:t>
      </w:r>
      <w:r w:rsidRPr="00697732">
        <w:rPr>
          <w:sz w:val="20"/>
          <w:szCs w:val="20"/>
        </w:rPr>
        <w:t>) Detection of nuclei. (</w:t>
      </w:r>
      <w:r w:rsidRPr="00697732">
        <w:rPr>
          <w:b/>
          <w:bCs/>
          <w:sz w:val="20"/>
          <w:szCs w:val="20"/>
        </w:rPr>
        <w:t>C</w:t>
      </w:r>
      <w:r w:rsidRPr="00697732">
        <w:rPr>
          <w:sz w:val="20"/>
          <w:szCs w:val="20"/>
        </w:rPr>
        <w:t>) Detection of cytoplasm. (</w:t>
      </w:r>
      <w:r w:rsidRPr="00697732">
        <w:rPr>
          <w:b/>
          <w:bCs/>
          <w:sz w:val="20"/>
          <w:szCs w:val="20"/>
        </w:rPr>
        <w:t>D</w:t>
      </w:r>
      <w:r w:rsidRPr="00697732">
        <w:rPr>
          <w:sz w:val="20"/>
          <w:szCs w:val="20"/>
        </w:rPr>
        <w:t>) Creation</w:t>
      </w:r>
      <w:r w:rsidRPr="006B21F0">
        <w:rPr>
          <w:sz w:val="20"/>
          <w:szCs w:val="20"/>
        </w:rPr>
        <w:t xml:space="preserve"> of masks aligning the nuclei and cytoplasm. </w:t>
      </w:r>
      <w:r>
        <w:rPr>
          <w:sz w:val="24"/>
          <w:szCs w:val="24"/>
        </w:rPr>
        <w:br w:type="page"/>
      </w:r>
    </w:p>
    <w:p w14:paraId="30047F06" w14:textId="77777777" w:rsidR="00BD5DD1" w:rsidRDefault="00BD5DD1" w:rsidP="00BD5DD1">
      <w:pPr>
        <w:spacing w:line="276" w:lineRule="auto"/>
        <w:jc w:val="center"/>
        <w:rPr>
          <w:sz w:val="24"/>
          <w:szCs w:val="24"/>
          <w:lang w:val="en-NL"/>
        </w:rPr>
      </w:pPr>
      <w:r>
        <w:rPr>
          <w:noProof/>
          <w:sz w:val="24"/>
          <w:szCs w:val="24"/>
          <w:lang w:val="en-NL"/>
        </w:rPr>
        <w:lastRenderedPageBreak/>
        <w:drawing>
          <wp:inline distT="0" distB="0" distL="0" distR="0" wp14:anchorId="21AC4F0C" wp14:editId="6A615680">
            <wp:extent cx="4732020" cy="227305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4611" b="2301"/>
                    <a:stretch/>
                  </pic:blipFill>
                  <pic:spPr bwMode="auto">
                    <a:xfrm>
                      <a:off x="0" y="0"/>
                      <a:ext cx="4750949" cy="2282152"/>
                    </a:xfrm>
                    <a:prstGeom prst="rect">
                      <a:avLst/>
                    </a:prstGeom>
                    <a:noFill/>
                    <a:ln>
                      <a:noFill/>
                    </a:ln>
                    <a:extLst>
                      <a:ext uri="{53640926-AAD7-44D8-BBD7-CCE9431645EC}">
                        <a14:shadowObscured xmlns:a14="http://schemas.microsoft.com/office/drawing/2010/main"/>
                      </a:ext>
                    </a:extLst>
                  </pic:spPr>
                </pic:pic>
              </a:graphicData>
            </a:graphic>
          </wp:inline>
        </w:drawing>
      </w:r>
    </w:p>
    <w:p w14:paraId="3789CDE4" w14:textId="77777777" w:rsidR="00BD5DD1" w:rsidRDefault="00BD5DD1" w:rsidP="00BD5DD1">
      <w:pPr>
        <w:spacing w:line="276" w:lineRule="auto"/>
        <w:jc w:val="both"/>
        <w:rPr>
          <w:sz w:val="20"/>
          <w:szCs w:val="20"/>
        </w:rPr>
      </w:pPr>
      <w:r w:rsidRPr="006B21F0">
        <w:rPr>
          <w:b/>
          <w:bCs/>
          <w:sz w:val="20"/>
          <w:szCs w:val="20"/>
        </w:rPr>
        <w:t xml:space="preserve">Supplementary </w:t>
      </w:r>
      <w:r>
        <w:rPr>
          <w:b/>
          <w:bCs/>
          <w:sz w:val="20"/>
          <w:szCs w:val="20"/>
        </w:rPr>
        <w:t>Figure</w:t>
      </w:r>
      <w:r w:rsidRPr="006B21F0">
        <w:rPr>
          <w:b/>
          <w:bCs/>
          <w:sz w:val="20"/>
          <w:szCs w:val="20"/>
        </w:rPr>
        <w:t xml:space="preserve"> 3</w:t>
      </w:r>
      <w:r>
        <w:rPr>
          <w:b/>
          <w:bCs/>
          <w:sz w:val="20"/>
          <w:szCs w:val="20"/>
        </w:rPr>
        <w:t>.</w:t>
      </w:r>
      <w:r w:rsidRPr="006B21F0">
        <w:rPr>
          <w:b/>
          <w:bCs/>
          <w:sz w:val="20"/>
          <w:szCs w:val="20"/>
        </w:rPr>
        <w:t xml:space="preserve"> </w:t>
      </w:r>
      <w:r w:rsidRPr="00BA1178">
        <w:rPr>
          <w:sz w:val="20"/>
          <w:szCs w:val="20"/>
        </w:rPr>
        <w:t>Confocal microscopy</w:t>
      </w:r>
      <w:r>
        <w:rPr>
          <w:b/>
          <w:bCs/>
          <w:sz w:val="20"/>
          <w:szCs w:val="20"/>
        </w:rPr>
        <w:t xml:space="preserve"> </w:t>
      </w:r>
      <w:r w:rsidRPr="00BA1178">
        <w:rPr>
          <w:sz w:val="20"/>
          <w:szCs w:val="20"/>
        </w:rPr>
        <w:t xml:space="preserve">and </w:t>
      </w:r>
      <w:r>
        <w:rPr>
          <w:sz w:val="20"/>
          <w:szCs w:val="20"/>
        </w:rPr>
        <w:t>f</w:t>
      </w:r>
      <w:r w:rsidRPr="006B2AD2">
        <w:rPr>
          <w:sz w:val="20"/>
          <w:szCs w:val="20"/>
        </w:rPr>
        <w:t>lowcytometr</w:t>
      </w:r>
      <w:r>
        <w:rPr>
          <w:sz w:val="20"/>
          <w:szCs w:val="20"/>
        </w:rPr>
        <w:t>y</w:t>
      </w:r>
      <w:r w:rsidRPr="006B2AD2">
        <w:rPr>
          <w:sz w:val="20"/>
          <w:szCs w:val="20"/>
        </w:rPr>
        <w:t xml:space="preserve"> analysis of transfection efficiency.</w:t>
      </w:r>
      <w:r>
        <w:rPr>
          <w:sz w:val="20"/>
          <w:szCs w:val="20"/>
        </w:rPr>
        <w:t xml:space="preserve"> (</w:t>
      </w:r>
      <w:r w:rsidRPr="00BA1178">
        <w:rPr>
          <w:b/>
          <w:bCs/>
          <w:sz w:val="20"/>
          <w:szCs w:val="20"/>
        </w:rPr>
        <w:t>A</w:t>
      </w:r>
      <w:r w:rsidRPr="00BA1178">
        <w:rPr>
          <w:sz w:val="20"/>
          <w:szCs w:val="20"/>
        </w:rPr>
        <w:t>)</w:t>
      </w:r>
      <w:r w:rsidRPr="006B21F0">
        <w:rPr>
          <w:b/>
          <w:bCs/>
          <w:sz w:val="20"/>
          <w:szCs w:val="20"/>
        </w:rPr>
        <w:t xml:space="preserve"> </w:t>
      </w:r>
      <w:r w:rsidRPr="006B21F0">
        <w:rPr>
          <w:sz w:val="20"/>
          <w:szCs w:val="20"/>
        </w:rPr>
        <w:t>Fibroblasts were transfected as described previously</w:t>
      </w:r>
      <w:r>
        <w:rPr>
          <w:sz w:val="20"/>
          <w:szCs w:val="20"/>
        </w:rPr>
        <w:t xml:space="preserve">. After 3 hours, cells were washed, fixed, and analyzed using confocal microscopy. Scale bar equals 100 </w:t>
      </w:r>
      <w:r>
        <w:rPr>
          <w:rFonts w:cs="Arial"/>
          <w:sz w:val="20"/>
          <w:szCs w:val="20"/>
        </w:rPr>
        <w:t>μ</w:t>
      </w:r>
      <w:r>
        <w:rPr>
          <w:sz w:val="20"/>
          <w:szCs w:val="20"/>
        </w:rPr>
        <w:t>m. (</w:t>
      </w:r>
      <w:r w:rsidRPr="00BA1178">
        <w:rPr>
          <w:b/>
          <w:bCs/>
          <w:sz w:val="20"/>
          <w:szCs w:val="20"/>
        </w:rPr>
        <w:t>B</w:t>
      </w:r>
      <w:r>
        <w:rPr>
          <w:sz w:val="20"/>
          <w:szCs w:val="20"/>
        </w:rPr>
        <w:t xml:space="preserve">) Fibroblasts were transfected, </w:t>
      </w:r>
      <w:r w:rsidRPr="006B21F0">
        <w:rPr>
          <w:sz w:val="20"/>
          <w:szCs w:val="20"/>
        </w:rPr>
        <w:t>incubated</w:t>
      </w:r>
      <w:r>
        <w:rPr>
          <w:sz w:val="20"/>
          <w:szCs w:val="20"/>
        </w:rPr>
        <w:t xml:space="preserve">, </w:t>
      </w:r>
      <w:r w:rsidRPr="006B21F0">
        <w:rPr>
          <w:sz w:val="20"/>
          <w:szCs w:val="20"/>
        </w:rPr>
        <w:t>trypsinized, thoroughly washed</w:t>
      </w:r>
      <w:r>
        <w:rPr>
          <w:sz w:val="20"/>
          <w:szCs w:val="20"/>
        </w:rPr>
        <w:t>,</w:t>
      </w:r>
      <w:r w:rsidRPr="006B21F0">
        <w:rPr>
          <w:sz w:val="20"/>
          <w:szCs w:val="20"/>
        </w:rPr>
        <w:t xml:space="preserve"> and measured</w:t>
      </w:r>
      <w:r>
        <w:rPr>
          <w:sz w:val="20"/>
          <w:szCs w:val="20"/>
        </w:rPr>
        <w:t xml:space="preserve"> using flow cytometry</w:t>
      </w:r>
      <w:r w:rsidRPr="006B21F0">
        <w:rPr>
          <w:sz w:val="20"/>
          <w:szCs w:val="20"/>
        </w:rPr>
        <w:t xml:space="preserve">. Depicted are the total fibroblast events, for unstimulated (0h), and for the first 3 hours after transfection, and their corresponding fluorescent mean fluorescent intensity (MFI) values for PE-Rhodamine. </w:t>
      </w:r>
    </w:p>
    <w:p w14:paraId="3CAC83F6" w14:textId="77777777" w:rsidR="00BD5DD1" w:rsidRDefault="00BD5DD1" w:rsidP="00BD5DD1">
      <w:pPr>
        <w:spacing w:line="276" w:lineRule="auto"/>
        <w:jc w:val="both"/>
        <w:rPr>
          <w:sz w:val="24"/>
          <w:szCs w:val="24"/>
          <w:lang w:val="en-NL"/>
        </w:rPr>
      </w:pPr>
    </w:p>
    <w:p w14:paraId="414F4FEE" w14:textId="77777777" w:rsidR="00BD5DD1" w:rsidRDefault="00BD5DD1" w:rsidP="00BD5DD1">
      <w:pPr>
        <w:spacing w:line="276" w:lineRule="auto"/>
        <w:jc w:val="center"/>
        <w:rPr>
          <w:sz w:val="24"/>
          <w:szCs w:val="24"/>
          <w:lang w:val="en-NL"/>
        </w:rPr>
      </w:pPr>
      <w:r>
        <w:rPr>
          <w:noProof/>
          <w:sz w:val="24"/>
          <w:szCs w:val="24"/>
          <w:lang w:val="en-NL"/>
        </w:rPr>
        <w:drawing>
          <wp:inline distT="0" distB="0" distL="0" distR="0" wp14:anchorId="33404FDB" wp14:editId="454458DA">
            <wp:extent cx="4486275" cy="426878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0">
                      <a:extLst>
                        <a:ext uri="{28A0092B-C50C-407E-A947-70E740481C1C}">
                          <a14:useLocalDpi xmlns:a14="http://schemas.microsoft.com/office/drawing/2010/main" val="0"/>
                        </a:ext>
                      </a:extLst>
                    </a:blip>
                    <a:srcRect t="1896" b="2602"/>
                    <a:stretch/>
                  </pic:blipFill>
                  <pic:spPr bwMode="auto">
                    <a:xfrm>
                      <a:off x="0" y="0"/>
                      <a:ext cx="4495847" cy="4277895"/>
                    </a:xfrm>
                    <a:prstGeom prst="rect">
                      <a:avLst/>
                    </a:prstGeom>
                    <a:noFill/>
                    <a:ln>
                      <a:noFill/>
                    </a:ln>
                    <a:extLst>
                      <a:ext uri="{53640926-AAD7-44D8-BBD7-CCE9431645EC}">
                        <a14:shadowObscured xmlns:a14="http://schemas.microsoft.com/office/drawing/2010/main"/>
                      </a:ext>
                    </a:extLst>
                  </pic:spPr>
                </pic:pic>
              </a:graphicData>
            </a:graphic>
          </wp:inline>
        </w:drawing>
      </w:r>
    </w:p>
    <w:p w14:paraId="1ABA35F4" w14:textId="77777777" w:rsidR="00BD5DD1" w:rsidRDefault="00BD5DD1" w:rsidP="00BD5DD1">
      <w:pPr>
        <w:spacing w:line="276" w:lineRule="auto"/>
        <w:jc w:val="both"/>
        <w:rPr>
          <w:sz w:val="20"/>
          <w:szCs w:val="20"/>
        </w:rPr>
      </w:pPr>
      <w:r w:rsidRPr="006B21F0">
        <w:rPr>
          <w:b/>
          <w:bCs/>
          <w:sz w:val="20"/>
          <w:szCs w:val="20"/>
        </w:rPr>
        <w:t xml:space="preserve">Supplementary </w:t>
      </w:r>
      <w:r>
        <w:rPr>
          <w:b/>
          <w:bCs/>
          <w:sz w:val="20"/>
          <w:szCs w:val="20"/>
        </w:rPr>
        <w:t>Figure</w:t>
      </w:r>
      <w:r w:rsidRPr="006B21F0">
        <w:rPr>
          <w:b/>
          <w:bCs/>
          <w:sz w:val="20"/>
          <w:szCs w:val="20"/>
        </w:rPr>
        <w:t xml:space="preserve"> 4</w:t>
      </w:r>
      <w:r>
        <w:rPr>
          <w:b/>
          <w:bCs/>
          <w:sz w:val="20"/>
          <w:szCs w:val="20"/>
        </w:rPr>
        <w:t>.</w:t>
      </w:r>
      <w:r w:rsidRPr="006B21F0">
        <w:rPr>
          <w:b/>
          <w:bCs/>
          <w:sz w:val="20"/>
          <w:szCs w:val="20"/>
        </w:rPr>
        <w:t xml:space="preserve"> </w:t>
      </w:r>
      <w:r w:rsidRPr="006B2AD2">
        <w:rPr>
          <w:sz w:val="20"/>
          <w:szCs w:val="20"/>
        </w:rPr>
        <w:t>Microscopy images of numerous neighboring cells showing translocation.</w:t>
      </w:r>
      <w:r w:rsidRPr="006B21F0">
        <w:rPr>
          <w:b/>
          <w:bCs/>
          <w:sz w:val="20"/>
          <w:szCs w:val="20"/>
        </w:rPr>
        <w:t xml:space="preserve"> </w:t>
      </w:r>
      <w:r w:rsidRPr="006B21F0">
        <w:rPr>
          <w:sz w:val="20"/>
          <w:szCs w:val="20"/>
        </w:rPr>
        <w:t>Several examples of neighboring cells showing translocation, transfected with 2.5 μg/mL Poly(I:C) for 7 hours, imaged and analyzed for IRF7 translocation. +20% Brightness and +20% contrast were applied for visualization purposes. Scale bar, 100 μm.</w:t>
      </w:r>
    </w:p>
    <w:p w14:paraId="74B498F8" w14:textId="77777777" w:rsidR="00BD5DD1" w:rsidRDefault="00BD5DD1" w:rsidP="00BD5DD1">
      <w:pPr>
        <w:jc w:val="center"/>
        <w:rPr>
          <w:sz w:val="20"/>
          <w:szCs w:val="20"/>
        </w:rPr>
      </w:pPr>
      <w:r>
        <w:rPr>
          <w:noProof/>
          <w:sz w:val="20"/>
          <w:szCs w:val="20"/>
        </w:rPr>
        <w:lastRenderedPageBreak/>
        <w:drawing>
          <wp:inline distT="0" distB="0" distL="0" distR="0" wp14:anchorId="6A118A4B" wp14:editId="3DF35D0D">
            <wp:extent cx="3709359" cy="1972750"/>
            <wp:effectExtent l="0" t="0" r="5715"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1">
                      <a:extLst>
                        <a:ext uri="{28A0092B-C50C-407E-A947-70E740481C1C}">
                          <a14:useLocalDpi xmlns:a14="http://schemas.microsoft.com/office/drawing/2010/main" val="0"/>
                        </a:ext>
                      </a:extLst>
                    </a:blip>
                    <a:srcRect l="6814" t="14373" r="6495" b="5216"/>
                    <a:stretch/>
                  </pic:blipFill>
                  <pic:spPr bwMode="auto">
                    <a:xfrm>
                      <a:off x="0" y="0"/>
                      <a:ext cx="3726169" cy="1981690"/>
                    </a:xfrm>
                    <a:prstGeom prst="rect">
                      <a:avLst/>
                    </a:prstGeom>
                    <a:noFill/>
                    <a:ln>
                      <a:noFill/>
                    </a:ln>
                    <a:extLst>
                      <a:ext uri="{53640926-AAD7-44D8-BBD7-CCE9431645EC}">
                        <a14:shadowObscured xmlns:a14="http://schemas.microsoft.com/office/drawing/2010/main"/>
                      </a:ext>
                    </a:extLst>
                  </pic:spPr>
                </pic:pic>
              </a:graphicData>
            </a:graphic>
          </wp:inline>
        </w:drawing>
      </w:r>
    </w:p>
    <w:p w14:paraId="4F5D5F4C" w14:textId="77777777" w:rsidR="00BD5DD1" w:rsidRDefault="00BD5DD1" w:rsidP="00BD5DD1">
      <w:pPr>
        <w:spacing w:line="276" w:lineRule="auto"/>
        <w:jc w:val="both"/>
        <w:rPr>
          <w:sz w:val="20"/>
          <w:szCs w:val="20"/>
        </w:rPr>
      </w:pPr>
      <w:r w:rsidRPr="006B21F0">
        <w:rPr>
          <w:b/>
          <w:bCs/>
          <w:sz w:val="20"/>
          <w:szCs w:val="20"/>
        </w:rPr>
        <w:t xml:space="preserve">Supplementary </w:t>
      </w:r>
      <w:r>
        <w:rPr>
          <w:b/>
          <w:bCs/>
          <w:sz w:val="20"/>
          <w:szCs w:val="20"/>
        </w:rPr>
        <w:t>Figure</w:t>
      </w:r>
      <w:r w:rsidRPr="006B21F0">
        <w:rPr>
          <w:b/>
          <w:bCs/>
          <w:sz w:val="20"/>
          <w:szCs w:val="20"/>
        </w:rPr>
        <w:t xml:space="preserve"> </w:t>
      </w:r>
      <w:r>
        <w:rPr>
          <w:b/>
          <w:bCs/>
          <w:sz w:val="20"/>
          <w:szCs w:val="20"/>
        </w:rPr>
        <w:t>5.</w:t>
      </w:r>
      <w:r w:rsidRPr="006B21F0">
        <w:rPr>
          <w:b/>
          <w:bCs/>
          <w:sz w:val="20"/>
          <w:szCs w:val="20"/>
        </w:rPr>
        <w:t xml:space="preserve"> </w:t>
      </w:r>
      <w:r>
        <w:rPr>
          <w:sz w:val="20"/>
          <w:szCs w:val="20"/>
        </w:rPr>
        <w:t xml:space="preserve">Percentages of responding cells upon treatment with varying concentration of HDACi TSA, for varying durations. </w:t>
      </w:r>
    </w:p>
    <w:p w14:paraId="4C1DD487" w14:textId="77777777" w:rsidR="00BD5DD1" w:rsidRDefault="00BD5DD1" w:rsidP="00BD5DD1">
      <w:pPr>
        <w:spacing w:line="276" w:lineRule="auto"/>
        <w:jc w:val="both"/>
        <w:rPr>
          <w:sz w:val="20"/>
          <w:szCs w:val="20"/>
        </w:rPr>
      </w:pPr>
    </w:p>
    <w:p w14:paraId="2F6F2ACB" w14:textId="77777777" w:rsidR="00BD5DD1" w:rsidRDefault="00BD5DD1" w:rsidP="00BD5DD1">
      <w:pPr>
        <w:spacing w:line="276" w:lineRule="auto"/>
        <w:jc w:val="both"/>
        <w:rPr>
          <w:sz w:val="20"/>
          <w:szCs w:val="20"/>
        </w:rPr>
      </w:pPr>
    </w:p>
    <w:p w14:paraId="56C968DD" w14:textId="77777777" w:rsidR="00BD5DD1" w:rsidRDefault="00BD5DD1" w:rsidP="00BD5DD1">
      <w:pPr>
        <w:spacing w:line="276" w:lineRule="auto"/>
        <w:jc w:val="center"/>
        <w:rPr>
          <w:sz w:val="20"/>
          <w:szCs w:val="20"/>
          <w:lang w:val="en-NL"/>
        </w:rPr>
      </w:pPr>
      <w:r>
        <w:rPr>
          <w:noProof/>
          <w:sz w:val="20"/>
          <w:szCs w:val="20"/>
        </w:rPr>
        <w:drawing>
          <wp:inline distT="0" distB="0" distL="0" distR="0" wp14:anchorId="3C459497" wp14:editId="546228AA">
            <wp:extent cx="4459856" cy="1724541"/>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688" t="8701" r="4639" b="8440"/>
                    <a:stretch/>
                  </pic:blipFill>
                  <pic:spPr bwMode="auto">
                    <a:xfrm>
                      <a:off x="0" y="0"/>
                      <a:ext cx="4471055" cy="1728872"/>
                    </a:xfrm>
                    <a:prstGeom prst="rect">
                      <a:avLst/>
                    </a:prstGeom>
                    <a:noFill/>
                    <a:ln>
                      <a:noFill/>
                    </a:ln>
                    <a:extLst>
                      <a:ext uri="{53640926-AAD7-44D8-BBD7-CCE9431645EC}">
                        <a14:shadowObscured xmlns:a14="http://schemas.microsoft.com/office/drawing/2010/main"/>
                      </a:ext>
                    </a:extLst>
                  </pic:spPr>
                </pic:pic>
              </a:graphicData>
            </a:graphic>
          </wp:inline>
        </w:drawing>
      </w:r>
    </w:p>
    <w:p w14:paraId="461B24BD" w14:textId="77777777" w:rsidR="00D93FC1" w:rsidRDefault="00BD5DD1" w:rsidP="00BD5DD1">
      <w:pPr>
        <w:spacing w:line="276" w:lineRule="auto"/>
        <w:jc w:val="both"/>
        <w:rPr>
          <w:sz w:val="20"/>
          <w:szCs w:val="20"/>
        </w:rPr>
      </w:pPr>
      <w:r w:rsidRPr="006B21F0">
        <w:rPr>
          <w:b/>
          <w:bCs/>
          <w:sz w:val="20"/>
          <w:szCs w:val="20"/>
        </w:rPr>
        <w:t xml:space="preserve">Supplementary </w:t>
      </w:r>
      <w:r>
        <w:rPr>
          <w:b/>
          <w:bCs/>
          <w:sz w:val="20"/>
          <w:szCs w:val="20"/>
        </w:rPr>
        <w:t>Figure</w:t>
      </w:r>
      <w:r w:rsidRPr="006B21F0">
        <w:rPr>
          <w:b/>
          <w:bCs/>
          <w:sz w:val="20"/>
          <w:szCs w:val="20"/>
        </w:rPr>
        <w:t xml:space="preserve"> </w:t>
      </w:r>
      <w:r>
        <w:rPr>
          <w:b/>
          <w:bCs/>
          <w:sz w:val="20"/>
          <w:szCs w:val="20"/>
        </w:rPr>
        <w:t>6.</w:t>
      </w:r>
      <w:r w:rsidRPr="006B21F0">
        <w:rPr>
          <w:b/>
          <w:bCs/>
          <w:sz w:val="20"/>
          <w:szCs w:val="20"/>
        </w:rPr>
        <w:t xml:space="preserve"> </w:t>
      </w:r>
      <w:r w:rsidRPr="00EA30DE">
        <w:rPr>
          <w:sz w:val="20"/>
          <w:szCs w:val="20"/>
        </w:rPr>
        <w:t>Probability calculations</w:t>
      </w:r>
      <w:r>
        <w:rPr>
          <w:sz w:val="20"/>
          <w:szCs w:val="20"/>
        </w:rPr>
        <w:t>.</w:t>
      </w:r>
      <w:r>
        <w:rPr>
          <w:b/>
          <w:bCs/>
          <w:sz w:val="20"/>
          <w:szCs w:val="20"/>
        </w:rPr>
        <w:t xml:space="preserve"> </w:t>
      </w:r>
      <w:r w:rsidRPr="00EA30DE">
        <w:rPr>
          <w:sz w:val="20"/>
          <w:szCs w:val="20"/>
        </w:rPr>
        <w:t>(</w:t>
      </w:r>
      <w:r w:rsidRPr="00EA30DE">
        <w:rPr>
          <w:b/>
          <w:bCs/>
          <w:sz w:val="20"/>
          <w:szCs w:val="20"/>
        </w:rPr>
        <w:t>A</w:t>
      </w:r>
      <w:r w:rsidRPr="00EA30DE">
        <w:rPr>
          <w:sz w:val="20"/>
          <w:szCs w:val="20"/>
        </w:rPr>
        <w:t xml:space="preserve">) Probability curves for the presence of at least one first responder per clone over the first 10 generations, assuming stochasticity. Solid line represents the probability based on the mean percentage of first responders in regular cultures; dashed lines represent the mean plus and minus the standard deviation (SD). </w:t>
      </w:r>
      <w:r>
        <w:rPr>
          <w:sz w:val="20"/>
          <w:szCs w:val="20"/>
        </w:rPr>
        <w:t>(</w:t>
      </w:r>
      <w:r w:rsidRPr="00EA30DE">
        <w:rPr>
          <w:b/>
          <w:bCs/>
          <w:sz w:val="20"/>
          <w:szCs w:val="20"/>
        </w:rPr>
        <w:t>B</w:t>
      </w:r>
      <w:r>
        <w:rPr>
          <w:sz w:val="20"/>
          <w:szCs w:val="20"/>
        </w:rPr>
        <w:t>)</w:t>
      </w:r>
      <w:r w:rsidRPr="00EA30DE">
        <w:rPr>
          <w:sz w:val="20"/>
          <w:szCs w:val="20"/>
        </w:rPr>
        <w:t xml:space="preserve"> Curves on predicted numbers of first responders present over the first 10 generations, based on the mean percentages obtained from regular cultures (solid line), and the mean +/- SD (dashed line).</w:t>
      </w:r>
    </w:p>
    <w:p w14:paraId="082C8CE8" w14:textId="77777777" w:rsidR="00D93FC1" w:rsidRDefault="00D93FC1">
      <w:pPr>
        <w:rPr>
          <w:sz w:val="20"/>
          <w:szCs w:val="20"/>
        </w:rPr>
      </w:pPr>
      <w:r>
        <w:rPr>
          <w:sz w:val="20"/>
          <w:szCs w:val="20"/>
        </w:rPr>
        <w:br w:type="page"/>
      </w:r>
    </w:p>
    <w:p w14:paraId="30265315" w14:textId="77777777" w:rsidR="00D93FC1" w:rsidRDefault="00D93FC1" w:rsidP="00D93FC1">
      <w:pPr>
        <w:spacing w:line="276" w:lineRule="auto"/>
        <w:jc w:val="center"/>
        <w:rPr>
          <w:sz w:val="20"/>
          <w:szCs w:val="20"/>
        </w:rPr>
      </w:pPr>
      <w:r>
        <w:rPr>
          <w:noProof/>
          <w:sz w:val="20"/>
          <w:szCs w:val="20"/>
        </w:rPr>
        <w:lastRenderedPageBreak/>
        <w:drawing>
          <wp:inline distT="0" distB="0" distL="0" distR="0" wp14:anchorId="5706D12D" wp14:editId="3B939C91">
            <wp:extent cx="1984076" cy="1885636"/>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3">
                      <a:extLst>
                        <a:ext uri="{28A0092B-C50C-407E-A947-70E740481C1C}">
                          <a14:useLocalDpi xmlns:a14="http://schemas.microsoft.com/office/drawing/2010/main" val="0"/>
                        </a:ext>
                      </a:extLst>
                    </a:blip>
                    <a:srcRect r="13021" b="4341"/>
                    <a:stretch/>
                  </pic:blipFill>
                  <pic:spPr bwMode="auto">
                    <a:xfrm>
                      <a:off x="0" y="0"/>
                      <a:ext cx="1990386" cy="1891633"/>
                    </a:xfrm>
                    <a:prstGeom prst="rect">
                      <a:avLst/>
                    </a:prstGeom>
                    <a:noFill/>
                    <a:ln>
                      <a:noFill/>
                    </a:ln>
                    <a:extLst>
                      <a:ext uri="{53640926-AAD7-44D8-BBD7-CCE9431645EC}">
                        <a14:shadowObscured xmlns:a14="http://schemas.microsoft.com/office/drawing/2010/main"/>
                      </a:ext>
                    </a:extLst>
                  </pic:spPr>
                </pic:pic>
              </a:graphicData>
            </a:graphic>
          </wp:inline>
        </w:drawing>
      </w:r>
    </w:p>
    <w:p w14:paraId="07C8CC31" w14:textId="3A9D9D73" w:rsidR="00BD5DD1" w:rsidRPr="006B21F0" w:rsidRDefault="00D93FC1" w:rsidP="00D93FC1">
      <w:pPr>
        <w:spacing w:line="276" w:lineRule="auto"/>
        <w:jc w:val="both"/>
        <w:rPr>
          <w:sz w:val="20"/>
          <w:szCs w:val="20"/>
          <w:lang w:val="en-NL"/>
        </w:rPr>
      </w:pPr>
      <w:r w:rsidRPr="006B21F0">
        <w:rPr>
          <w:b/>
          <w:bCs/>
          <w:sz w:val="20"/>
          <w:szCs w:val="20"/>
        </w:rPr>
        <w:t xml:space="preserve">Supplementary </w:t>
      </w:r>
      <w:r>
        <w:rPr>
          <w:b/>
          <w:bCs/>
          <w:sz w:val="20"/>
          <w:szCs w:val="20"/>
        </w:rPr>
        <w:t>Figure</w:t>
      </w:r>
      <w:r w:rsidRPr="006B21F0">
        <w:rPr>
          <w:b/>
          <w:bCs/>
          <w:sz w:val="20"/>
          <w:szCs w:val="20"/>
        </w:rPr>
        <w:t xml:space="preserve"> </w:t>
      </w:r>
      <w:r>
        <w:rPr>
          <w:b/>
          <w:bCs/>
          <w:sz w:val="20"/>
          <w:szCs w:val="20"/>
        </w:rPr>
        <w:t>7</w:t>
      </w:r>
      <w:r>
        <w:rPr>
          <w:b/>
          <w:bCs/>
          <w:sz w:val="20"/>
          <w:szCs w:val="20"/>
        </w:rPr>
        <w:t>.</w:t>
      </w:r>
      <w:r w:rsidRPr="006B21F0">
        <w:rPr>
          <w:b/>
          <w:bCs/>
          <w:sz w:val="20"/>
          <w:szCs w:val="20"/>
        </w:rPr>
        <w:t xml:space="preserve"> </w:t>
      </w:r>
      <w:r>
        <w:rPr>
          <w:sz w:val="20"/>
          <w:szCs w:val="20"/>
        </w:rPr>
        <w:t>Statistical analysis on fluctuation data</w:t>
      </w:r>
      <w:r w:rsidRPr="00D45C9F">
        <w:rPr>
          <w:sz w:val="20"/>
          <w:szCs w:val="20"/>
        </w:rPr>
        <w:t xml:space="preserve">. </w:t>
      </w:r>
      <w:r w:rsidRPr="003E6839">
        <w:rPr>
          <w:sz w:val="20"/>
          <w:szCs w:val="20"/>
        </w:rPr>
        <w:t xml:space="preserve">Percentages of responding cells of clones of different generations. </w:t>
      </w:r>
      <w:r>
        <w:rPr>
          <w:sz w:val="20"/>
          <w:szCs w:val="20"/>
        </w:rPr>
        <w:t>D</w:t>
      </w:r>
      <w:r w:rsidRPr="003E6839">
        <w:rPr>
          <w:sz w:val="20"/>
          <w:szCs w:val="20"/>
        </w:rPr>
        <w:t xml:space="preserve">ata are represented as mean ± SD; Welch’s t test, two-tailed; ***p &lt; 0.001 ; *p = 0.0446. </w:t>
      </w:r>
      <w:r w:rsidR="00BD5DD1" w:rsidRPr="006B21F0">
        <w:rPr>
          <w:sz w:val="20"/>
          <w:szCs w:val="20"/>
          <w:lang w:val="en-NL"/>
        </w:rPr>
        <w:br w:type="page"/>
      </w:r>
    </w:p>
    <w:p w14:paraId="3D4E287A" w14:textId="77777777" w:rsidR="00BD5DD1" w:rsidRDefault="00BD5DD1" w:rsidP="00BD5DD1">
      <w:pPr>
        <w:spacing w:line="276" w:lineRule="auto"/>
        <w:jc w:val="center"/>
        <w:rPr>
          <w:sz w:val="24"/>
          <w:szCs w:val="24"/>
          <w:lang w:val="en-NL"/>
        </w:rPr>
      </w:pPr>
      <w:r>
        <w:rPr>
          <w:noProof/>
          <w:sz w:val="24"/>
          <w:szCs w:val="24"/>
          <w:lang w:val="en-NL"/>
        </w:rPr>
        <w:lastRenderedPageBreak/>
        <w:drawing>
          <wp:inline distT="0" distB="0" distL="0" distR="0" wp14:anchorId="54BEEA5B" wp14:editId="3B3194C7">
            <wp:extent cx="4085111" cy="410273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810" t="1257" r="2374" b="2207"/>
                    <a:stretch/>
                  </pic:blipFill>
                  <pic:spPr bwMode="auto">
                    <a:xfrm>
                      <a:off x="0" y="0"/>
                      <a:ext cx="4096573" cy="4114246"/>
                    </a:xfrm>
                    <a:prstGeom prst="rect">
                      <a:avLst/>
                    </a:prstGeom>
                    <a:noFill/>
                    <a:ln>
                      <a:noFill/>
                    </a:ln>
                    <a:extLst>
                      <a:ext uri="{53640926-AAD7-44D8-BBD7-CCE9431645EC}">
                        <a14:shadowObscured xmlns:a14="http://schemas.microsoft.com/office/drawing/2010/main"/>
                      </a:ext>
                    </a:extLst>
                  </pic:spPr>
                </pic:pic>
              </a:graphicData>
            </a:graphic>
          </wp:inline>
        </w:drawing>
      </w:r>
    </w:p>
    <w:p w14:paraId="7A739E64" w14:textId="7060D602" w:rsidR="00BD5DD1" w:rsidRDefault="00BD5DD1" w:rsidP="00BD5DD1">
      <w:pPr>
        <w:spacing w:line="276" w:lineRule="auto"/>
        <w:jc w:val="both"/>
        <w:rPr>
          <w:sz w:val="20"/>
          <w:szCs w:val="20"/>
        </w:rPr>
      </w:pPr>
      <w:r w:rsidRPr="006B21F0">
        <w:rPr>
          <w:b/>
          <w:bCs/>
          <w:sz w:val="20"/>
          <w:szCs w:val="20"/>
        </w:rPr>
        <w:t xml:space="preserve">Supplementary </w:t>
      </w:r>
      <w:r>
        <w:rPr>
          <w:b/>
          <w:bCs/>
          <w:sz w:val="20"/>
          <w:szCs w:val="20"/>
        </w:rPr>
        <w:t>Figure</w:t>
      </w:r>
      <w:r w:rsidRPr="006B21F0">
        <w:rPr>
          <w:b/>
          <w:bCs/>
          <w:sz w:val="20"/>
          <w:szCs w:val="20"/>
        </w:rPr>
        <w:t xml:space="preserve"> </w:t>
      </w:r>
      <w:r w:rsidR="00D93FC1">
        <w:rPr>
          <w:b/>
          <w:bCs/>
          <w:sz w:val="20"/>
          <w:szCs w:val="20"/>
        </w:rPr>
        <w:t>8</w:t>
      </w:r>
      <w:r>
        <w:rPr>
          <w:b/>
          <w:bCs/>
          <w:sz w:val="20"/>
          <w:szCs w:val="20"/>
        </w:rPr>
        <w:t>.</w:t>
      </w:r>
      <w:r w:rsidRPr="006B21F0">
        <w:rPr>
          <w:b/>
          <w:bCs/>
          <w:sz w:val="20"/>
          <w:szCs w:val="20"/>
        </w:rPr>
        <w:t xml:space="preserve"> </w:t>
      </w:r>
      <w:r w:rsidRPr="00D45C9F">
        <w:rPr>
          <w:sz w:val="20"/>
          <w:szCs w:val="20"/>
        </w:rPr>
        <w:t>Microscopy images of clones of generation 6. (</w:t>
      </w:r>
      <w:r w:rsidRPr="00D45C9F">
        <w:rPr>
          <w:b/>
          <w:bCs/>
          <w:sz w:val="20"/>
          <w:szCs w:val="20"/>
        </w:rPr>
        <w:t>A-D</w:t>
      </w:r>
      <w:r w:rsidRPr="00D45C9F">
        <w:rPr>
          <w:sz w:val="20"/>
          <w:szCs w:val="20"/>
        </w:rPr>
        <w:t>)</w:t>
      </w:r>
      <w:r w:rsidRPr="006B21F0">
        <w:rPr>
          <w:b/>
          <w:bCs/>
          <w:sz w:val="20"/>
          <w:szCs w:val="20"/>
        </w:rPr>
        <w:t xml:space="preserve"> </w:t>
      </w:r>
      <w:r w:rsidRPr="006B21F0">
        <w:rPr>
          <w:sz w:val="20"/>
          <w:szCs w:val="20"/>
        </w:rPr>
        <w:t xml:space="preserve">Several examples of clones of generation 6, transfected with 2.5 </w:t>
      </w:r>
      <w:r w:rsidRPr="006B21F0">
        <w:rPr>
          <w:sz w:val="20"/>
          <w:szCs w:val="20"/>
          <w:lang w:val="el-GR"/>
        </w:rPr>
        <w:t>μ</w:t>
      </w:r>
      <w:r w:rsidRPr="006B21F0">
        <w:rPr>
          <w:sz w:val="20"/>
          <w:szCs w:val="20"/>
        </w:rPr>
        <w:t>g/mL Poly(I:C) for 7 hours, imaged and analyzed for IRF7 translocation, displaying numerous translocated cells, some of which are indicated with white arrows. +20% Brightness and +20% contrast were applied for visualization purposes. Scale bar</w:t>
      </w:r>
      <w:r>
        <w:rPr>
          <w:sz w:val="20"/>
          <w:szCs w:val="20"/>
        </w:rPr>
        <w:t xml:space="preserve"> equals</w:t>
      </w:r>
      <w:r w:rsidRPr="006B21F0">
        <w:rPr>
          <w:sz w:val="20"/>
          <w:szCs w:val="20"/>
        </w:rPr>
        <w:t xml:space="preserve"> 500 </w:t>
      </w:r>
      <w:r w:rsidRPr="006B21F0">
        <w:rPr>
          <w:sz w:val="20"/>
          <w:szCs w:val="20"/>
          <w:lang w:val="el-GR"/>
        </w:rPr>
        <w:t>μ</w:t>
      </w:r>
      <w:r w:rsidRPr="006B21F0">
        <w:rPr>
          <w:sz w:val="20"/>
          <w:szCs w:val="20"/>
        </w:rPr>
        <w:t>m.</w:t>
      </w:r>
      <w:r>
        <w:rPr>
          <w:sz w:val="20"/>
          <w:szCs w:val="20"/>
        </w:rPr>
        <w:br w:type="page"/>
      </w:r>
    </w:p>
    <w:p w14:paraId="40906CDF" w14:textId="77777777" w:rsidR="00BD5DD1" w:rsidRDefault="00BD5DD1" w:rsidP="00BD5DD1">
      <w:pPr>
        <w:jc w:val="center"/>
        <w:rPr>
          <w:sz w:val="20"/>
          <w:szCs w:val="20"/>
        </w:rPr>
      </w:pPr>
      <w:r>
        <w:rPr>
          <w:noProof/>
          <w:sz w:val="20"/>
          <w:szCs w:val="20"/>
        </w:rPr>
        <w:lastRenderedPageBreak/>
        <w:drawing>
          <wp:inline distT="0" distB="0" distL="0" distR="0" wp14:anchorId="78256976" wp14:editId="4E4BC588">
            <wp:extent cx="4086000" cy="4115561"/>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884" r="1633" b="892"/>
                    <a:stretch/>
                  </pic:blipFill>
                  <pic:spPr bwMode="auto">
                    <a:xfrm>
                      <a:off x="0" y="0"/>
                      <a:ext cx="4086000" cy="4115561"/>
                    </a:xfrm>
                    <a:prstGeom prst="rect">
                      <a:avLst/>
                    </a:prstGeom>
                    <a:noFill/>
                    <a:ln>
                      <a:noFill/>
                    </a:ln>
                    <a:extLst>
                      <a:ext uri="{53640926-AAD7-44D8-BBD7-CCE9431645EC}">
                        <a14:shadowObscured xmlns:a14="http://schemas.microsoft.com/office/drawing/2010/main"/>
                      </a:ext>
                    </a:extLst>
                  </pic:spPr>
                </pic:pic>
              </a:graphicData>
            </a:graphic>
          </wp:inline>
        </w:drawing>
      </w:r>
    </w:p>
    <w:p w14:paraId="7FAD7B4D" w14:textId="4CAC3A46" w:rsidR="00BD5DD1" w:rsidRDefault="00BD5DD1" w:rsidP="00BD5DD1">
      <w:pPr>
        <w:rPr>
          <w:sz w:val="20"/>
          <w:szCs w:val="20"/>
        </w:rPr>
      </w:pPr>
      <w:r w:rsidRPr="006B21F0">
        <w:rPr>
          <w:b/>
          <w:bCs/>
          <w:sz w:val="20"/>
          <w:szCs w:val="20"/>
        </w:rPr>
        <w:t xml:space="preserve">Supplementary </w:t>
      </w:r>
      <w:r>
        <w:rPr>
          <w:b/>
          <w:bCs/>
          <w:sz w:val="20"/>
          <w:szCs w:val="20"/>
        </w:rPr>
        <w:t>Figure</w:t>
      </w:r>
      <w:r w:rsidRPr="006B21F0">
        <w:rPr>
          <w:b/>
          <w:bCs/>
          <w:sz w:val="20"/>
          <w:szCs w:val="20"/>
        </w:rPr>
        <w:t xml:space="preserve"> </w:t>
      </w:r>
      <w:r w:rsidR="00D93FC1">
        <w:rPr>
          <w:b/>
          <w:bCs/>
          <w:sz w:val="20"/>
          <w:szCs w:val="20"/>
        </w:rPr>
        <w:t>9</w:t>
      </w:r>
      <w:r>
        <w:rPr>
          <w:b/>
          <w:bCs/>
          <w:sz w:val="20"/>
          <w:szCs w:val="20"/>
        </w:rPr>
        <w:t>.</w:t>
      </w:r>
      <w:r w:rsidRPr="006B21F0">
        <w:rPr>
          <w:b/>
          <w:bCs/>
          <w:sz w:val="20"/>
          <w:szCs w:val="20"/>
        </w:rPr>
        <w:t xml:space="preserve"> </w:t>
      </w:r>
      <w:r w:rsidRPr="004E5560">
        <w:rPr>
          <w:sz w:val="20"/>
          <w:szCs w:val="20"/>
        </w:rPr>
        <w:t>Microscopy images of clones of generation 9.</w:t>
      </w:r>
      <w:r w:rsidRPr="006B21F0">
        <w:rPr>
          <w:b/>
          <w:bCs/>
          <w:sz w:val="20"/>
          <w:szCs w:val="20"/>
        </w:rPr>
        <w:t xml:space="preserve"> </w:t>
      </w:r>
      <w:r w:rsidRPr="00D45C9F">
        <w:rPr>
          <w:sz w:val="20"/>
          <w:szCs w:val="20"/>
        </w:rPr>
        <w:t>(</w:t>
      </w:r>
      <w:r w:rsidRPr="00D45C9F">
        <w:rPr>
          <w:b/>
          <w:bCs/>
          <w:sz w:val="20"/>
          <w:szCs w:val="20"/>
        </w:rPr>
        <w:t>A-D</w:t>
      </w:r>
      <w:r w:rsidRPr="00D45C9F">
        <w:rPr>
          <w:sz w:val="20"/>
          <w:szCs w:val="20"/>
        </w:rPr>
        <w:t>)</w:t>
      </w:r>
      <w:r>
        <w:rPr>
          <w:sz w:val="20"/>
          <w:szCs w:val="20"/>
        </w:rPr>
        <w:t xml:space="preserve"> </w:t>
      </w:r>
      <w:r w:rsidRPr="006B21F0">
        <w:rPr>
          <w:sz w:val="20"/>
          <w:szCs w:val="20"/>
        </w:rPr>
        <w:t xml:space="preserve">Several examples of clones of generation 9, transfected with 2.5 </w:t>
      </w:r>
      <w:r w:rsidRPr="006B21F0">
        <w:rPr>
          <w:sz w:val="20"/>
          <w:szCs w:val="20"/>
          <w:lang w:val="el-GR"/>
        </w:rPr>
        <w:t>μ</w:t>
      </w:r>
      <w:r w:rsidRPr="006B21F0">
        <w:rPr>
          <w:sz w:val="20"/>
          <w:szCs w:val="20"/>
        </w:rPr>
        <w:t>g/mL Poly(I:C) for 7 hours, imaged and analyzed for IRF7 translocation. +20% Brightness and +20% contrast were applied for visualization purposes. Scale bar</w:t>
      </w:r>
      <w:r>
        <w:rPr>
          <w:sz w:val="20"/>
          <w:szCs w:val="20"/>
        </w:rPr>
        <w:t xml:space="preserve"> equals </w:t>
      </w:r>
      <w:r w:rsidRPr="006B21F0">
        <w:rPr>
          <w:sz w:val="20"/>
          <w:szCs w:val="20"/>
        </w:rPr>
        <w:t xml:space="preserve">500 </w:t>
      </w:r>
      <w:r w:rsidRPr="006B21F0">
        <w:rPr>
          <w:sz w:val="20"/>
          <w:szCs w:val="20"/>
          <w:lang w:val="el-GR"/>
        </w:rPr>
        <w:t>μ</w:t>
      </w:r>
      <w:r w:rsidRPr="006B21F0">
        <w:rPr>
          <w:sz w:val="20"/>
          <w:szCs w:val="20"/>
        </w:rPr>
        <w:t>m.</w:t>
      </w:r>
      <w:r>
        <w:rPr>
          <w:sz w:val="20"/>
          <w:szCs w:val="20"/>
        </w:rPr>
        <w:br w:type="page"/>
      </w:r>
    </w:p>
    <w:p w14:paraId="3993F55F" w14:textId="77777777" w:rsidR="00BD5DD1" w:rsidRDefault="00BD5DD1" w:rsidP="00BD5DD1">
      <w:pPr>
        <w:spacing w:line="276" w:lineRule="auto"/>
        <w:rPr>
          <w:sz w:val="24"/>
          <w:szCs w:val="24"/>
          <w:lang w:val="en-NL"/>
        </w:rPr>
      </w:pPr>
      <w:r>
        <w:rPr>
          <w:noProof/>
          <w:sz w:val="24"/>
          <w:szCs w:val="24"/>
          <w:lang w:val="en-NL"/>
        </w:rPr>
        <w:lastRenderedPageBreak/>
        <w:drawing>
          <wp:inline distT="0" distB="0" distL="0" distR="0" wp14:anchorId="2C9E1282" wp14:editId="4738CA03">
            <wp:extent cx="5757635" cy="629447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069" t="861" r="1591" b="1079"/>
                    <a:stretch/>
                  </pic:blipFill>
                  <pic:spPr bwMode="auto">
                    <a:xfrm>
                      <a:off x="0" y="0"/>
                      <a:ext cx="5769094" cy="6307003"/>
                    </a:xfrm>
                    <a:prstGeom prst="rect">
                      <a:avLst/>
                    </a:prstGeom>
                    <a:noFill/>
                    <a:ln>
                      <a:noFill/>
                    </a:ln>
                    <a:extLst>
                      <a:ext uri="{53640926-AAD7-44D8-BBD7-CCE9431645EC}">
                        <a14:shadowObscured xmlns:a14="http://schemas.microsoft.com/office/drawing/2010/main"/>
                      </a:ext>
                    </a:extLst>
                  </pic:spPr>
                </pic:pic>
              </a:graphicData>
            </a:graphic>
          </wp:inline>
        </w:drawing>
      </w:r>
    </w:p>
    <w:p w14:paraId="7C38FFBF" w14:textId="77777777" w:rsidR="00BD5DD1" w:rsidRPr="003A53CD" w:rsidRDefault="00BD5DD1" w:rsidP="00BD5DD1">
      <w:pPr>
        <w:spacing w:line="276" w:lineRule="auto"/>
        <w:jc w:val="both"/>
        <w:rPr>
          <w:b/>
          <w:bCs/>
          <w:sz w:val="20"/>
          <w:szCs w:val="20"/>
          <w:lang w:val="en-NL"/>
        </w:rPr>
      </w:pPr>
      <w:r w:rsidRPr="006B21F0">
        <w:rPr>
          <w:b/>
          <w:bCs/>
          <w:sz w:val="20"/>
          <w:szCs w:val="20"/>
        </w:rPr>
        <w:t xml:space="preserve">Supplementary </w:t>
      </w:r>
      <w:r>
        <w:rPr>
          <w:b/>
          <w:bCs/>
          <w:sz w:val="20"/>
          <w:szCs w:val="20"/>
        </w:rPr>
        <w:t>Figure</w:t>
      </w:r>
      <w:r w:rsidRPr="006B21F0">
        <w:rPr>
          <w:b/>
          <w:bCs/>
          <w:sz w:val="20"/>
          <w:szCs w:val="20"/>
        </w:rPr>
        <w:t xml:space="preserve"> </w:t>
      </w:r>
      <w:r>
        <w:rPr>
          <w:b/>
          <w:bCs/>
          <w:sz w:val="20"/>
          <w:szCs w:val="20"/>
        </w:rPr>
        <w:t>10.</w:t>
      </w:r>
      <w:r w:rsidRPr="006B21F0">
        <w:rPr>
          <w:b/>
          <w:bCs/>
          <w:sz w:val="20"/>
          <w:szCs w:val="20"/>
        </w:rPr>
        <w:t xml:space="preserve"> </w:t>
      </w:r>
      <w:r w:rsidRPr="008E4781">
        <w:rPr>
          <w:sz w:val="20"/>
          <w:szCs w:val="20"/>
        </w:rPr>
        <w:t xml:space="preserve">Microscopy images of cells of generation 6 seeded varying seeding densities. </w:t>
      </w:r>
      <w:r>
        <w:rPr>
          <w:sz w:val="20"/>
          <w:szCs w:val="20"/>
        </w:rPr>
        <w:t>(A)</w:t>
      </w:r>
      <w:r w:rsidRPr="008E4781">
        <w:rPr>
          <w:sz w:val="20"/>
          <w:szCs w:val="20"/>
        </w:rPr>
        <w:t xml:space="preserve"> Visualization of two clusters of cells that were considered two separate clones, with over 140 </w:t>
      </w:r>
      <w:r w:rsidRPr="008E4781">
        <w:rPr>
          <w:sz w:val="20"/>
          <w:szCs w:val="20"/>
          <w:lang w:val="el-GR"/>
        </w:rPr>
        <w:t>μ</w:t>
      </w:r>
      <w:r w:rsidRPr="008E4781">
        <w:rPr>
          <w:sz w:val="20"/>
          <w:szCs w:val="20"/>
        </w:rPr>
        <w:t xml:space="preserve">m distance between the centers of the clusters, depicted by the star symbol. </w:t>
      </w:r>
      <w:r>
        <w:rPr>
          <w:sz w:val="20"/>
          <w:szCs w:val="20"/>
        </w:rPr>
        <w:t>(</w:t>
      </w:r>
      <w:r w:rsidRPr="008E4781">
        <w:rPr>
          <w:b/>
          <w:bCs/>
          <w:sz w:val="20"/>
          <w:szCs w:val="20"/>
        </w:rPr>
        <w:t>B</w:t>
      </w:r>
      <w:r w:rsidRPr="008E4781">
        <w:rPr>
          <w:sz w:val="20"/>
          <w:szCs w:val="20"/>
        </w:rPr>
        <w:t>,</w:t>
      </w:r>
      <w:r w:rsidRPr="008E4781">
        <w:rPr>
          <w:b/>
          <w:bCs/>
          <w:sz w:val="20"/>
          <w:szCs w:val="20"/>
        </w:rPr>
        <w:t xml:space="preserve"> C</w:t>
      </w:r>
      <w:r>
        <w:rPr>
          <w:sz w:val="20"/>
          <w:szCs w:val="20"/>
        </w:rPr>
        <w:t>)</w:t>
      </w:r>
      <w:r w:rsidRPr="008E4781">
        <w:rPr>
          <w:sz w:val="20"/>
          <w:szCs w:val="20"/>
        </w:rPr>
        <w:t xml:space="preserve"> Several examples of clones of generation 6, in dashed boxes, with in the same field a grouped clone, in solid</w:t>
      </w:r>
      <w:r w:rsidRPr="006B21F0">
        <w:rPr>
          <w:sz w:val="20"/>
          <w:szCs w:val="20"/>
        </w:rPr>
        <w:t xml:space="preserve"> box. +20% Brightness and +20% contrast were applied for visualization purposes. Scale bar</w:t>
      </w:r>
      <w:r>
        <w:rPr>
          <w:sz w:val="20"/>
          <w:szCs w:val="20"/>
        </w:rPr>
        <w:t xml:space="preserve"> equals</w:t>
      </w:r>
      <w:r w:rsidRPr="006B21F0">
        <w:rPr>
          <w:sz w:val="20"/>
          <w:szCs w:val="20"/>
        </w:rPr>
        <w:t xml:space="preserve"> 1000 </w:t>
      </w:r>
      <w:r w:rsidRPr="006B21F0">
        <w:rPr>
          <w:sz w:val="20"/>
          <w:szCs w:val="20"/>
          <w:lang w:val="el-GR"/>
        </w:rPr>
        <w:t>μ</w:t>
      </w:r>
      <w:r w:rsidRPr="006B21F0">
        <w:rPr>
          <w:sz w:val="20"/>
          <w:szCs w:val="20"/>
        </w:rPr>
        <w:t xml:space="preserve">m. </w:t>
      </w:r>
    </w:p>
    <w:p w14:paraId="086275A6" w14:textId="31B8321B" w:rsidR="00BD39BD" w:rsidRPr="00BD5DD1" w:rsidRDefault="00BD39BD">
      <w:pPr>
        <w:rPr>
          <w:lang w:val="en-NL"/>
        </w:rPr>
      </w:pPr>
    </w:p>
    <w:sectPr w:rsidR="00BD39BD" w:rsidRPr="00BD5DD1">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AA6B71" w14:textId="77777777" w:rsidR="00F02BD4" w:rsidRDefault="00F02BD4" w:rsidP="003B7ECE">
      <w:pPr>
        <w:spacing w:after="0" w:line="240" w:lineRule="auto"/>
      </w:pPr>
      <w:r>
        <w:separator/>
      </w:r>
    </w:p>
  </w:endnote>
  <w:endnote w:type="continuationSeparator" w:id="0">
    <w:p w14:paraId="29B7A772" w14:textId="77777777" w:rsidR="00F02BD4" w:rsidRDefault="00F02BD4" w:rsidP="003B7E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82853663"/>
      <w:docPartObj>
        <w:docPartGallery w:val="Page Numbers (Bottom of Page)"/>
        <w:docPartUnique/>
      </w:docPartObj>
    </w:sdtPr>
    <w:sdtEndPr>
      <w:rPr>
        <w:noProof/>
      </w:rPr>
    </w:sdtEndPr>
    <w:sdtContent>
      <w:p w14:paraId="1D526311" w14:textId="6A88428D" w:rsidR="003B7ECE" w:rsidRDefault="003B7ECE">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6433F06" w14:textId="77777777" w:rsidR="003B7ECE" w:rsidRDefault="003B7EC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C016A7" w14:textId="77777777" w:rsidR="00F02BD4" w:rsidRDefault="00F02BD4" w:rsidP="003B7ECE">
      <w:pPr>
        <w:spacing w:after="0" w:line="240" w:lineRule="auto"/>
      </w:pPr>
      <w:r>
        <w:separator/>
      </w:r>
    </w:p>
  </w:footnote>
  <w:footnote w:type="continuationSeparator" w:id="0">
    <w:p w14:paraId="730D171B" w14:textId="77777777" w:rsidR="00F02BD4" w:rsidRDefault="00F02BD4" w:rsidP="003B7EC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39BD"/>
    <w:rsid w:val="000C2F7F"/>
    <w:rsid w:val="00236A88"/>
    <w:rsid w:val="00307CFF"/>
    <w:rsid w:val="003B7ECE"/>
    <w:rsid w:val="004D0447"/>
    <w:rsid w:val="004F57B3"/>
    <w:rsid w:val="00610C27"/>
    <w:rsid w:val="006A4731"/>
    <w:rsid w:val="00761A82"/>
    <w:rsid w:val="00771925"/>
    <w:rsid w:val="00785548"/>
    <w:rsid w:val="007B3A9B"/>
    <w:rsid w:val="0084785D"/>
    <w:rsid w:val="00850FA7"/>
    <w:rsid w:val="0094779D"/>
    <w:rsid w:val="00995330"/>
    <w:rsid w:val="00A655EF"/>
    <w:rsid w:val="00AA58F6"/>
    <w:rsid w:val="00AB2D34"/>
    <w:rsid w:val="00B66BC9"/>
    <w:rsid w:val="00BD39BD"/>
    <w:rsid w:val="00BD5DD1"/>
    <w:rsid w:val="00BF1063"/>
    <w:rsid w:val="00C04B13"/>
    <w:rsid w:val="00C4250C"/>
    <w:rsid w:val="00D42228"/>
    <w:rsid w:val="00D93FC1"/>
    <w:rsid w:val="00DB0D31"/>
    <w:rsid w:val="00E93B7E"/>
    <w:rsid w:val="00F02BD4"/>
    <w:rsid w:val="00F15CDA"/>
    <w:rsid w:val="00F34B1A"/>
    <w:rsid w:val="00F73AD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31ED39"/>
  <w15:chartTrackingRefBased/>
  <w15:docId w15:val="{87FFA132-233A-4507-A2F1-59AEF0897C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39BD"/>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BD39BD"/>
    <w:rPr>
      <w:color w:val="0563C1" w:themeColor="hyperlink"/>
      <w:u w:val="single"/>
    </w:rPr>
  </w:style>
  <w:style w:type="paragraph" w:styleId="Header">
    <w:name w:val="header"/>
    <w:basedOn w:val="Normal"/>
    <w:link w:val="HeaderChar"/>
    <w:uiPriority w:val="99"/>
    <w:unhideWhenUsed/>
    <w:rsid w:val="003B7E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3B7ECE"/>
    <w:rPr>
      <w:lang w:val="en-US"/>
    </w:rPr>
  </w:style>
  <w:style w:type="paragraph" w:styleId="Footer">
    <w:name w:val="footer"/>
    <w:basedOn w:val="Normal"/>
    <w:link w:val="FooterChar"/>
    <w:uiPriority w:val="99"/>
    <w:unhideWhenUsed/>
    <w:rsid w:val="003B7E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3B7ECE"/>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821114">
      <w:bodyDiv w:val="1"/>
      <w:marLeft w:val="0"/>
      <w:marRight w:val="0"/>
      <w:marTop w:val="0"/>
      <w:marBottom w:val="0"/>
      <w:divBdr>
        <w:top w:val="none" w:sz="0" w:space="0" w:color="auto"/>
        <w:left w:val="none" w:sz="0" w:space="0" w:color="auto"/>
        <w:bottom w:val="none" w:sz="0" w:space="0" w:color="auto"/>
        <w:right w:val="none" w:sz="0" w:space="0" w:color="auto"/>
      </w:divBdr>
    </w:div>
    <w:div w:id="182286627">
      <w:bodyDiv w:val="1"/>
      <w:marLeft w:val="0"/>
      <w:marRight w:val="0"/>
      <w:marTop w:val="0"/>
      <w:marBottom w:val="0"/>
      <w:divBdr>
        <w:top w:val="none" w:sz="0" w:space="0" w:color="auto"/>
        <w:left w:val="none" w:sz="0" w:space="0" w:color="auto"/>
        <w:bottom w:val="none" w:sz="0" w:space="0" w:color="auto"/>
        <w:right w:val="none" w:sz="0" w:space="0" w:color="auto"/>
      </w:divBdr>
    </w:div>
    <w:div w:id="796142811">
      <w:bodyDiv w:val="1"/>
      <w:marLeft w:val="0"/>
      <w:marRight w:val="0"/>
      <w:marTop w:val="0"/>
      <w:marBottom w:val="0"/>
      <w:divBdr>
        <w:top w:val="none" w:sz="0" w:space="0" w:color="auto"/>
        <w:left w:val="none" w:sz="0" w:space="0" w:color="auto"/>
        <w:bottom w:val="none" w:sz="0" w:space="0" w:color="auto"/>
        <w:right w:val="none" w:sz="0" w:space="0" w:color="auto"/>
      </w:divBdr>
    </w:div>
    <w:div w:id="1191184577">
      <w:bodyDiv w:val="1"/>
      <w:marLeft w:val="0"/>
      <w:marRight w:val="0"/>
      <w:marTop w:val="0"/>
      <w:marBottom w:val="0"/>
      <w:divBdr>
        <w:top w:val="none" w:sz="0" w:space="0" w:color="auto"/>
        <w:left w:val="none" w:sz="0" w:space="0" w:color="auto"/>
        <w:bottom w:val="none" w:sz="0" w:space="0" w:color="auto"/>
        <w:right w:val="none" w:sz="0" w:space="0" w:color="auto"/>
      </w:divBdr>
    </w:div>
    <w:div w:id="1205020260">
      <w:bodyDiv w:val="1"/>
      <w:marLeft w:val="0"/>
      <w:marRight w:val="0"/>
      <w:marTop w:val="0"/>
      <w:marBottom w:val="0"/>
      <w:divBdr>
        <w:top w:val="none" w:sz="0" w:space="0" w:color="auto"/>
        <w:left w:val="none" w:sz="0" w:space="0" w:color="auto"/>
        <w:bottom w:val="none" w:sz="0" w:space="0" w:color="auto"/>
        <w:right w:val="none" w:sz="0" w:space="0" w:color="auto"/>
      </w:divBdr>
    </w:div>
    <w:div w:id="2089842665">
      <w:bodyDiv w:val="1"/>
      <w:marLeft w:val="0"/>
      <w:marRight w:val="0"/>
      <w:marTop w:val="0"/>
      <w:marBottom w:val="0"/>
      <w:divBdr>
        <w:top w:val="none" w:sz="0" w:space="0" w:color="auto"/>
        <w:left w:val="none" w:sz="0" w:space="0" w:color="auto"/>
        <w:bottom w:val="none" w:sz="0" w:space="0" w:color="auto"/>
        <w:right w:val="none" w:sz="0" w:space="0" w:color="auto"/>
      </w:divBdr>
    </w:div>
    <w:div w:id="21063378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0.png"/><Relationship Id="rId1" Type="http://schemas.openxmlformats.org/officeDocument/2006/relationships/styles" Target="styles.xml"/><Relationship Id="rId6" Type="http://schemas.openxmlformats.org/officeDocument/2006/relationships/hyperlink" Target="mailto:j.tel@tue.nl" TargetMode="External"/><Relationship Id="rId11" Type="http://schemas.openxmlformats.org/officeDocument/2006/relationships/image" Target="media/image5.png"/><Relationship Id="rId5" Type="http://schemas.openxmlformats.org/officeDocument/2006/relationships/endnotes" Target="end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8</Pages>
  <Words>635</Words>
  <Characters>3621</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Eyndhoven, Laura Van</dc:creator>
  <cp:keywords/>
  <dc:description/>
  <cp:lastModifiedBy>Eyndhoven, Laura Van</cp:lastModifiedBy>
  <cp:revision>2</cp:revision>
  <dcterms:created xsi:type="dcterms:W3CDTF">2023-01-01T09:28:00Z</dcterms:created>
  <dcterms:modified xsi:type="dcterms:W3CDTF">2023-01-01T09:28:00Z</dcterms:modified>
</cp:coreProperties>
</file>