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3022" w:right="2983" w:firstLine="0"/>
        <w:jc w:val="center"/>
        <w:rPr>
          <w:b/>
          <w:sz w:val="19"/>
        </w:rPr>
      </w:pPr>
      <w:r>
        <w:rPr>
          <w:b/>
          <w:sz w:val="19"/>
        </w:rPr>
        <w:t>Supplementary</w:t>
      </w:r>
      <w:r>
        <w:rPr>
          <w:b/>
          <w:spacing w:val="-9"/>
          <w:sz w:val="19"/>
        </w:rPr>
        <w:t> </w:t>
      </w:r>
      <w:r>
        <w:rPr>
          <w:b/>
          <w:sz w:val="19"/>
        </w:rPr>
        <w:t>File</w:t>
      </w:r>
      <w:r>
        <w:rPr>
          <w:b/>
          <w:spacing w:val="-9"/>
          <w:sz w:val="19"/>
        </w:rPr>
        <w:t> </w:t>
      </w:r>
      <w:r>
        <w:rPr>
          <w:b/>
          <w:sz w:val="19"/>
        </w:rPr>
        <w:t>1.</w:t>
      </w:r>
      <w:r>
        <w:rPr>
          <w:b/>
          <w:spacing w:val="-9"/>
          <w:sz w:val="19"/>
        </w:rPr>
        <w:t> </w:t>
      </w:r>
      <w:r>
        <w:rPr>
          <w:b/>
          <w:sz w:val="19"/>
        </w:rPr>
        <w:t>List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9"/>
          <w:sz w:val="19"/>
        </w:rPr>
        <w:t> </w:t>
      </w:r>
      <w:r>
        <w:rPr>
          <w:b/>
          <w:spacing w:val="-2"/>
          <w:sz w:val="19"/>
        </w:rPr>
        <w:t>strains</w:t>
      </w:r>
    </w:p>
    <w:p>
      <w:pPr>
        <w:pStyle w:val="BodyText"/>
        <w:spacing w:before="6"/>
        <w:rPr>
          <w:b/>
          <w:sz w:val="11"/>
        </w:rPr>
      </w:pPr>
    </w:p>
    <w:tbl>
      <w:tblPr>
        <w:tblW w:w="0" w:type="auto"/>
        <w:jc w:val="left"/>
        <w:tblInd w:w="1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4149"/>
        <w:gridCol w:w="3083"/>
      </w:tblGrid>
      <w:tr>
        <w:trPr>
          <w:trHeight w:val="290" w:hRule="atLeast"/>
        </w:trPr>
        <w:tc>
          <w:tcPr>
            <w:tcW w:w="287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37"/>
              <w:ind w:left="133" w:right="10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Strain</w:t>
            </w:r>
          </w:p>
        </w:tc>
        <w:tc>
          <w:tcPr>
            <w:tcW w:w="4149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49"/>
              <w:ind w:right="23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Genotype</w:t>
            </w:r>
          </w:p>
        </w:tc>
        <w:tc>
          <w:tcPr>
            <w:tcW w:w="3083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9"/>
              <w:ind w:left="134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Reference(s)</w:t>
            </w:r>
          </w:p>
        </w:tc>
      </w:tr>
      <w:tr>
        <w:trPr>
          <w:trHeight w:val="217" w:hRule="atLeast"/>
        </w:trPr>
        <w:tc>
          <w:tcPr>
            <w:tcW w:w="287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82" w:lineRule="exact" w:before="15"/>
              <w:ind w:left="133" w:right="134"/>
              <w:rPr>
                <w:b/>
                <w:i/>
                <w:sz w:val="17"/>
              </w:rPr>
            </w:pPr>
            <w:r>
              <w:rPr>
                <w:b/>
                <w:sz w:val="17"/>
              </w:rPr>
              <w:t>Oogenesis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marker,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i/>
                <w:sz w:val="17"/>
              </w:rPr>
              <w:t>lin-</w:t>
            </w:r>
            <w:r>
              <w:rPr>
                <w:b/>
                <w:i/>
                <w:spacing w:val="-2"/>
                <w:sz w:val="17"/>
              </w:rPr>
              <w:t>41::GFP</w:t>
            </w:r>
          </w:p>
        </w:tc>
        <w:tc>
          <w:tcPr>
            <w:tcW w:w="4149" w:type="dxa"/>
            <w:tcBorders>
              <w:top w:val="nil"/>
            </w:tcBorders>
          </w:tcPr>
          <w:p>
            <w:pPr>
              <w:pStyle w:val="TableParagraph"/>
              <w:spacing w:line="184" w:lineRule="exact" w:before="13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lin-41(tn1541[GFP::tev::s::lin-</w:t>
            </w:r>
            <w:r>
              <w:rPr>
                <w:i/>
                <w:spacing w:val="-4"/>
                <w:sz w:val="17"/>
              </w:rPr>
              <w:t>41])</w:t>
            </w:r>
          </w:p>
        </w:tc>
        <w:tc>
          <w:tcPr>
            <w:tcW w:w="308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84" w:lineRule="exact" w:before="13"/>
              <w:ind w:left="135"/>
              <w:rPr>
                <w:sz w:val="17"/>
              </w:rPr>
            </w:pPr>
            <w:r>
              <w:rPr>
                <w:sz w:val="17"/>
              </w:rPr>
              <w:t>Spike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2014</w:t>
            </w:r>
          </w:p>
        </w:tc>
      </w:tr>
      <w:tr>
        <w:trPr>
          <w:trHeight w:val="211" w:hRule="atLeast"/>
        </w:trPr>
        <w:tc>
          <w:tcPr>
            <w:tcW w:w="2870" w:type="dxa"/>
            <w:tcBorders>
              <w:left w:val="nil"/>
            </w:tcBorders>
          </w:tcPr>
          <w:p>
            <w:pPr>
              <w:pStyle w:val="TableParagraph"/>
              <w:spacing w:line="182" w:lineRule="exact" w:before="10"/>
              <w:ind w:left="133" w:right="134"/>
              <w:rPr>
                <w:b/>
                <w:i/>
                <w:sz w:val="17"/>
              </w:rPr>
            </w:pPr>
            <w:r>
              <w:rPr>
                <w:b/>
                <w:sz w:val="17"/>
              </w:rPr>
              <w:t>Oogenesis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marker,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i/>
                <w:sz w:val="17"/>
              </w:rPr>
              <w:t>oma-</w:t>
            </w:r>
            <w:r>
              <w:rPr>
                <w:b/>
                <w:i/>
                <w:spacing w:val="-2"/>
                <w:sz w:val="17"/>
              </w:rPr>
              <w:t>1::GFP</w:t>
            </w: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line="184" w:lineRule="exact"/>
              <w:ind w:right="51"/>
              <w:rPr>
                <w:i/>
                <w:sz w:val="17"/>
              </w:rPr>
            </w:pPr>
            <w:r>
              <w:rPr>
                <w:i/>
                <w:sz w:val="17"/>
              </w:rPr>
              <w:t>unc-119(ed3);</w:t>
            </w:r>
            <w:r>
              <w:rPr>
                <w:i/>
                <w:spacing w:val="9"/>
                <w:sz w:val="17"/>
              </w:rPr>
              <w:t> </w:t>
            </w:r>
            <w:r>
              <w:rPr>
                <w:i/>
                <w:sz w:val="17"/>
              </w:rPr>
              <w:t>teIs1(oma-1::GFP</w:t>
            </w:r>
            <w:r>
              <w:rPr>
                <w:i/>
                <w:spacing w:val="9"/>
                <w:sz w:val="17"/>
              </w:rPr>
              <w:t> </w:t>
            </w:r>
            <w:r>
              <w:rPr>
                <w:i/>
                <w:sz w:val="17"/>
              </w:rPr>
              <w:t>+</w:t>
            </w:r>
            <w:r>
              <w:rPr>
                <w:i/>
                <w:spacing w:val="10"/>
                <w:sz w:val="17"/>
              </w:rPr>
              <w:t> </w:t>
            </w:r>
            <w:r>
              <w:rPr>
                <w:i/>
                <w:sz w:val="17"/>
              </w:rPr>
              <w:t>unc-</w:t>
            </w:r>
            <w:r>
              <w:rPr>
                <w:i/>
                <w:spacing w:val="-2"/>
                <w:sz w:val="17"/>
              </w:rPr>
              <w:t>119[+])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184" w:lineRule="exact"/>
              <w:ind w:left="135"/>
              <w:rPr>
                <w:sz w:val="17"/>
              </w:rPr>
            </w:pPr>
            <w:r>
              <w:rPr>
                <w:sz w:val="17"/>
              </w:rPr>
              <w:t>Lin,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2003</w:t>
            </w:r>
          </w:p>
        </w:tc>
      </w:tr>
      <w:tr>
        <w:trPr>
          <w:trHeight w:val="202" w:hRule="atLeast"/>
        </w:trPr>
        <w:tc>
          <w:tcPr>
            <w:tcW w:w="287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 w:righ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741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Sensory </w:t>
            </w:r>
            <w:r>
              <w:rPr>
                <w:b/>
                <w:spacing w:val="-2"/>
                <w:sz w:val="17"/>
              </w:rPr>
              <w:t>mutants</w:t>
            </w:r>
          </w:p>
        </w:tc>
        <w:tc>
          <w:tcPr>
            <w:tcW w:w="4149" w:type="dxa"/>
            <w:tcBorders>
              <w:bottom w:val="nil"/>
            </w:tcBorders>
          </w:tcPr>
          <w:p>
            <w:pPr>
              <w:pStyle w:val="TableParagraph"/>
              <w:spacing w:line="179" w:lineRule="exact" w:before="3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odr-</w:t>
            </w:r>
            <w:r>
              <w:rPr>
                <w:i/>
                <w:spacing w:val="-2"/>
                <w:sz w:val="17"/>
              </w:rPr>
              <w:t>1(n1936)</w:t>
            </w:r>
          </w:p>
        </w:tc>
        <w:tc>
          <w:tcPr>
            <w:tcW w:w="3083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79" w:lineRule="exact" w:before="3"/>
              <w:ind w:left="135"/>
              <w:rPr>
                <w:sz w:val="17"/>
              </w:rPr>
            </w:pPr>
            <w:r>
              <w:rPr>
                <w:sz w:val="17"/>
              </w:rPr>
              <w:t>L'Etoile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Bargmann,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2000</w:t>
            </w:r>
          </w:p>
        </w:tc>
      </w:tr>
      <w:tr>
        <w:trPr>
          <w:trHeight w:val="204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line="182" w:lineRule="exact" w:before="3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odr-</w:t>
            </w:r>
            <w:r>
              <w:rPr>
                <w:i/>
                <w:spacing w:val="-2"/>
                <w:sz w:val="17"/>
              </w:rPr>
              <w:t>3(n1605)</w:t>
            </w:r>
          </w:p>
        </w:tc>
        <w:tc>
          <w:tcPr>
            <w:tcW w:w="3083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182" w:lineRule="exact" w:before="3"/>
              <w:ind w:left="135"/>
              <w:rPr>
                <w:sz w:val="17"/>
              </w:rPr>
            </w:pPr>
            <w:r>
              <w:rPr>
                <w:sz w:val="17"/>
              </w:rPr>
              <w:t>Roayaie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1998</w:t>
            </w:r>
          </w:p>
        </w:tc>
      </w:tr>
      <w:tr>
        <w:trPr>
          <w:trHeight w:val="199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0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odr-</w:t>
            </w:r>
            <w:r>
              <w:rPr>
                <w:i/>
                <w:spacing w:val="-2"/>
                <w:sz w:val="17"/>
              </w:rPr>
              <w:t>10(ky225)</w:t>
            </w:r>
          </w:p>
        </w:tc>
        <w:tc>
          <w:tcPr>
            <w:tcW w:w="30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9" w:lineRule="exact" w:before="0"/>
              <w:ind w:left="135"/>
              <w:rPr>
                <w:sz w:val="17"/>
              </w:rPr>
            </w:pPr>
            <w:r>
              <w:rPr>
                <w:sz w:val="17"/>
              </w:rPr>
              <w:t>Sengupta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1996</w:t>
            </w:r>
          </w:p>
        </w:tc>
      </w:tr>
      <w:tr>
        <w:trPr>
          <w:trHeight w:val="204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line="182" w:lineRule="exact" w:before="3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osm-</w:t>
            </w:r>
            <w:r>
              <w:rPr>
                <w:i/>
                <w:spacing w:val="-2"/>
                <w:sz w:val="17"/>
              </w:rPr>
              <w:t>3(p802)</w:t>
            </w:r>
          </w:p>
        </w:tc>
        <w:tc>
          <w:tcPr>
            <w:tcW w:w="3083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182" w:lineRule="exact" w:before="3"/>
              <w:ind w:left="130"/>
              <w:rPr>
                <w:sz w:val="17"/>
              </w:rPr>
            </w:pPr>
            <w:r>
              <w:rPr>
                <w:sz w:val="17"/>
              </w:rPr>
              <w:t>Tabish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1995</w:t>
            </w:r>
          </w:p>
        </w:tc>
      </w:tr>
      <w:tr>
        <w:trPr>
          <w:trHeight w:val="209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nil"/>
            </w:tcBorders>
          </w:tcPr>
          <w:p>
            <w:pPr>
              <w:pStyle w:val="TableParagraph"/>
              <w:spacing w:line="184" w:lineRule="exact" w:before="5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lin-41(tn1541);</w:t>
            </w:r>
            <w:r>
              <w:rPr>
                <w:i/>
                <w:spacing w:val="14"/>
                <w:sz w:val="17"/>
              </w:rPr>
              <w:t> </w:t>
            </w:r>
            <w:r>
              <w:rPr>
                <w:i/>
                <w:sz w:val="17"/>
              </w:rPr>
              <w:t>osm-</w:t>
            </w:r>
            <w:r>
              <w:rPr>
                <w:i/>
                <w:spacing w:val="-2"/>
                <w:sz w:val="17"/>
              </w:rPr>
              <w:t>3(p802)</w:t>
            </w:r>
          </w:p>
        </w:tc>
        <w:tc>
          <w:tcPr>
            <w:tcW w:w="308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84" w:lineRule="exact" w:before="5"/>
              <w:ind w:left="134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418" w:hRule="atLeast"/>
        </w:trPr>
        <w:tc>
          <w:tcPr>
            <w:tcW w:w="2870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133" w:right="96"/>
              <w:rPr>
                <w:b/>
                <w:sz w:val="17"/>
              </w:rPr>
            </w:pPr>
            <w:r>
              <w:rPr>
                <w:b/>
                <w:sz w:val="17"/>
              </w:rPr>
              <w:t>ADF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(-</w:t>
            </w:r>
            <w:r>
              <w:rPr>
                <w:b/>
                <w:spacing w:val="-10"/>
                <w:sz w:val="17"/>
              </w:rPr>
              <w:t>)</w:t>
            </w: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before="3"/>
              <w:ind w:right="50"/>
              <w:rPr>
                <w:i/>
                <w:sz w:val="17"/>
              </w:rPr>
            </w:pPr>
            <w:r>
              <w:rPr>
                <w:i/>
                <w:sz w:val="17"/>
              </w:rPr>
              <w:t>udEx211(srh-142::ced-3(p15);</w:t>
            </w:r>
            <w:r>
              <w:rPr>
                <w:i/>
                <w:spacing w:val="32"/>
                <w:sz w:val="17"/>
              </w:rPr>
              <w:t> </w:t>
            </w:r>
            <w:r>
              <w:rPr>
                <w:i/>
                <w:sz w:val="17"/>
              </w:rPr>
              <w:t>srh-142::ced-</w:t>
            </w:r>
            <w:r>
              <w:rPr>
                <w:i/>
                <w:spacing w:val="-2"/>
                <w:sz w:val="17"/>
              </w:rPr>
              <w:t>3(p17;</w:t>
            </w:r>
          </w:p>
          <w:p>
            <w:pPr>
              <w:pStyle w:val="TableParagraph"/>
              <w:spacing w:line="179" w:lineRule="exact" w:before="20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srh-142::gfp;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elt-</w:t>
            </w:r>
            <w:r>
              <w:rPr>
                <w:i/>
                <w:spacing w:val="-2"/>
                <w:sz w:val="17"/>
              </w:rPr>
              <w:t>2::gfp)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before="111"/>
              <w:ind w:left="140"/>
              <w:rPr>
                <w:sz w:val="17"/>
              </w:rPr>
            </w:pPr>
            <w:r>
              <w:rPr>
                <w:sz w:val="17"/>
              </w:rPr>
              <w:t>Krzyzanowski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2016</w:t>
            </w:r>
          </w:p>
        </w:tc>
      </w:tr>
      <w:tr>
        <w:trPr>
          <w:trHeight w:val="418" w:hRule="atLeast"/>
        </w:trPr>
        <w:tc>
          <w:tcPr>
            <w:tcW w:w="2870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133" w:right="96"/>
              <w:rPr>
                <w:b/>
                <w:sz w:val="17"/>
              </w:rPr>
            </w:pPr>
            <w:r>
              <w:rPr>
                <w:b/>
                <w:sz w:val="17"/>
              </w:rPr>
              <w:t>ASH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(-</w:t>
            </w:r>
            <w:r>
              <w:rPr>
                <w:b/>
                <w:spacing w:val="-10"/>
                <w:sz w:val="17"/>
              </w:rPr>
              <w:t>)</w:t>
            </w:r>
          </w:p>
        </w:tc>
        <w:tc>
          <w:tcPr>
            <w:tcW w:w="4149" w:type="dxa"/>
          </w:tcPr>
          <w:p>
            <w:pPr>
              <w:pStyle w:val="TableParagraph"/>
              <w:spacing w:before="111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peIs1713(sra-6p::mCasp-1 +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unc-</w:t>
            </w:r>
            <w:r>
              <w:rPr>
                <w:i/>
                <w:spacing w:val="-2"/>
                <w:sz w:val="17"/>
              </w:rPr>
              <w:t>122p::mCherry)</w:t>
            </w:r>
          </w:p>
        </w:tc>
        <w:tc>
          <w:tcPr>
            <w:tcW w:w="3083" w:type="dxa"/>
            <w:tcBorders>
              <w:right w:val="nil"/>
            </w:tcBorders>
          </w:tcPr>
          <w:p>
            <w:pPr>
              <w:pStyle w:val="TableParagraph"/>
              <w:spacing w:before="111"/>
              <w:ind w:left="135"/>
              <w:rPr>
                <w:sz w:val="17"/>
              </w:rPr>
            </w:pPr>
            <w:r>
              <w:rPr>
                <w:sz w:val="17"/>
              </w:rPr>
              <w:t>Yoshida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2012</w:t>
            </w:r>
          </w:p>
        </w:tc>
      </w:tr>
      <w:tr>
        <w:trPr>
          <w:trHeight w:val="418" w:hRule="atLeast"/>
        </w:trPr>
        <w:tc>
          <w:tcPr>
            <w:tcW w:w="287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33" w:right="96"/>
              <w:rPr>
                <w:b/>
                <w:sz w:val="17"/>
              </w:rPr>
            </w:pPr>
            <w:r>
              <w:rPr>
                <w:b/>
                <w:sz w:val="17"/>
              </w:rPr>
              <w:t>ASI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(-</w:t>
            </w:r>
            <w:r>
              <w:rPr>
                <w:b/>
                <w:spacing w:val="-10"/>
                <w:sz w:val="17"/>
              </w:rPr>
              <w:t>)</w:t>
            </w: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before="3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oyIs84(gpa-4p::TU813</w:t>
            </w:r>
            <w:r>
              <w:rPr>
                <w:i/>
                <w:spacing w:val="-2"/>
                <w:sz w:val="17"/>
              </w:rPr>
              <w:t> </w:t>
            </w:r>
            <w:r>
              <w:rPr>
                <w:i/>
                <w:sz w:val="17"/>
              </w:rPr>
              <w:t>gcy-27p::TU814</w:t>
            </w:r>
            <w:r>
              <w:rPr>
                <w:i/>
                <w:spacing w:val="-1"/>
                <w:sz w:val="17"/>
              </w:rPr>
              <w:t> </w:t>
            </w:r>
            <w:r>
              <w:rPr>
                <w:i/>
                <w:spacing w:val="-4"/>
                <w:sz w:val="17"/>
              </w:rPr>
              <w:t>gcy-</w:t>
            </w:r>
          </w:p>
          <w:p>
            <w:pPr>
              <w:pStyle w:val="TableParagraph"/>
              <w:spacing w:line="179" w:lineRule="exact" w:before="20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27p::GFP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coelp::dsRED)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before="111"/>
              <w:ind w:left="135"/>
              <w:rPr>
                <w:sz w:val="17"/>
              </w:rPr>
            </w:pPr>
            <w:r>
              <w:rPr>
                <w:sz w:val="17"/>
              </w:rPr>
              <w:t>Beverly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2011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</w:tcPr>
          <w:p>
            <w:pPr>
              <w:pStyle w:val="TableParagraph"/>
              <w:spacing w:line="184" w:lineRule="exact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lin-41(tn1541);</w:t>
            </w:r>
            <w:r>
              <w:rPr>
                <w:i/>
                <w:spacing w:val="10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oyIs84</w:t>
            </w:r>
          </w:p>
        </w:tc>
        <w:tc>
          <w:tcPr>
            <w:tcW w:w="3083" w:type="dxa"/>
            <w:tcBorders>
              <w:right w:val="nil"/>
            </w:tcBorders>
          </w:tcPr>
          <w:p>
            <w:pPr>
              <w:pStyle w:val="TableParagraph"/>
              <w:spacing w:line="184" w:lineRule="exact"/>
              <w:ind w:left="134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418" w:hRule="atLeast"/>
        </w:trPr>
        <w:tc>
          <w:tcPr>
            <w:tcW w:w="287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53"/>
              <w:ind w:left="133" w:right="96"/>
              <w:rPr>
                <w:b/>
                <w:sz w:val="17"/>
              </w:rPr>
            </w:pPr>
            <w:r>
              <w:rPr>
                <w:b/>
                <w:sz w:val="17"/>
              </w:rPr>
              <w:t>ASJ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(-</w:t>
            </w:r>
            <w:r>
              <w:rPr>
                <w:b/>
                <w:spacing w:val="-10"/>
                <w:sz w:val="17"/>
              </w:rPr>
              <w:t>)</w:t>
            </w: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before="111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pgIs(trx-</w:t>
            </w:r>
            <w:r>
              <w:rPr>
                <w:i/>
                <w:spacing w:val="-2"/>
                <w:sz w:val="17"/>
              </w:rPr>
              <w:t>1p::ICE)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before="3"/>
              <w:ind w:left="141"/>
              <w:rPr>
                <w:sz w:val="17"/>
              </w:rPr>
            </w:pPr>
            <w:r>
              <w:rPr>
                <w:sz w:val="17"/>
              </w:rPr>
              <w:t>Cornils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2011;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integrated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by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M.</w:t>
            </w:r>
          </w:p>
          <w:p>
            <w:pPr>
              <w:pStyle w:val="TableParagraph"/>
              <w:spacing w:line="179" w:lineRule="exact" w:before="20"/>
              <w:ind w:left="135"/>
              <w:rPr>
                <w:sz w:val="17"/>
              </w:rPr>
            </w:pPr>
            <w:r>
              <w:rPr>
                <w:sz w:val="17"/>
              </w:rPr>
              <w:t>Goodman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(gift)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</w:tcPr>
          <w:p>
            <w:pPr>
              <w:pStyle w:val="TableParagraph"/>
              <w:spacing w:line="184" w:lineRule="exact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lin-41(tn1541);</w:t>
            </w:r>
            <w:r>
              <w:rPr>
                <w:i/>
                <w:spacing w:val="17"/>
                <w:sz w:val="17"/>
              </w:rPr>
              <w:t> </w:t>
            </w:r>
            <w:r>
              <w:rPr>
                <w:i/>
                <w:sz w:val="17"/>
              </w:rPr>
              <w:t>pgIs(trx-</w:t>
            </w:r>
            <w:r>
              <w:rPr>
                <w:i/>
                <w:spacing w:val="-2"/>
                <w:sz w:val="17"/>
              </w:rPr>
              <w:t>1p::ICE)</w:t>
            </w:r>
          </w:p>
        </w:tc>
        <w:tc>
          <w:tcPr>
            <w:tcW w:w="3083" w:type="dxa"/>
            <w:tcBorders>
              <w:right w:val="nil"/>
            </w:tcBorders>
          </w:tcPr>
          <w:p>
            <w:pPr>
              <w:pStyle w:val="TableParagraph"/>
              <w:spacing w:line="184" w:lineRule="exact"/>
              <w:ind w:left="134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line="184" w:lineRule="exact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teIs1(oma-1::GFP</w:t>
            </w:r>
            <w:r>
              <w:rPr>
                <w:i/>
                <w:spacing w:val="9"/>
                <w:sz w:val="17"/>
              </w:rPr>
              <w:t> </w:t>
            </w:r>
            <w:r>
              <w:rPr>
                <w:i/>
                <w:sz w:val="17"/>
              </w:rPr>
              <w:t>+</w:t>
            </w:r>
            <w:r>
              <w:rPr>
                <w:i/>
                <w:spacing w:val="10"/>
                <w:sz w:val="17"/>
              </w:rPr>
              <w:t> </w:t>
            </w:r>
            <w:r>
              <w:rPr>
                <w:i/>
                <w:sz w:val="17"/>
              </w:rPr>
              <w:t>unc-119[+]);</w:t>
            </w:r>
            <w:r>
              <w:rPr>
                <w:i/>
                <w:spacing w:val="10"/>
                <w:sz w:val="17"/>
              </w:rPr>
              <w:t> </w:t>
            </w:r>
            <w:r>
              <w:rPr>
                <w:i/>
                <w:sz w:val="17"/>
              </w:rPr>
              <w:t>pgIs(trx-</w:t>
            </w:r>
            <w:r>
              <w:rPr>
                <w:i/>
                <w:spacing w:val="-2"/>
                <w:sz w:val="17"/>
              </w:rPr>
              <w:t>1p::ICE)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184" w:lineRule="exact"/>
              <w:ind w:left="134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211" w:hRule="atLeast"/>
        </w:trPr>
        <w:tc>
          <w:tcPr>
            <w:tcW w:w="2870" w:type="dxa"/>
            <w:tcBorders>
              <w:left w:val="nil"/>
            </w:tcBorders>
          </w:tcPr>
          <w:p>
            <w:pPr>
              <w:pStyle w:val="TableParagraph"/>
              <w:spacing w:line="182" w:lineRule="exact" w:before="10"/>
              <w:ind w:left="133" w:right="96"/>
              <w:rPr>
                <w:b/>
                <w:sz w:val="17"/>
              </w:rPr>
            </w:pPr>
            <w:r>
              <w:rPr>
                <w:b/>
                <w:sz w:val="17"/>
              </w:rPr>
              <w:t>ASK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(-</w:t>
            </w:r>
            <w:r>
              <w:rPr>
                <w:b/>
                <w:spacing w:val="-10"/>
                <w:sz w:val="17"/>
              </w:rPr>
              <w:t>)</w:t>
            </w:r>
          </w:p>
        </w:tc>
        <w:tc>
          <w:tcPr>
            <w:tcW w:w="4149" w:type="dxa"/>
          </w:tcPr>
          <w:p>
            <w:pPr>
              <w:pStyle w:val="TableParagraph"/>
              <w:spacing w:line="184" w:lineRule="exact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qrls2(sra-</w:t>
            </w:r>
            <w:r>
              <w:rPr>
                <w:i/>
                <w:spacing w:val="-2"/>
                <w:sz w:val="17"/>
              </w:rPr>
              <w:t>9::mCasp1)</w:t>
            </w:r>
          </w:p>
        </w:tc>
        <w:tc>
          <w:tcPr>
            <w:tcW w:w="3083" w:type="dxa"/>
            <w:tcBorders>
              <w:right w:val="nil"/>
            </w:tcBorders>
          </w:tcPr>
          <w:p>
            <w:pPr>
              <w:pStyle w:val="TableParagraph"/>
              <w:spacing w:line="184" w:lineRule="exact"/>
              <w:ind w:left="130"/>
              <w:rPr>
                <w:sz w:val="17"/>
              </w:rPr>
            </w:pPr>
            <w:r>
              <w:rPr>
                <w:sz w:val="17"/>
              </w:rPr>
              <w:t>Srinivasan et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2012</w:t>
            </w:r>
          </w:p>
        </w:tc>
      </w:tr>
      <w:tr>
        <w:trPr>
          <w:trHeight w:val="211" w:hRule="atLeast"/>
        </w:trPr>
        <w:tc>
          <w:tcPr>
            <w:tcW w:w="287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53"/>
              <w:ind w:left="133" w:right="92"/>
              <w:rPr>
                <w:b/>
                <w:sz w:val="17"/>
              </w:rPr>
            </w:pPr>
            <w:r>
              <w:rPr>
                <w:b/>
                <w:sz w:val="17"/>
              </w:rPr>
              <w:t>AWA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(-</w:t>
            </w:r>
            <w:r>
              <w:rPr>
                <w:b/>
                <w:spacing w:val="-10"/>
                <w:sz w:val="17"/>
              </w:rPr>
              <w:t>)</w:t>
            </w: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line="184" w:lineRule="exact"/>
              <w:ind w:left="34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odr-</w:t>
            </w:r>
            <w:r>
              <w:rPr>
                <w:i/>
                <w:spacing w:val="-2"/>
                <w:sz w:val="17"/>
              </w:rPr>
              <w:t>7(ky4)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184" w:lineRule="exact"/>
              <w:ind w:left="136"/>
              <w:rPr>
                <w:sz w:val="17"/>
              </w:rPr>
            </w:pPr>
            <w:r>
              <w:rPr>
                <w:sz w:val="17"/>
              </w:rPr>
              <w:t>Sengupta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1994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</w:tcPr>
          <w:p>
            <w:pPr>
              <w:pStyle w:val="TableParagraph"/>
              <w:spacing w:line="184" w:lineRule="exact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lin-41(tn1541);</w:t>
            </w:r>
            <w:r>
              <w:rPr>
                <w:i/>
                <w:spacing w:val="13"/>
                <w:sz w:val="17"/>
              </w:rPr>
              <w:t> </w:t>
            </w:r>
            <w:r>
              <w:rPr>
                <w:i/>
                <w:sz w:val="17"/>
              </w:rPr>
              <w:t>odr-</w:t>
            </w:r>
            <w:r>
              <w:rPr>
                <w:i/>
                <w:spacing w:val="-2"/>
                <w:sz w:val="17"/>
              </w:rPr>
              <w:t>7(ky4)</w:t>
            </w:r>
          </w:p>
        </w:tc>
        <w:tc>
          <w:tcPr>
            <w:tcW w:w="3083" w:type="dxa"/>
            <w:tcBorders>
              <w:right w:val="nil"/>
            </w:tcBorders>
          </w:tcPr>
          <w:p>
            <w:pPr>
              <w:pStyle w:val="TableParagraph"/>
              <w:spacing w:line="184" w:lineRule="exact"/>
              <w:ind w:left="134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418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before="111"/>
              <w:ind w:right="43"/>
              <w:rPr>
                <w:i/>
                <w:sz w:val="17"/>
              </w:rPr>
            </w:pPr>
            <w:r>
              <w:rPr>
                <w:i/>
                <w:sz w:val="17"/>
              </w:rPr>
              <w:t>Ex[odr-10::mCasp1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+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myo-</w:t>
            </w:r>
            <w:r>
              <w:rPr>
                <w:i/>
                <w:spacing w:val="-2"/>
                <w:sz w:val="17"/>
              </w:rPr>
              <w:t>3::GFP]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before="3"/>
              <w:ind w:left="131"/>
              <w:rPr>
                <w:sz w:val="17"/>
              </w:rPr>
            </w:pPr>
            <w:r>
              <w:rPr>
                <w:sz w:val="17"/>
              </w:rPr>
              <w:t>Yoshida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2012;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Schiffer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al.,</w:t>
            </w:r>
          </w:p>
          <w:p>
            <w:pPr>
              <w:pStyle w:val="TableParagraph"/>
              <w:spacing w:line="179" w:lineRule="exact" w:before="20"/>
              <w:ind w:left="135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</w:tr>
      <w:tr>
        <w:trPr>
          <w:trHeight w:val="211" w:hRule="atLeast"/>
        </w:trPr>
        <w:tc>
          <w:tcPr>
            <w:tcW w:w="2870" w:type="dxa"/>
            <w:tcBorders>
              <w:left w:val="nil"/>
            </w:tcBorders>
          </w:tcPr>
          <w:p>
            <w:pPr>
              <w:pStyle w:val="TableParagraph"/>
              <w:spacing w:line="182" w:lineRule="exact" w:before="10"/>
              <w:ind w:left="133" w:right="96"/>
              <w:rPr>
                <w:b/>
                <w:sz w:val="17"/>
              </w:rPr>
            </w:pPr>
            <w:r>
              <w:rPr>
                <w:b/>
                <w:sz w:val="17"/>
              </w:rPr>
              <w:t>AWB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(-</w:t>
            </w:r>
            <w:r>
              <w:rPr>
                <w:b/>
                <w:spacing w:val="-10"/>
                <w:sz w:val="17"/>
              </w:rPr>
              <w:t>)</w:t>
            </w:r>
          </w:p>
        </w:tc>
        <w:tc>
          <w:tcPr>
            <w:tcW w:w="4149" w:type="dxa"/>
          </w:tcPr>
          <w:p>
            <w:pPr>
              <w:pStyle w:val="TableParagraph"/>
              <w:spacing w:line="184" w:lineRule="exact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peIs1715(str-1p::mCasp-1 +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unc-</w:t>
            </w:r>
            <w:r>
              <w:rPr>
                <w:i/>
                <w:spacing w:val="-2"/>
                <w:sz w:val="17"/>
              </w:rPr>
              <w:t>122p::GFP)</w:t>
            </w:r>
          </w:p>
        </w:tc>
        <w:tc>
          <w:tcPr>
            <w:tcW w:w="3083" w:type="dxa"/>
            <w:tcBorders>
              <w:right w:val="nil"/>
            </w:tcBorders>
          </w:tcPr>
          <w:p>
            <w:pPr>
              <w:pStyle w:val="TableParagraph"/>
              <w:spacing w:line="184" w:lineRule="exact"/>
              <w:ind w:left="135"/>
              <w:rPr>
                <w:sz w:val="17"/>
              </w:rPr>
            </w:pPr>
            <w:r>
              <w:rPr>
                <w:sz w:val="17"/>
              </w:rPr>
              <w:t>Yoshida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2012</w:t>
            </w:r>
          </w:p>
        </w:tc>
      </w:tr>
      <w:tr>
        <w:trPr>
          <w:trHeight w:val="418" w:hRule="atLeast"/>
        </w:trPr>
        <w:tc>
          <w:tcPr>
            <w:tcW w:w="2870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133" w:right="96"/>
              <w:rPr>
                <w:b/>
                <w:sz w:val="17"/>
              </w:rPr>
            </w:pPr>
            <w:r>
              <w:rPr>
                <w:b/>
                <w:sz w:val="17"/>
              </w:rPr>
              <w:t>AWC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(-</w:t>
            </w:r>
            <w:r>
              <w:rPr>
                <w:b/>
                <w:spacing w:val="-10"/>
                <w:sz w:val="17"/>
              </w:rPr>
              <w:t>)</w:t>
            </w: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before="2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oyIs85(ceh-36p::TU#813</w:t>
            </w:r>
            <w:r>
              <w:rPr>
                <w:i/>
                <w:spacing w:val="-1"/>
                <w:sz w:val="17"/>
              </w:rPr>
              <w:t> </w:t>
            </w:r>
            <w:r>
              <w:rPr>
                <w:i/>
                <w:sz w:val="17"/>
              </w:rPr>
              <w:t>+ ceh-36p::TU#814 +</w:t>
            </w:r>
            <w:r>
              <w:rPr>
                <w:i/>
                <w:spacing w:val="-1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srtx-</w:t>
            </w:r>
          </w:p>
          <w:p>
            <w:pPr>
              <w:pStyle w:val="TableParagraph"/>
              <w:spacing w:line="179" w:lineRule="exact" w:before="21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1p::GFP</w:t>
            </w:r>
            <w:r>
              <w:rPr>
                <w:i/>
                <w:spacing w:val="5"/>
                <w:sz w:val="17"/>
              </w:rPr>
              <w:t> </w:t>
            </w:r>
            <w:r>
              <w:rPr>
                <w:i/>
                <w:sz w:val="17"/>
              </w:rPr>
              <w:t>+</w:t>
            </w:r>
            <w:r>
              <w:rPr>
                <w:i/>
                <w:spacing w:val="5"/>
                <w:sz w:val="17"/>
              </w:rPr>
              <w:t> </w:t>
            </w:r>
            <w:r>
              <w:rPr>
                <w:i/>
                <w:sz w:val="17"/>
              </w:rPr>
              <w:t>unc-</w:t>
            </w:r>
            <w:r>
              <w:rPr>
                <w:i/>
                <w:spacing w:val="-2"/>
                <w:sz w:val="17"/>
              </w:rPr>
              <w:t>122p::DsRed)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before="110"/>
              <w:ind w:left="135"/>
              <w:rPr>
                <w:sz w:val="17"/>
              </w:rPr>
            </w:pPr>
            <w:r>
              <w:rPr>
                <w:sz w:val="17"/>
              </w:rPr>
              <w:t>Beverly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2011</w:t>
            </w:r>
          </w:p>
        </w:tc>
      </w:tr>
      <w:tr>
        <w:trPr>
          <w:trHeight w:val="211" w:hRule="atLeast"/>
        </w:trPr>
        <w:tc>
          <w:tcPr>
            <w:tcW w:w="287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30"/>
              <w:ind w:left="825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ASJ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(-);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AWA(-</w:t>
            </w:r>
            <w:r>
              <w:rPr>
                <w:b/>
                <w:spacing w:val="-10"/>
                <w:sz w:val="17"/>
              </w:rPr>
              <w:t>)</w:t>
            </w:r>
          </w:p>
        </w:tc>
        <w:tc>
          <w:tcPr>
            <w:tcW w:w="4149" w:type="dxa"/>
          </w:tcPr>
          <w:p>
            <w:pPr>
              <w:pStyle w:val="TableParagraph"/>
              <w:spacing w:line="184" w:lineRule="exact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pgIs(trx-1p::ICE);</w:t>
            </w:r>
            <w:r>
              <w:rPr>
                <w:i/>
                <w:spacing w:val="15"/>
                <w:sz w:val="17"/>
              </w:rPr>
              <w:t> </w:t>
            </w:r>
            <w:r>
              <w:rPr>
                <w:i/>
                <w:sz w:val="17"/>
              </w:rPr>
              <w:t>odr-</w:t>
            </w:r>
            <w:r>
              <w:rPr>
                <w:i/>
                <w:spacing w:val="-2"/>
                <w:sz w:val="17"/>
              </w:rPr>
              <w:t>7(ky4)</w:t>
            </w:r>
          </w:p>
        </w:tc>
        <w:tc>
          <w:tcPr>
            <w:tcW w:w="3083" w:type="dxa"/>
            <w:tcBorders>
              <w:right w:val="nil"/>
            </w:tcBorders>
          </w:tcPr>
          <w:p>
            <w:pPr>
              <w:pStyle w:val="TableParagraph"/>
              <w:spacing w:line="184" w:lineRule="exact"/>
              <w:ind w:left="134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line="184" w:lineRule="exact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lin-41(tn1541);</w:t>
            </w:r>
            <w:r>
              <w:rPr>
                <w:i/>
                <w:spacing w:val="13"/>
                <w:sz w:val="17"/>
              </w:rPr>
              <w:t> </w:t>
            </w:r>
            <w:r>
              <w:rPr>
                <w:i/>
                <w:sz w:val="17"/>
              </w:rPr>
              <w:t>pgIs(trx-1p::ICE);</w:t>
            </w:r>
            <w:r>
              <w:rPr>
                <w:i/>
                <w:spacing w:val="13"/>
                <w:sz w:val="17"/>
              </w:rPr>
              <w:t> </w:t>
            </w:r>
            <w:r>
              <w:rPr>
                <w:i/>
                <w:sz w:val="17"/>
              </w:rPr>
              <w:t>odr-</w:t>
            </w:r>
            <w:r>
              <w:rPr>
                <w:i/>
                <w:spacing w:val="-2"/>
                <w:sz w:val="17"/>
              </w:rPr>
              <w:t>7(ky4)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184" w:lineRule="exact"/>
              <w:ind w:left="134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211" w:hRule="atLeast"/>
        </w:trPr>
        <w:tc>
          <w:tcPr>
            <w:tcW w:w="287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ind w:left="398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Insulin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signaling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mutants</w:t>
            </w:r>
          </w:p>
        </w:tc>
        <w:tc>
          <w:tcPr>
            <w:tcW w:w="4149" w:type="dxa"/>
          </w:tcPr>
          <w:p>
            <w:pPr>
              <w:pStyle w:val="TableParagraph"/>
              <w:spacing w:line="184" w:lineRule="exact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daf-</w:t>
            </w:r>
            <w:r>
              <w:rPr>
                <w:i/>
                <w:spacing w:val="-2"/>
                <w:sz w:val="17"/>
              </w:rPr>
              <w:t>2(e1368)</w:t>
            </w:r>
          </w:p>
        </w:tc>
        <w:tc>
          <w:tcPr>
            <w:tcW w:w="3083" w:type="dxa"/>
            <w:tcBorders>
              <w:right w:val="nil"/>
            </w:tcBorders>
          </w:tcPr>
          <w:p>
            <w:pPr>
              <w:pStyle w:val="TableParagraph"/>
              <w:spacing w:line="184" w:lineRule="exact"/>
              <w:ind w:left="135"/>
              <w:rPr>
                <w:sz w:val="17"/>
              </w:rPr>
            </w:pPr>
            <w:r>
              <w:rPr>
                <w:sz w:val="17"/>
              </w:rPr>
              <w:t>Gems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1998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line="184" w:lineRule="exact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lin-41(tn1541);</w:t>
            </w:r>
            <w:r>
              <w:rPr>
                <w:i/>
                <w:spacing w:val="13"/>
                <w:sz w:val="17"/>
              </w:rPr>
              <w:t> </w:t>
            </w:r>
            <w:r>
              <w:rPr>
                <w:i/>
                <w:sz w:val="17"/>
              </w:rPr>
              <w:t>daf-</w:t>
            </w:r>
            <w:r>
              <w:rPr>
                <w:i/>
                <w:spacing w:val="-2"/>
                <w:sz w:val="17"/>
              </w:rPr>
              <w:t>2(e1368)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184" w:lineRule="exact"/>
              <w:ind w:left="134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</w:tcPr>
          <w:p>
            <w:pPr>
              <w:pStyle w:val="TableParagraph"/>
              <w:spacing w:line="184" w:lineRule="exact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daf-</w:t>
            </w:r>
            <w:r>
              <w:rPr>
                <w:i/>
                <w:spacing w:val="-2"/>
                <w:sz w:val="17"/>
              </w:rPr>
              <w:t>2(e1370)</w:t>
            </w:r>
          </w:p>
        </w:tc>
        <w:tc>
          <w:tcPr>
            <w:tcW w:w="3083" w:type="dxa"/>
            <w:tcBorders>
              <w:right w:val="nil"/>
            </w:tcBorders>
          </w:tcPr>
          <w:p>
            <w:pPr>
              <w:pStyle w:val="TableParagraph"/>
              <w:spacing w:line="184" w:lineRule="exact"/>
              <w:ind w:left="135"/>
              <w:rPr>
                <w:sz w:val="17"/>
              </w:rPr>
            </w:pPr>
            <w:r>
              <w:rPr>
                <w:sz w:val="17"/>
              </w:rPr>
              <w:t>Gems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1998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line="184" w:lineRule="exact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lin-41(tn1541);</w:t>
            </w:r>
            <w:r>
              <w:rPr>
                <w:i/>
                <w:spacing w:val="13"/>
                <w:sz w:val="17"/>
              </w:rPr>
              <w:t> </w:t>
            </w:r>
            <w:r>
              <w:rPr>
                <w:i/>
                <w:sz w:val="17"/>
              </w:rPr>
              <w:t>daf-</w:t>
            </w:r>
            <w:r>
              <w:rPr>
                <w:i/>
                <w:spacing w:val="-2"/>
                <w:sz w:val="17"/>
              </w:rPr>
              <w:t>2(e1370)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184" w:lineRule="exact"/>
              <w:ind w:left="134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</w:tcPr>
          <w:p>
            <w:pPr>
              <w:pStyle w:val="TableParagraph"/>
              <w:spacing w:line="184" w:lineRule="exact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daf-</w:t>
            </w:r>
            <w:r>
              <w:rPr>
                <w:i/>
                <w:spacing w:val="-2"/>
                <w:sz w:val="17"/>
              </w:rPr>
              <w:t>16(mu86)</w:t>
            </w:r>
          </w:p>
        </w:tc>
        <w:tc>
          <w:tcPr>
            <w:tcW w:w="3083" w:type="dxa"/>
            <w:tcBorders>
              <w:right w:val="nil"/>
            </w:tcBorders>
          </w:tcPr>
          <w:p>
            <w:pPr>
              <w:pStyle w:val="TableParagraph"/>
              <w:spacing w:line="184" w:lineRule="exact"/>
              <w:ind w:left="135"/>
              <w:rPr>
                <w:sz w:val="17"/>
              </w:rPr>
            </w:pPr>
            <w:r>
              <w:rPr>
                <w:sz w:val="17"/>
              </w:rPr>
              <w:t>Lin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1997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line="184" w:lineRule="exact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lin-41(tn1541)</w:t>
            </w:r>
            <w:r>
              <w:rPr>
                <w:i/>
                <w:spacing w:val="13"/>
                <w:sz w:val="17"/>
              </w:rPr>
              <w:t> </w:t>
            </w:r>
            <w:r>
              <w:rPr>
                <w:i/>
                <w:sz w:val="17"/>
              </w:rPr>
              <w:t>daf-</w:t>
            </w:r>
            <w:r>
              <w:rPr>
                <w:i/>
                <w:spacing w:val="-2"/>
                <w:sz w:val="17"/>
              </w:rPr>
              <w:t>16(mu86)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184" w:lineRule="exact"/>
              <w:ind w:left="134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</w:tcPr>
          <w:p>
            <w:pPr>
              <w:pStyle w:val="TableParagraph"/>
              <w:spacing w:line="184" w:lineRule="exact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ins-</w:t>
            </w:r>
            <w:r>
              <w:rPr>
                <w:i/>
                <w:spacing w:val="-2"/>
                <w:sz w:val="17"/>
              </w:rPr>
              <w:t>1(nr2091)</w:t>
            </w:r>
          </w:p>
        </w:tc>
        <w:tc>
          <w:tcPr>
            <w:tcW w:w="3083" w:type="dxa"/>
            <w:tcBorders>
              <w:right w:val="nil"/>
            </w:tcBorders>
          </w:tcPr>
          <w:p>
            <w:pPr>
              <w:pStyle w:val="TableParagraph"/>
              <w:spacing w:line="184" w:lineRule="exact"/>
              <w:ind w:left="135"/>
              <w:rPr>
                <w:sz w:val="17"/>
              </w:rPr>
            </w:pPr>
            <w:r>
              <w:rPr>
                <w:sz w:val="17"/>
              </w:rPr>
              <w:t>Pierce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2001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line="184" w:lineRule="exact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lin-41(tn1541);</w:t>
            </w:r>
            <w:r>
              <w:rPr>
                <w:i/>
                <w:spacing w:val="13"/>
                <w:sz w:val="17"/>
              </w:rPr>
              <w:t> </w:t>
            </w:r>
            <w:r>
              <w:rPr>
                <w:i/>
                <w:sz w:val="17"/>
              </w:rPr>
              <w:t>ins-</w:t>
            </w:r>
            <w:r>
              <w:rPr>
                <w:i/>
                <w:spacing w:val="-2"/>
                <w:sz w:val="17"/>
              </w:rPr>
              <w:t>1(nr2091)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184" w:lineRule="exact"/>
              <w:ind w:left="134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</w:tcPr>
          <w:p>
            <w:pPr>
              <w:pStyle w:val="TableParagraph"/>
              <w:spacing w:line="184" w:lineRule="exact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ins-</w:t>
            </w:r>
            <w:r>
              <w:rPr>
                <w:i/>
                <w:spacing w:val="-2"/>
                <w:sz w:val="17"/>
              </w:rPr>
              <w:t>6(tm2416)</w:t>
            </w:r>
          </w:p>
        </w:tc>
        <w:tc>
          <w:tcPr>
            <w:tcW w:w="3083" w:type="dxa"/>
            <w:tcBorders>
              <w:right w:val="nil"/>
            </w:tcBorders>
          </w:tcPr>
          <w:p>
            <w:pPr>
              <w:pStyle w:val="TableParagraph"/>
              <w:spacing w:line="184" w:lineRule="exact"/>
              <w:ind w:left="135"/>
              <w:rPr>
                <w:sz w:val="17"/>
              </w:rPr>
            </w:pPr>
            <w:r>
              <w:rPr>
                <w:sz w:val="17"/>
              </w:rPr>
              <w:t>Cornils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2011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line="184" w:lineRule="exact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lin-41(tn1541);</w:t>
            </w:r>
            <w:r>
              <w:rPr>
                <w:i/>
                <w:spacing w:val="13"/>
                <w:sz w:val="17"/>
              </w:rPr>
              <w:t> </w:t>
            </w:r>
            <w:r>
              <w:rPr>
                <w:i/>
                <w:sz w:val="17"/>
              </w:rPr>
              <w:t>ins-</w:t>
            </w:r>
            <w:r>
              <w:rPr>
                <w:i/>
                <w:spacing w:val="-2"/>
                <w:sz w:val="17"/>
              </w:rPr>
              <w:t>6(tm2416)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184" w:lineRule="exact"/>
              <w:ind w:left="134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</w:tcPr>
          <w:p>
            <w:pPr>
              <w:pStyle w:val="TableParagraph"/>
              <w:spacing w:line="184" w:lineRule="exact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lin-41(tn1541)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daf-16(mu86);</w:t>
            </w:r>
            <w:r>
              <w:rPr>
                <w:i/>
                <w:spacing w:val="12"/>
                <w:sz w:val="17"/>
              </w:rPr>
              <w:t> </w:t>
            </w:r>
            <w:r>
              <w:rPr>
                <w:i/>
                <w:sz w:val="17"/>
              </w:rPr>
              <w:t>ins-</w:t>
            </w:r>
            <w:r>
              <w:rPr>
                <w:i/>
                <w:spacing w:val="-2"/>
                <w:sz w:val="17"/>
              </w:rPr>
              <w:t>6(tm2416)</w:t>
            </w:r>
          </w:p>
        </w:tc>
        <w:tc>
          <w:tcPr>
            <w:tcW w:w="3083" w:type="dxa"/>
            <w:tcBorders>
              <w:right w:val="nil"/>
            </w:tcBorders>
          </w:tcPr>
          <w:p>
            <w:pPr>
              <w:pStyle w:val="TableParagraph"/>
              <w:spacing w:line="184" w:lineRule="exact"/>
              <w:ind w:left="134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line="184" w:lineRule="exact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ins-6(tm2416);</w:t>
            </w:r>
            <w:r>
              <w:rPr>
                <w:i/>
                <w:spacing w:val="9"/>
                <w:sz w:val="17"/>
              </w:rPr>
              <w:t> </w:t>
            </w:r>
            <w:r>
              <w:rPr>
                <w:i/>
                <w:sz w:val="17"/>
              </w:rPr>
              <w:t>teIs1(oma-1::GFP</w:t>
            </w:r>
            <w:r>
              <w:rPr>
                <w:i/>
                <w:spacing w:val="10"/>
                <w:sz w:val="17"/>
              </w:rPr>
              <w:t> </w:t>
            </w:r>
            <w:r>
              <w:rPr>
                <w:i/>
                <w:sz w:val="17"/>
              </w:rPr>
              <w:t>+</w:t>
            </w:r>
            <w:r>
              <w:rPr>
                <w:i/>
                <w:spacing w:val="9"/>
                <w:sz w:val="17"/>
              </w:rPr>
              <w:t> </w:t>
            </w:r>
            <w:r>
              <w:rPr>
                <w:i/>
                <w:sz w:val="17"/>
              </w:rPr>
              <w:t>unc-</w:t>
            </w:r>
            <w:r>
              <w:rPr>
                <w:i/>
                <w:spacing w:val="-2"/>
                <w:sz w:val="17"/>
              </w:rPr>
              <w:t>119[+])</w:t>
            </w:r>
          </w:p>
        </w:tc>
        <w:tc>
          <w:tcPr>
            <w:tcW w:w="3083" w:type="dxa"/>
            <w:tcBorders>
              <w:right w:val="nil"/>
            </w:tcBorders>
          </w:tcPr>
          <w:p>
            <w:pPr>
              <w:pStyle w:val="TableParagraph"/>
              <w:spacing w:line="184" w:lineRule="exact"/>
              <w:ind w:left="134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</w:tcPr>
          <w:p>
            <w:pPr>
              <w:pStyle w:val="TableParagraph"/>
              <w:spacing w:line="184" w:lineRule="exact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daf-</w:t>
            </w:r>
            <w:r>
              <w:rPr>
                <w:i/>
                <w:spacing w:val="-2"/>
                <w:sz w:val="17"/>
              </w:rPr>
              <w:t>28(tm2308)</w:t>
            </w:r>
          </w:p>
        </w:tc>
        <w:tc>
          <w:tcPr>
            <w:tcW w:w="3083" w:type="dxa"/>
            <w:tcBorders>
              <w:right w:val="nil"/>
            </w:tcBorders>
          </w:tcPr>
          <w:p>
            <w:pPr>
              <w:pStyle w:val="TableParagraph"/>
              <w:spacing w:line="184" w:lineRule="exact"/>
              <w:ind w:left="135"/>
              <w:rPr>
                <w:sz w:val="17"/>
              </w:rPr>
            </w:pPr>
            <w:r>
              <w:rPr>
                <w:sz w:val="17"/>
              </w:rPr>
              <w:t>Cornils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2011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line="184" w:lineRule="exact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lin-41(tn1541);</w:t>
            </w:r>
            <w:r>
              <w:rPr>
                <w:i/>
                <w:spacing w:val="13"/>
                <w:sz w:val="17"/>
              </w:rPr>
              <w:t> </w:t>
            </w:r>
            <w:r>
              <w:rPr>
                <w:i/>
                <w:sz w:val="17"/>
              </w:rPr>
              <w:t>daf-</w:t>
            </w:r>
            <w:r>
              <w:rPr>
                <w:i/>
                <w:spacing w:val="-2"/>
                <w:sz w:val="17"/>
              </w:rPr>
              <w:t>28(tm2308)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184" w:lineRule="exact"/>
              <w:ind w:left="134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</w:tcPr>
          <w:p>
            <w:pPr>
              <w:pStyle w:val="TableParagraph"/>
              <w:spacing w:line="184" w:lineRule="exact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ins-6(tm2416);</w:t>
            </w:r>
            <w:r>
              <w:rPr>
                <w:i/>
                <w:spacing w:val="13"/>
                <w:sz w:val="17"/>
              </w:rPr>
              <w:t> </w:t>
            </w:r>
            <w:r>
              <w:rPr>
                <w:i/>
                <w:sz w:val="17"/>
              </w:rPr>
              <w:t>daf-</w:t>
            </w:r>
            <w:r>
              <w:rPr>
                <w:i/>
                <w:spacing w:val="-2"/>
                <w:sz w:val="17"/>
              </w:rPr>
              <w:t>28(tm2308)</w:t>
            </w:r>
          </w:p>
        </w:tc>
        <w:tc>
          <w:tcPr>
            <w:tcW w:w="3083" w:type="dxa"/>
            <w:tcBorders>
              <w:right w:val="nil"/>
            </w:tcBorders>
          </w:tcPr>
          <w:p>
            <w:pPr>
              <w:pStyle w:val="TableParagraph"/>
              <w:spacing w:line="184" w:lineRule="exact"/>
              <w:ind w:left="135"/>
              <w:rPr>
                <w:sz w:val="17"/>
              </w:rPr>
            </w:pPr>
            <w:r>
              <w:rPr>
                <w:sz w:val="17"/>
              </w:rPr>
              <w:t>Cornils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2011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line="184" w:lineRule="exact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ins-6(tm2416);</w:t>
            </w:r>
            <w:r>
              <w:rPr>
                <w:i/>
                <w:spacing w:val="13"/>
                <w:sz w:val="17"/>
              </w:rPr>
              <w:t> </w:t>
            </w:r>
            <w:r>
              <w:rPr>
                <w:i/>
                <w:sz w:val="17"/>
              </w:rPr>
              <w:t>ins-</w:t>
            </w:r>
            <w:r>
              <w:rPr>
                <w:i/>
                <w:spacing w:val="-2"/>
                <w:sz w:val="17"/>
              </w:rPr>
              <w:t>1(nr2091)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184" w:lineRule="exact"/>
              <w:ind w:left="135"/>
              <w:rPr>
                <w:sz w:val="17"/>
              </w:rPr>
            </w:pPr>
            <w:r>
              <w:rPr>
                <w:sz w:val="17"/>
              </w:rPr>
              <w:t>Cornils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2011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</w:tcPr>
          <w:p>
            <w:pPr>
              <w:pStyle w:val="TableParagraph"/>
              <w:spacing w:line="184" w:lineRule="exact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ins-1(nr2091);</w:t>
            </w:r>
            <w:r>
              <w:rPr>
                <w:i/>
                <w:spacing w:val="13"/>
                <w:sz w:val="17"/>
              </w:rPr>
              <w:t> </w:t>
            </w:r>
            <w:r>
              <w:rPr>
                <w:i/>
                <w:sz w:val="17"/>
              </w:rPr>
              <w:t>daf-</w:t>
            </w:r>
            <w:r>
              <w:rPr>
                <w:i/>
                <w:spacing w:val="-2"/>
                <w:sz w:val="17"/>
              </w:rPr>
              <w:t>28(tm2308)</w:t>
            </w:r>
          </w:p>
        </w:tc>
        <w:tc>
          <w:tcPr>
            <w:tcW w:w="3083" w:type="dxa"/>
            <w:tcBorders>
              <w:right w:val="nil"/>
            </w:tcBorders>
          </w:tcPr>
          <w:p>
            <w:pPr>
              <w:pStyle w:val="TableParagraph"/>
              <w:spacing w:line="184" w:lineRule="exact"/>
              <w:ind w:left="135"/>
              <w:rPr>
                <w:sz w:val="17"/>
              </w:rPr>
            </w:pPr>
            <w:r>
              <w:rPr>
                <w:sz w:val="17"/>
              </w:rPr>
              <w:t>Cornils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2011</w:t>
            </w:r>
          </w:p>
        </w:tc>
      </w:tr>
      <w:tr>
        <w:trPr>
          <w:trHeight w:val="211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line="184" w:lineRule="exact"/>
              <w:ind w:right="51"/>
              <w:rPr>
                <w:i/>
                <w:sz w:val="17"/>
              </w:rPr>
            </w:pPr>
            <w:r>
              <w:rPr>
                <w:i/>
                <w:sz w:val="17"/>
              </w:rPr>
              <w:t>ins-6(tm2416);</w:t>
            </w:r>
            <w:r>
              <w:rPr>
                <w:i/>
                <w:spacing w:val="12"/>
                <w:sz w:val="17"/>
              </w:rPr>
              <w:t> </w:t>
            </w:r>
            <w:r>
              <w:rPr>
                <w:i/>
                <w:sz w:val="17"/>
              </w:rPr>
              <w:t>ins-1(nr2091);</w:t>
            </w:r>
            <w:r>
              <w:rPr>
                <w:i/>
                <w:spacing w:val="12"/>
                <w:sz w:val="17"/>
              </w:rPr>
              <w:t> </w:t>
            </w:r>
            <w:r>
              <w:rPr>
                <w:i/>
                <w:sz w:val="17"/>
              </w:rPr>
              <w:t>daf-</w:t>
            </w:r>
            <w:r>
              <w:rPr>
                <w:i/>
                <w:spacing w:val="-2"/>
                <w:sz w:val="17"/>
              </w:rPr>
              <w:t>28(tm2308)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184" w:lineRule="exact"/>
              <w:ind w:left="135"/>
              <w:rPr>
                <w:sz w:val="17"/>
              </w:rPr>
            </w:pPr>
            <w:r>
              <w:rPr>
                <w:sz w:val="17"/>
              </w:rPr>
              <w:t>Cornils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2011</w:t>
            </w:r>
          </w:p>
        </w:tc>
      </w:tr>
      <w:tr>
        <w:trPr>
          <w:trHeight w:val="418" w:hRule="atLeast"/>
        </w:trPr>
        <w:tc>
          <w:tcPr>
            <w:tcW w:w="287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29"/>
              <w:ind w:left="386" w:right="0"/>
              <w:jc w:val="left"/>
              <w:rPr>
                <w:b/>
                <w:sz w:val="17"/>
              </w:rPr>
            </w:pPr>
            <w:r>
              <w:rPr>
                <w:b/>
                <w:i/>
                <w:sz w:val="17"/>
              </w:rPr>
              <w:t>ins-6</w:t>
            </w:r>
            <w:r>
              <w:rPr>
                <w:b/>
                <w:i/>
                <w:spacing w:val="32"/>
                <w:sz w:val="17"/>
              </w:rPr>
              <w:t> </w:t>
            </w:r>
            <w:r>
              <w:rPr>
                <w:b/>
                <w:sz w:val="17"/>
              </w:rPr>
              <w:t>full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genomic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rescue</w:t>
            </w:r>
          </w:p>
        </w:tc>
        <w:tc>
          <w:tcPr>
            <w:tcW w:w="4149" w:type="dxa"/>
          </w:tcPr>
          <w:p>
            <w:pPr>
              <w:pStyle w:val="TableParagraph"/>
              <w:spacing w:before="2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lin-41(tn1541);</w:t>
            </w:r>
            <w:r>
              <w:rPr>
                <w:i/>
                <w:spacing w:val="5"/>
                <w:sz w:val="17"/>
              </w:rPr>
              <w:t> </w:t>
            </w:r>
            <w:r>
              <w:rPr>
                <w:i/>
                <w:sz w:val="17"/>
              </w:rPr>
              <w:t>ins-6(tm2416);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jxEx27(ins-6p::ins-6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pacing w:val="-5"/>
                <w:sz w:val="17"/>
              </w:rPr>
              <w:t>[2</w:t>
            </w:r>
          </w:p>
          <w:p>
            <w:pPr>
              <w:pStyle w:val="TableParagraph"/>
              <w:spacing w:line="179" w:lineRule="exact" w:before="21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ng/ul];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z w:val="17"/>
              </w:rPr>
              <w:t>ofm-1::GFP</w:t>
            </w:r>
            <w:r>
              <w:rPr>
                <w:i/>
                <w:spacing w:val="5"/>
                <w:sz w:val="17"/>
              </w:rPr>
              <w:t> </w:t>
            </w:r>
            <w:r>
              <w:rPr>
                <w:i/>
                <w:sz w:val="17"/>
              </w:rPr>
              <w:t>[25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ng/ul])</w:t>
            </w:r>
          </w:p>
        </w:tc>
        <w:tc>
          <w:tcPr>
            <w:tcW w:w="3083" w:type="dxa"/>
            <w:tcBorders>
              <w:right w:val="nil"/>
            </w:tcBorders>
          </w:tcPr>
          <w:p>
            <w:pPr>
              <w:pStyle w:val="TableParagraph"/>
              <w:spacing w:before="110"/>
              <w:ind w:left="136"/>
              <w:rPr>
                <w:sz w:val="17"/>
              </w:rPr>
            </w:pPr>
            <w:r>
              <w:rPr>
                <w:sz w:val="17"/>
              </w:rPr>
              <w:t>Cornils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2011;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418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before="2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lin-41(tn1541);</w:t>
            </w:r>
            <w:r>
              <w:rPr>
                <w:i/>
                <w:spacing w:val="5"/>
                <w:sz w:val="17"/>
              </w:rPr>
              <w:t> </w:t>
            </w:r>
            <w:r>
              <w:rPr>
                <w:i/>
                <w:sz w:val="17"/>
              </w:rPr>
              <w:t>ins-6(tm2416);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jxEx28(ins-6p::ins-6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pacing w:val="-5"/>
                <w:sz w:val="17"/>
              </w:rPr>
              <w:t>[2</w:t>
            </w:r>
          </w:p>
          <w:p>
            <w:pPr>
              <w:pStyle w:val="TableParagraph"/>
              <w:spacing w:line="179" w:lineRule="exact" w:before="21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ng/ul];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z w:val="17"/>
              </w:rPr>
              <w:t>ofm-1::GFP</w:t>
            </w:r>
            <w:r>
              <w:rPr>
                <w:i/>
                <w:spacing w:val="5"/>
                <w:sz w:val="17"/>
              </w:rPr>
              <w:t> </w:t>
            </w:r>
            <w:r>
              <w:rPr>
                <w:i/>
                <w:sz w:val="17"/>
              </w:rPr>
              <w:t>[25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ng/ul])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before="110"/>
              <w:ind w:left="136"/>
              <w:rPr>
                <w:sz w:val="17"/>
              </w:rPr>
            </w:pPr>
            <w:r>
              <w:rPr>
                <w:sz w:val="17"/>
              </w:rPr>
              <w:t>Cornils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2011;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</w:tbl>
    <w:p>
      <w:pPr>
        <w:spacing w:after="0"/>
        <w:rPr>
          <w:sz w:val="17"/>
        </w:rPr>
        <w:sectPr>
          <w:type w:val="continuous"/>
          <w:pgSz w:w="12240" w:h="15840"/>
          <w:pgMar w:top="1160" w:bottom="280" w:left="900" w:right="1020"/>
        </w:sectPr>
      </w:pPr>
    </w:p>
    <w:p>
      <w:pPr>
        <w:spacing w:before="81"/>
        <w:ind w:left="3026" w:right="2983" w:firstLine="0"/>
        <w:jc w:val="center"/>
        <w:rPr>
          <w:b/>
          <w:sz w:val="19"/>
        </w:rPr>
      </w:pPr>
      <w:r>
        <w:rPr>
          <w:b/>
          <w:sz w:val="19"/>
        </w:rPr>
        <w:t>Supplementary</w:t>
      </w:r>
      <w:r>
        <w:rPr>
          <w:b/>
          <w:spacing w:val="-10"/>
          <w:sz w:val="19"/>
        </w:rPr>
        <w:t> </w:t>
      </w:r>
      <w:r>
        <w:rPr>
          <w:b/>
          <w:sz w:val="19"/>
        </w:rPr>
        <w:t>File</w:t>
      </w:r>
      <w:r>
        <w:rPr>
          <w:b/>
          <w:spacing w:val="-9"/>
          <w:sz w:val="19"/>
        </w:rPr>
        <w:t> </w:t>
      </w:r>
      <w:r>
        <w:rPr>
          <w:b/>
          <w:sz w:val="19"/>
        </w:rPr>
        <w:t>1.</w:t>
      </w:r>
      <w:r>
        <w:rPr>
          <w:b/>
          <w:spacing w:val="-10"/>
          <w:sz w:val="19"/>
        </w:rPr>
        <w:t> </w:t>
      </w:r>
      <w:r>
        <w:rPr>
          <w:b/>
          <w:sz w:val="19"/>
        </w:rPr>
        <w:t>List</w:t>
      </w:r>
      <w:r>
        <w:rPr>
          <w:b/>
          <w:spacing w:val="-9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10"/>
          <w:sz w:val="19"/>
        </w:rPr>
        <w:t> </w:t>
      </w:r>
      <w:r>
        <w:rPr>
          <w:b/>
          <w:sz w:val="19"/>
        </w:rPr>
        <w:t>strains</w:t>
      </w:r>
      <w:r>
        <w:rPr>
          <w:b/>
          <w:spacing w:val="-9"/>
          <w:sz w:val="19"/>
        </w:rPr>
        <w:t> </w:t>
      </w:r>
      <w:r>
        <w:rPr>
          <w:b/>
          <w:spacing w:val="-2"/>
          <w:sz w:val="19"/>
        </w:rPr>
        <w:t>(continued)</w:t>
      </w:r>
    </w:p>
    <w:tbl>
      <w:tblPr>
        <w:tblW w:w="0" w:type="auto"/>
        <w:jc w:val="left"/>
        <w:tblInd w:w="1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4149"/>
        <w:gridCol w:w="3083"/>
      </w:tblGrid>
      <w:tr>
        <w:trPr>
          <w:trHeight w:val="290" w:hRule="atLeast"/>
        </w:trPr>
        <w:tc>
          <w:tcPr>
            <w:tcW w:w="2870" w:type="dxa"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28"/>
              <w:ind w:left="133" w:right="10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Strain</w:t>
            </w:r>
          </w:p>
        </w:tc>
        <w:tc>
          <w:tcPr>
            <w:tcW w:w="4149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40"/>
              <w:ind w:right="23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Genotype</w:t>
            </w:r>
          </w:p>
        </w:tc>
        <w:tc>
          <w:tcPr>
            <w:tcW w:w="3083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0"/>
              <w:ind w:left="134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Reference(s)</w:t>
            </w:r>
          </w:p>
        </w:tc>
      </w:tr>
      <w:tr>
        <w:trPr>
          <w:trHeight w:val="423" w:hRule="atLeast"/>
        </w:trPr>
        <w:tc>
          <w:tcPr>
            <w:tcW w:w="287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10"/>
              <w:ind w:left="133" w:right="93"/>
              <w:rPr>
                <w:b/>
                <w:sz w:val="17"/>
              </w:rPr>
            </w:pPr>
            <w:r>
              <w:rPr>
                <w:b/>
                <w:i/>
                <w:sz w:val="17"/>
              </w:rPr>
              <w:t>ins-6</w:t>
            </w:r>
            <w:r>
              <w:rPr>
                <w:b/>
                <w:i/>
                <w:spacing w:val="30"/>
                <w:sz w:val="17"/>
              </w:rPr>
              <w:t> </w:t>
            </w:r>
            <w:r>
              <w:rPr>
                <w:b/>
                <w:sz w:val="17"/>
              </w:rPr>
              <w:t>ASI-specific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rescue</w:t>
            </w:r>
          </w:p>
        </w:tc>
        <w:tc>
          <w:tcPr>
            <w:tcW w:w="4149" w:type="dxa"/>
            <w:tcBorders>
              <w:top w:val="nil"/>
            </w:tcBorders>
          </w:tcPr>
          <w:p>
            <w:pPr>
              <w:pStyle w:val="TableParagraph"/>
              <w:spacing w:line="195" w:lineRule="exact" w:before="0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lin-41(tn1541);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ins-6(tm2416);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jxEx51(str-3p::ins-</w:t>
            </w:r>
            <w:r>
              <w:rPr>
                <w:i/>
                <w:spacing w:val="-10"/>
                <w:sz w:val="17"/>
              </w:rPr>
              <w:t>6</w:t>
            </w:r>
          </w:p>
          <w:p>
            <w:pPr>
              <w:pStyle w:val="TableParagraph"/>
              <w:spacing w:line="188" w:lineRule="exact" w:before="20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[25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ng/ul];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z w:val="17"/>
              </w:rPr>
              <w:t>ofm-1::GFP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[25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ng/ul])</w:t>
            </w:r>
          </w:p>
        </w:tc>
        <w:tc>
          <w:tcPr>
            <w:tcW w:w="308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07"/>
              <w:ind w:left="136"/>
              <w:rPr>
                <w:sz w:val="17"/>
              </w:rPr>
            </w:pPr>
            <w:r>
              <w:rPr>
                <w:sz w:val="17"/>
              </w:rPr>
              <w:t>Cornils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2011;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418" w:hRule="atLeast"/>
        </w:trPr>
        <w:tc>
          <w:tcPr>
            <w:tcW w:w="287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ind w:left="381" w:right="0"/>
              <w:jc w:val="left"/>
              <w:rPr>
                <w:b/>
                <w:sz w:val="17"/>
              </w:rPr>
            </w:pPr>
            <w:r>
              <w:rPr>
                <w:b/>
                <w:i/>
                <w:sz w:val="17"/>
              </w:rPr>
              <w:t>ins-6</w:t>
            </w:r>
            <w:r>
              <w:rPr>
                <w:b/>
                <w:i/>
                <w:spacing w:val="30"/>
                <w:sz w:val="17"/>
              </w:rPr>
              <w:t> </w:t>
            </w:r>
            <w:r>
              <w:rPr>
                <w:b/>
                <w:sz w:val="17"/>
              </w:rPr>
              <w:t>ASJ-specific </w:t>
            </w:r>
            <w:r>
              <w:rPr>
                <w:b/>
                <w:spacing w:val="-2"/>
                <w:sz w:val="17"/>
              </w:rPr>
              <w:t>rescue</w:t>
            </w: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line="189" w:lineRule="exact" w:before="0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lin-41(tn1541);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ins-6(tm2416);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jxEx58(trx-1p::ins-</w:t>
            </w:r>
            <w:r>
              <w:rPr>
                <w:i/>
                <w:spacing w:val="-10"/>
                <w:sz w:val="17"/>
              </w:rPr>
              <w:t>6</w:t>
            </w:r>
          </w:p>
          <w:p>
            <w:pPr>
              <w:pStyle w:val="TableParagraph"/>
              <w:spacing w:line="188" w:lineRule="exact" w:before="20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[25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ng/ul];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z w:val="17"/>
              </w:rPr>
              <w:t>ofm-1::GFP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[25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ng/ul])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before="101"/>
              <w:ind w:left="136"/>
              <w:rPr>
                <w:sz w:val="17"/>
              </w:rPr>
            </w:pPr>
            <w:r>
              <w:rPr>
                <w:sz w:val="17"/>
              </w:rPr>
              <w:t>Cornils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2011;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418" w:hRule="atLeast"/>
        </w:trPr>
        <w:tc>
          <w:tcPr>
            <w:tcW w:w="287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</w:tcPr>
          <w:p>
            <w:pPr>
              <w:pStyle w:val="TableParagraph"/>
              <w:spacing w:line="189" w:lineRule="exact" w:before="0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lin-41(tn1541);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ins-6(tm2416);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jxEx59(trx-1p::ins-</w:t>
            </w:r>
            <w:r>
              <w:rPr>
                <w:i/>
                <w:spacing w:val="-10"/>
                <w:sz w:val="17"/>
              </w:rPr>
              <w:t>6</w:t>
            </w:r>
          </w:p>
          <w:p>
            <w:pPr>
              <w:pStyle w:val="TableParagraph"/>
              <w:spacing w:line="188" w:lineRule="exact" w:before="20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[25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ng/ul];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z w:val="17"/>
              </w:rPr>
              <w:t>ofm-1::GFP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[25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pacing w:val="-2"/>
                <w:sz w:val="17"/>
              </w:rPr>
              <w:t>ng/ul])</w:t>
            </w:r>
          </w:p>
        </w:tc>
        <w:tc>
          <w:tcPr>
            <w:tcW w:w="3083" w:type="dxa"/>
            <w:tcBorders>
              <w:right w:val="nil"/>
            </w:tcBorders>
          </w:tcPr>
          <w:p>
            <w:pPr>
              <w:pStyle w:val="TableParagraph"/>
              <w:spacing w:before="101"/>
              <w:ind w:left="136"/>
              <w:rPr>
                <w:sz w:val="17"/>
              </w:rPr>
            </w:pPr>
            <w:r>
              <w:rPr>
                <w:sz w:val="17"/>
              </w:rPr>
              <w:t>Cornils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al.,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2011;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418" w:hRule="atLeast"/>
        </w:trPr>
        <w:tc>
          <w:tcPr>
            <w:tcW w:w="2870" w:type="dxa"/>
            <w:tcBorders>
              <w:left w:val="nil"/>
            </w:tcBorders>
          </w:tcPr>
          <w:p>
            <w:pPr>
              <w:pStyle w:val="TableParagraph"/>
              <w:spacing w:before="104"/>
              <w:ind w:left="133" w:right="13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ins-6p::mCherry</w:t>
            </w:r>
            <w:r>
              <w:rPr>
                <w:b/>
                <w:i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drcSi68</w:t>
            </w: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before="101"/>
              <w:ind w:right="51"/>
              <w:rPr>
                <w:i/>
                <w:sz w:val="17"/>
              </w:rPr>
            </w:pPr>
            <w:r>
              <w:rPr>
                <w:i/>
                <w:sz w:val="17"/>
              </w:rPr>
              <w:t>ttTi5605</w:t>
            </w:r>
            <w:r>
              <w:rPr>
                <w:i/>
                <w:spacing w:val="12"/>
                <w:sz w:val="17"/>
              </w:rPr>
              <w:t> </w:t>
            </w:r>
            <w:r>
              <w:rPr>
                <w:i/>
                <w:sz w:val="17"/>
              </w:rPr>
              <w:t>drcSi68(ins-6p::mCherry;</w:t>
            </w:r>
            <w:r>
              <w:rPr>
                <w:i/>
                <w:spacing w:val="12"/>
                <w:sz w:val="17"/>
              </w:rPr>
              <w:t> </w:t>
            </w:r>
            <w:r>
              <w:rPr>
                <w:i/>
                <w:sz w:val="17"/>
              </w:rPr>
              <w:t>Cb-unc-</w:t>
            </w:r>
            <w:r>
              <w:rPr>
                <w:i/>
                <w:spacing w:val="-2"/>
                <w:sz w:val="17"/>
              </w:rPr>
              <w:t>119[+])II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before="101"/>
              <w:ind w:left="134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211" w:hRule="atLeast"/>
        </w:trPr>
        <w:tc>
          <w:tcPr>
            <w:tcW w:w="2870" w:type="dxa"/>
            <w:tcBorders>
              <w:left w:val="nil"/>
            </w:tcBorders>
          </w:tcPr>
          <w:p>
            <w:pPr>
              <w:pStyle w:val="TableParagraph"/>
              <w:spacing w:line="191" w:lineRule="exact" w:before="1"/>
              <w:ind w:left="133" w:right="103"/>
              <w:rPr>
                <w:b/>
                <w:sz w:val="17"/>
              </w:rPr>
            </w:pPr>
            <w:r>
              <w:rPr>
                <w:b/>
                <w:sz w:val="17"/>
              </w:rPr>
              <w:t>floxed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i/>
                <w:sz w:val="17"/>
              </w:rPr>
              <w:t>ins-6</w:t>
            </w:r>
            <w:r>
              <w:rPr>
                <w:b/>
                <w:i/>
                <w:spacing w:val="34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locus</w:t>
            </w:r>
          </w:p>
        </w:tc>
        <w:tc>
          <w:tcPr>
            <w:tcW w:w="4149" w:type="dxa"/>
          </w:tcPr>
          <w:p>
            <w:pPr>
              <w:pStyle w:val="TableParagraph"/>
              <w:spacing w:line="192" w:lineRule="exact" w:before="0"/>
              <w:ind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lin-41(tn1541);</w:t>
            </w:r>
            <w:r>
              <w:rPr>
                <w:i/>
                <w:spacing w:val="13"/>
                <w:sz w:val="17"/>
              </w:rPr>
              <w:t> </w:t>
            </w:r>
            <w:r>
              <w:rPr>
                <w:i/>
                <w:sz w:val="17"/>
              </w:rPr>
              <w:t>ins-</w:t>
            </w:r>
            <w:r>
              <w:rPr>
                <w:i/>
                <w:spacing w:val="-2"/>
                <w:sz w:val="17"/>
              </w:rPr>
              <w:t>6(syb7547)</w:t>
            </w:r>
          </w:p>
        </w:tc>
        <w:tc>
          <w:tcPr>
            <w:tcW w:w="3083" w:type="dxa"/>
            <w:tcBorders>
              <w:right w:val="nil"/>
            </w:tcBorders>
          </w:tcPr>
          <w:p>
            <w:pPr>
              <w:pStyle w:val="TableParagraph"/>
              <w:spacing w:line="192" w:lineRule="exact" w:before="0"/>
              <w:ind w:left="134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  <w:tr>
        <w:trPr>
          <w:trHeight w:val="643" w:hRule="atLeast"/>
        </w:trPr>
        <w:tc>
          <w:tcPr>
            <w:tcW w:w="2870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33" w:right="132"/>
              <w:rPr>
                <w:b/>
                <w:i/>
                <w:sz w:val="17"/>
              </w:rPr>
            </w:pPr>
            <w:r>
              <w:rPr>
                <w:b/>
                <w:sz w:val="17"/>
              </w:rPr>
              <w:t>ASJ-specific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i/>
                <w:spacing w:val="-4"/>
                <w:sz w:val="17"/>
              </w:rPr>
              <w:t>nCRE</w:t>
            </w:r>
          </w:p>
        </w:tc>
        <w:tc>
          <w:tcPr>
            <w:tcW w:w="4149" w:type="dxa"/>
            <w:shd w:val="clear" w:color="auto" w:fill="F1F1F1"/>
          </w:tcPr>
          <w:p>
            <w:pPr>
              <w:pStyle w:val="TableParagraph"/>
              <w:spacing w:line="264" w:lineRule="auto" w:before="0"/>
              <w:ind w:left="25" w:right="37" w:hanging="5"/>
              <w:rPr>
                <w:i/>
                <w:sz w:val="17"/>
              </w:rPr>
            </w:pPr>
            <w:r>
              <w:rPr>
                <w:i/>
                <w:sz w:val="17"/>
              </w:rPr>
              <w:t>lin-41(tn1541); ins-6(tm2416); jxEx225(trx-</w:t>
            </w:r>
            <w:r>
              <w:rPr>
                <w:i/>
                <w:sz w:val="17"/>
              </w:rPr>
              <w:t> 1p::nCRE::unc-54 3’UTR [50 ng/ul] + unc-122p::GFP</w:t>
            </w:r>
          </w:p>
          <w:p>
            <w:pPr>
              <w:pStyle w:val="TableParagraph"/>
              <w:spacing w:line="193" w:lineRule="exact" w:before="0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[25 </w:t>
            </w:r>
            <w:r>
              <w:rPr>
                <w:i/>
                <w:spacing w:val="-2"/>
                <w:sz w:val="17"/>
              </w:rPr>
              <w:t>ng/ul])</w:t>
            </w:r>
          </w:p>
        </w:tc>
        <w:tc>
          <w:tcPr>
            <w:tcW w:w="3083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4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work</w:t>
            </w:r>
          </w:p>
        </w:tc>
      </w:tr>
    </w:tbl>
    <w:p>
      <w:pPr>
        <w:spacing w:after="0"/>
        <w:rPr>
          <w:sz w:val="17"/>
        </w:rPr>
        <w:sectPr>
          <w:pgSz w:w="12240" w:h="15840"/>
          <w:pgMar w:top="1020" w:bottom="280" w:left="900" w:right="1020"/>
        </w:sectPr>
      </w:pPr>
    </w:p>
    <w:p>
      <w:pPr>
        <w:spacing w:before="75"/>
        <w:ind w:left="540" w:right="0" w:firstLine="0"/>
        <w:jc w:val="left"/>
        <w:rPr>
          <w:b/>
          <w:sz w:val="22"/>
        </w:rPr>
      </w:pPr>
      <w:r>
        <w:rPr>
          <w:b/>
          <w:sz w:val="22"/>
        </w:rPr>
        <w:t>Supplementary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references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BodyText"/>
        <w:spacing w:before="1"/>
        <w:ind w:left="539" w:right="1186"/>
        <w:jc w:val="both"/>
      </w:pPr>
      <w:r>
        <w:rPr/>
        <w:t>Beverly,</w:t>
      </w:r>
      <w:r>
        <w:rPr>
          <w:spacing w:val="-1"/>
        </w:rPr>
        <w:t> </w:t>
      </w:r>
      <w:r>
        <w:rPr/>
        <w:t>M.,</w:t>
      </w:r>
      <w:r>
        <w:rPr>
          <w:spacing w:val="-1"/>
        </w:rPr>
        <w:t> </w:t>
      </w:r>
      <w:r>
        <w:rPr/>
        <w:t>Anbil,</w:t>
      </w:r>
      <w:r>
        <w:rPr>
          <w:spacing w:val="-1"/>
        </w:rPr>
        <w:t> </w:t>
      </w:r>
      <w:r>
        <w:rPr/>
        <w:t>S.,</w:t>
      </w:r>
      <w:r>
        <w:rPr>
          <w:spacing w:val="-6"/>
        </w:rPr>
        <w:t> </w:t>
      </w:r>
      <w:r>
        <w:rPr/>
        <w:t>and Sengupta,</w:t>
      </w:r>
      <w:r>
        <w:rPr>
          <w:spacing w:val="-6"/>
        </w:rPr>
        <w:t> </w:t>
      </w:r>
      <w:r>
        <w:rPr/>
        <w:t>P.</w:t>
      </w:r>
      <w:r>
        <w:rPr>
          <w:spacing w:val="-6"/>
        </w:rPr>
        <w:t> </w:t>
      </w:r>
      <w:r>
        <w:rPr/>
        <w:t>2011.</w:t>
      </w:r>
      <w:r>
        <w:rPr>
          <w:spacing w:val="-1"/>
        </w:rPr>
        <w:t> </w:t>
      </w:r>
      <w:r>
        <w:rPr/>
        <w:t>Degeneracy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neuromodulation</w:t>
      </w:r>
      <w:r>
        <w:rPr>
          <w:spacing w:val="-5"/>
        </w:rPr>
        <w:t> </w:t>
      </w:r>
      <w:r>
        <w:rPr/>
        <w:t>among thermosensory</w:t>
      </w:r>
      <w:r>
        <w:rPr>
          <w:spacing w:val="-6"/>
        </w:rPr>
        <w:t> </w:t>
      </w:r>
      <w:r>
        <w:rPr/>
        <w:t>neurons</w:t>
      </w:r>
      <w:r>
        <w:rPr>
          <w:spacing w:val="-1"/>
        </w:rPr>
        <w:t> </w:t>
      </w:r>
      <w:r>
        <w:rPr/>
        <w:t>contribute to robust thermosensory</w:t>
      </w:r>
      <w:r>
        <w:rPr>
          <w:spacing w:val="-6"/>
        </w:rPr>
        <w:t> </w:t>
      </w:r>
      <w:r>
        <w:rPr/>
        <w:t>behaviors</w:t>
      </w:r>
      <w:r>
        <w:rPr>
          <w:spacing w:val="-1"/>
        </w:rPr>
        <w:t> </w:t>
      </w:r>
      <w:r>
        <w:rPr/>
        <w:t>in </w:t>
      </w:r>
      <w:r>
        <w:rPr>
          <w:i/>
        </w:rPr>
        <w:t>Caenorhabditis</w:t>
      </w:r>
      <w:r>
        <w:rPr>
          <w:i/>
        </w:rPr>
        <w:t> elegans</w:t>
      </w:r>
      <w:r>
        <w:rPr/>
        <w:t>. </w:t>
      </w:r>
      <w:r>
        <w:rPr>
          <w:i/>
        </w:rPr>
        <w:t>J Neurosci </w:t>
      </w:r>
      <w:r>
        <w:rPr>
          <w:b/>
        </w:rPr>
        <w:t>31</w:t>
      </w:r>
      <w:r>
        <w:rPr/>
        <w:t>: 11718-11727.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540" w:right="607" w:hanging="1"/>
      </w:pPr>
      <w:r>
        <w:rPr/>
        <w:t>Cornils, A.,</w:t>
      </w:r>
      <w:r>
        <w:rPr>
          <w:spacing w:val="-5"/>
        </w:rPr>
        <w:t> </w:t>
      </w:r>
      <w:r>
        <w:rPr/>
        <w:t>Gloeck, M., Chen,</w:t>
      </w:r>
      <w:r>
        <w:rPr>
          <w:spacing w:val="-6"/>
        </w:rPr>
        <w:t> </w:t>
      </w:r>
      <w:r>
        <w:rPr/>
        <w:t>Z.,</w:t>
      </w:r>
      <w:r>
        <w:rPr>
          <w:spacing w:val="-5"/>
        </w:rPr>
        <w:t> </w:t>
      </w:r>
      <w:r>
        <w:rPr/>
        <w:t>Zhang, Y.,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Alcedo,</w:t>
      </w:r>
      <w:r>
        <w:rPr>
          <w:spacing w:val="-5"/>
        </w:rPr>
        <w:t> </w:t>
      </w:r>
      <w:r>
        <w:rPr/>
        <w:t>J.</w:t>
      </w:r>
      <w:r>
        <w:rPr>
          <w:spacing w:val="-5"/>
        </w:rPr>
        <w:t> </w:t>
      </w:r>
      <w:r>
        <w:rPr/>
        <w:t>2011.</w:t>
      </w:r>
      <w:r>
        <w:rPr>
          <w:spacing w:val="-5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insulin-like peptides encode sensory information to regulate distinct developmental processes. </w:t>
      </w:r>
      <w:r>
        <w:rPr>
          <w:i/>
        </w:rPr>
        <w:t>Development </w:t>
      </w:r>
      <w:r>
        <w:rPr>
          <w:b/>
        </w:rPr>
        <w:t>138: </w:t>
      </w:r>
      <w:r>
        <w:rPr>
          <w:spacing w:val="-2"/>
        </w:rPr>
        <w:t>1183-1193.</w:t>
      </w:r>
    </w:p>
    <w:p>
      <w:pPr>
        <w:pStyle w:val="BodyText"/>
        <w:rPr>
          <w:sz w:val="21"/>
        </w:rPr>
      </w:pPr>
    </w:p>
    <w:p>
      <w:pPr>
        <w:pStyle w:val="BodyText"/>
        <w:spacing w:line="237" w:lineRule="auto"/>
        <w:ind w:left="540" w:right="425"/>
      </w:pPr>
      <w:r>
        <w:rPr/>
        <w:t>Gems, D., Sutton,</w:t>
      </w:r>
      <w:r>
        <w:rPr>
          <w:spacing w:val="-5"/>
        </w:rPr>
        <w:t> </w:t>
      </w:r>
      <w:r>
        <w:rPr/>
        <w:t>A.J.,</w:t>
      </w:r>
      <w:r>
        <w:rPr>
          <w:spacing w:val="-5"/>
        </w:rPr>
        <w:t> </w:t>
      </w:r>
      <w:r>
        <w:rPr/>
        <w:t>Sundermeyer, M.L.,</w:t>
      </w:r>
      <w:r>
        <w:rPr>
          <w:spacing w:val="-5"/>
        </w:rPr>
        <w:t> </w:t>
      </w:r>
      <w:r>
        <w:rPr/>
        <w:t>Albert, P.S.,</w:t>
      </w:r>
      <w:r>
        <w:rPr>
          <w:spacing w:val="-5"/>
        </w:rPr>
        <w:t> </w:t>
      </w:r>
      <w:r>
        <w:rPr/>
        <w:t>King,</w:t>
      </w:r>
      <w:r>
        <w:rPr>
          <w:spacing w:val="-5"/>
        </w:rPr>
        <w:t> </w:t>
      </w:r>
      <w:r>
        <w:rPr/>
        <w:t>K.V.,</w:t>
      </w:r>
      <w:r>
        <w:rPr>
          <w:spacing w:val="-5"/>
        </w:rPr>
        <w:t> </w:t>
      </w:r>
      <w:r>
        <w:rPr/>
        <w:t>Edgley,</w:t>
      </w:r>
      <w:r>
        <w:rPr>
          <w:spacing w:val="-5"/>
        </w:rPr>
        <w:t> </w:t>
      </w:r>
      <w:r>
        <w:rPr/>
        <w:t>M.L.,</w:t>
      </w:r>
      <w:r>
        <w:rPr>
          <w:spacing w:val="-6"/>
        </w:rPr>
        <w:t> </w:t>
      </w:r>
      <w:r>
        <w:rPr/>
        <w:t>Larsen,</w:t>
      </w:r>
      <w:r>
        <w:rPr>
          <w:spacing w:val="-5"/>
        </w:rPr>
        <w:t> </w:t>
      </w:r>
      <w:r>
        <w:rPr/>
        <w:t>P.L., and Riddle, D.L. 1998. Two pleiotropic classes of </w:t>
      </w:r>
      <w:r>
        <w:rPr>
          <w:i/>
        </w:rPr>
        <w:t>daf-2 </w:t>
      </w:r>
      <w:r>
        <w:rPr/>
        <w:t>mutation affect larval arrest, adult behavior, reproduction and longevity in </w:t>
      </w:r>
      <w:r>
        <w:rPr>
          <w:i/>
        </w:rPr>
        <w:t>Caenorhabditis elegans</w:t>
      </w:r>
      <w:r>
        <w:rPr/>
        <w:t>. </w:t>
      </w:r>
      <w:r>
        <w:rPr>
          <w:i/>
        </w:rPr>
        <w:t>Genetics </w:t>
      </w:r>
      <w:r>
        <w:rPr>
          <w:b/>
        </w:rPr>
        <w:t>150: </w:t>
      </w:r>
      <w:r>
        <w:rPr/>
        <w:t>129-155.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540" w:right="425"/>
      </w:pPr>
      <w:r>
        <w:rPr/>
        <w:t>Krzyzanowski, M.C.,</w:t>
      </w:r>
      <w:r>
        <w:rPr>
          <w:spacing w:val="-10"/>
        </w:rPr>
        <w:t> </w:t>
      </w:r>
      <w:r>
        <w:rPr/>
        <w:t>Woldemariam,</w:t>
      </w:r>
      <w:r>
        <w:rPr>
          <w:spacing w:val="-5"/>
        </w:rPr>
        <w:t> </w:t>
      </w:r>
      <w:r>
        <w:rPr/>
        <w:t>S.,</w:t>
      </w:r>
      <w:r>
        <w:rPr>
          <w:spacing w:val="-10"/>
        </w:rPr>
        <w:t> </w:t>
      </w:r>
      <w:r>
        <w:rPr/>
        <w:t>Wood, J.F., Chaubey, A.H.,</w:t>
      </w:r>
      <w:r>
        <w:rPr>
          <w:spacing w:val="-5"/>
        </w:rPr>
        <w:t> </w:t>
      </w:r>
      <w:r>
        <w:rPr/>
        <w:t>Brueggemann, C.,</w:t>
      </w:r>
      <w:r>
        <w:rPr>
          <w:spacing w:val="-5"/>
        </w:rPr>
        <w:t> </w:t>
      </w:r>
      <w:r>
        <w:rPr/>
        <w:t>Bowitch, A., Bethke, M., L’Etoile, N.D., and Ferkey, D.M. 2016. Aversive behavior in the nematode </w:t>
      </w:r>
      <w:r>
        <w:rPr>
          <w:i/>
        </w:rPr>
        <w:t>C.</w:t>
      </w:r>
      <w:r>
        <w:rPr>
          <w:i/>
        </w:rPr>
        <w:t> elegans </w:t>
      </w:r>
      <w:r>
        <w:rPr/>
        <w:t>is modulated by cGMP and a neuronal gap junction network. </w:t>
      </w:r>
      <w:r>
        <w:rPr>
          <w:i/>
        </w:rPr>
        <w:t>PLoS Genet </w:t>
      </w:r>
      <w:r>
        <w:rPr>
          <w:b/>
        </w:rPr>
        <w:t>12: </w:t>
      </w:r>
      <w:r>
        <w:rPr>
          <w:spacing w:val="-2"/>
        </w:rPr>
        <w:t>e1006153.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51" w:lineRule="exact"/>
        <w:ind w:left="541"/>
      </w:pPr>
      <w:r>
        <w:rPr/>
        <w:t>L'Etoile,</w:t>
      </w:r>
      <w:r>
        <w:rPr>
          <w:spacing w:val="-7"/>
        </w:rPr>
        <w:t> </w:t>
      </w:r>
      <w:r>
        <w:rPr/>
        <w:t>N.D.,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Bargmann,</w:t>
      </w:r>
      <w:r>
        <w:rPr>
          <w:spacing w:val="-2"/>
        </w:rPr>
        <w:t> </w:t>
      </w:r>
      <w:r>
        <w:rPr/>
        <w:t>C.I.</w:t>
      </w:r>
      <w:r>
        <w:rPr>
          <w:spacing w:val="-2"/>
        </w:rPr>
        <w:t> </w:t>
      </w:r>
      <w:r>
        <w:rPr/>
        <w:t>2000.</w:t>
      </w:r>
      <w:r>
        <w:rPr>
          <w:spacing w:val="-2"/>
        </w:rPr>
        <w:t> </w:t>
      </w:r>
      <w:r>
        <w:rPr/>
        <w:t>Olfaction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odor</w:t>
      </w:r>
      <w:r>
        <w:rPr>
          <w:spacing w:val="-9"/>
        </w:rPr>
        <w:t> </w:t>
      </w:r>
      <w:r>
        <w:rPr/>
        <w:t>discrimination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mediated</w:t>
      </w:r>
      <w:r>
        <w:rPr>
          <w:spacing w:val="-6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5"/>
        </w:rPr>
        <w:t>the</w:t>
      </w:r>
    </w:p>
    <w:p>
      <w:pPr>
        <w:spacing w:line="251" w:lineRule="exact" w:before="0"/>
        <w:ind w:left="541" w:right="0" w:firstLine="0"/>
        <w:jc w:val="left"/>
        <w:rPr>
          <w:sz w:val="22"/>
        </w:rPr>
      </w:pPr>
      <w:r>
        <w:rPr>
          <w:i/>
          <w:sz w:val="22"/>
        </w:rPr>
        <w:t>C.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elegans</w:t>
      </w:r>
      <w:r>
        <w:rPr>
          <w:i/>
          <w:spacing w:val="-8"/>
          <w:sz w:val="22"/>
        </w:rPr>
        <w:t> </w:t>
      </w:r>
      <w:r>
        <w:rPr>
          <w:sz w:val="22"/>
        </w:rPr>
        <w:t>guanylyl</w:t>
      </w:r>
      <w:r>
        <w:rPr>
          <w:spacing w:val="-5"/>
          <w:sz w:val="22"/>
        </w:rPr>
        <w:t> </w:t>
      </w:r>
      <w:r>
        <w:rPr>
          <w:sz w:val="22"/>
        </w:rPr>
        <w:t>cyclase</w:t>
      </w:r>
      <w:r>
        <w:rPr>
          <w:spacing w:val="-1"/>
          <w:sz w:val="22"/>
        </w:rPr>
        <w:t> </w:t>
      </w:r>
      <w:r>
        <w:rPr>
          <w:sz w:val="22"/>
        </w:rPr>
        <w:t>ODR-1.</w:t>
      </w:r>
      <w:r>
        <w:rPr>
          <w:spacing w:val="-8"/>
          <w:sz w:val="22"/>
        </w:rPr>
        <w:t> </w:t>
      </w:r>
      <w:r>
        <w:rPr>
          <w:i/>
          <w:sz w:val="22"/>
        </w:rPr>
        <w:t>Neuron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25:</w:t>
      </w:r>
      <w:r>
        <w:rPr>
          <w:b/>
          <w:spacing w:val="-5"/>
          <w:sz w:val="22"/>
        </w:rPr>
        <w:t> </w:t>
      </w:r>
      <w:r>
        <w:rPr>
          <w:sz w:val="22"/>
        </w:rPr>
        <w:t>575-</w:t>
      </w:r>
      <w:r>
        <w:rPr>
          <w:spacing w:val="-4"/>
          <w:sz w:val="22"/>
        </w:rPr>
        <w:t>586.</w:t>
      </w:r>
    </w:p>
    <w:p>
      <w:pPr>
        <w:pStyle w:val="BodyText"/>
        <w:spacing w:before="6"/>
        <w:rPr>
          <w:sz w:val="20"/>
        </w:rPr>
      </w:pPr>
    </w:p>
    <w:p>
      <w:pPr>
        <w:spacing w:line="244" w:lineRule="auto" w:before="0"/>
        <w:ind w:left="541" w:right="1043" w:firstLine="0"/>
        <w:jc w:val="both"/>
        <w:rPr>
          <w:sz w:val="22"/>
        </w:rPr>
      </w:pPr>
      <w:r>
        <w:rPr>
          <w:sz w:val="22"/>
        </w:rPr>
        <w:t>Lin,</w:t>
      </w:r>
      <w:r>
        <w:rPr>
          <w:spacing w:val="-3"/>
          <w:sz w:val="22"/>
        </w:rPr>
        <w:t> </w:t>
      </w:r>
      <w:r>
        <w:rPr>
          <w:sz w:val="22"/>
        </w:rPr>
        <w:t>K.,</w:t>
      </w:r>
      <w:r>
        <w:rPr>
          <w:spacing w:val="-3"/>
          <w:sz w:val="22"/>
        </w:rPr>
        <w:t> </w:t>
      </w:r>
      <w:r>
        <w:rPr>
          <w:sz w:val="22"/>
        </w:rPr>
        <w:t>Dorman, J.B.,</w:t>
      </w:r>
      <w:r>
        <w:rPr>
          <w:spacing w:val="-3"/>
          <w:sz w:val="22"/>
        </w:rPr>
        <w:t> </w:t>
      </w:r>
      <w:r>
        <w:rPr>
          <w:sz w:val="22"/>
        </w:rPr>
        <w:t>Rodan,</w:t>
      </w:r>
      <w:r>
        <w:rPr>
          <w:spacing w:val="-3"/>
          <w:sz w:val="22"/>
        </w:rPr>
        <w:t> </w:t>
      </w:r>
      <w:r>
        <w:rPr>
          <w:sz w:val="22"/>
        </w:rPr>
        <w:t>A.,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Kenyon, C.</w:t>
      </w:r>
      <w:r>
        <w:rPr>
          <w:spacing w:val="-3"/>
          <w:sz w:val="22"/>
        </w:rPr>
        <w:t> </w:t>
      </w:r>
      <w:r>
        <w:rPr>
          <w:sz w:val="22"/>
        </w:rPr>
        <w:t>1997.</w:t>
      </w:r>
      <w:r>
        <w:rPr>
          <w:spacing w:val="-3"/>
          <w:sz w:val="22"/>
        </w:rPr>
        <w:t> </w:t>
      </w:r>
      <w:r>
        <w:rPr>
          <w:i/>
          <w:sz w:val="22"/>
        </w:rPr>
        <w:t>daf-16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 HNF-3/forkhead</w:t>
      </w:r>
      <w:r>
        <w:rPr>
          <w:spacing w:val="-7"/>
          <w:sz w:val="22"/>
        </w:rPr>
        <w:t> </w:t>
      </w:r>
      <w:r>
        <w:rPr>
          <w:sz w:val="22"/>
        </w:rPr>
        <w:t>family member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6"/>
          <w:sz w:val="22"/>
        </w:rPr>
        <w:t> </w:t>
      </w:r>
      <w:r>
        <w:rPr>
          <w:sz w:val="22"/>
        </w:rPr>
        <w:t>function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double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life-span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i/>
          <w:sz w:val="22"/>
        </w:rPr>
        <w:t>Caenorhabditis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elegans</w:t>
      </w:r>
      <w:r>
        <w:rPr>
          <w:sz w:val="22"/>
        </w:rPr>
        <w:t>.</w:t>
      </w:r>
      <w:r>
        <w:rPr>
          <w:spacing w:val="-7"/>
          <w:sz w:val="22"/>
        </w:rPr>
        <w:t> </w:t>
      </w:r>
      <w:r>
        <w:rPr>
          <w:i/>
          <w:sz w:val="22"/>
        </w:rPr>
        <w:t>Science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278: </w:t>
      </w:r>
      <w:r>
        <w:rPr>
          <w:spacing w:val="-2"/>
          <w:sz w:val="22"/>
        </w:rPr>
        <w:t>1319–1322.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541" w:right="101"/>
      </w:pPr>
      <w:r>
        <w:rPr/>
        <w:t>Lin R. 2003. A gain-of-function mutation in </w:t>
      </w:r>
      <w:r>
        <w:rPr>
          <w:i/>
        </w:rPr>
        <w:t>oma-1</w:t>
      </w:r>
      <w:r>
        <w:rPr/>
        <w:t>, a </w:t>
      </w:r>
      <w:r>
        <w:rPr>
          <w:i/>
        </w:rPr>
        <w:t>C. elegans </w:t>
      </w:r>
      <w:r>
        <w:rPr/>
        <w:t>gene required for oocyte maturation,</w:t>
      </w:r>
      <w:r>
        <w:rPr>
          <w:spacing w:val="-2"/>
        </w:rPr>
        <w:t> </w:t>
      </w:r>
      <w:r>
        <w:rPr/>
        <w:t>results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delayed</w:t>
      </w:r>
      <w:r>
        <w:rPr>
          <w:spacing w:val="-6"/>
        </w:rPr>
        <w:t> </w:t>
      </w:r>
      <w:r>
        <w:rPr/>
        <w:t>degradation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maternal</w:t>
      </w:r>
      <w:r>
        <w:rPr>
          <w:spacing w:val="-4"/>
        </w:rPr>
        <w:t> </w:t>
      </w:r>
      <w:r>
        <w:rPr/>
        <w:t>proteins</w:t>
      </w:r>
      <w:r>
        <w:rPr>
          <w:spacing w:val="-7"/>
        </w:rPr>
        <w:t> </w:t>
      </w:r>
      <w:r>
        <w:rPr/>
        <w:t>and</w:t>
      </w:r>
      <w:r>
        <w:rPr>
          <w:spacing w:val="-1"/>
        </w:rPr>
        <w:t> </w:t>
      </w:r>
      <w:r>
        <w:rPr/>
        <w:t>embryonic</w:t>
      </w:r>
      <w:r>
        <w:rPr>
          <w:spacing w:val="-3"/>
        </w:rPr>
        <w:t> </w:t>
      </w:r>
      <w:r>
        <w:rPr/>
        <w:t>lethality,</w:t>
      </w:r>
      <w:r>
        <w:rPr>
          <w:spacing w:val="-2"/>
        </w:rPr>
        <w:t> </w:t>
      </w:r>
      <w:r>
        <w:rPr>
          <w:i/>
        </w:rPr>
        <w:t>Dev</w:t>
      </w:r>
      <w:r>
        <w:rPr>
          <w:i/>
          <w:spacing w:val="-7"/>
        </w:rPr>
        <w:t> </w:t>
      </w:r>
      <w:r>
        <w:rPr>
          <w:i/>
        </w:rPr>
        <w:t>Biol</w:t>
      </w:r>
      <w:r>
        <w:rPr>
          <w:i/>
        </w:rPr>
        <w:t> </w:t>
      </w:r>
      <w:r>
        <w:rPr>
          <w:b/>
        </w:rPr>
        <w:t>258</w:t>
      </w:r>
      <w:r>
        <w:rPr/>
        <w:t>: 226-239.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540" w:right="607"/>
      </w:pPr>
      <w:r>
        <w:rPr/>
        <w:t>Pierce, S.B., Costa, M., Wisotzkey, R., Devadhar, S., Homburger, S.A., Buchman, A.R., Ferguson, K.C., Heller, J., Platt, D.M., Pasquinelli, A.A.</w:t>
      </w:r>
      <w:r>
        <w:rPr>
          <w:i/>
        </w:rPr>
        <w:t>, et al. </w:t>
      </w:r>
      <w:r>
        <w:rPr/>
        <w:t>2001. Regulation of DAF-2 receptor</w:t>
      </w:r>
      <w:r>
        <w:rPr>
          <w:spacing w:val="-4"/>
        </w:rPr>
        <w:t> </w:t>
      </w:r>
      <w:r>
        <w:rPr/>
        <w:t>signaling</w:t>
      </w:r>
      <w:r>
        <w:rPr>
          <w:spacing w:val="-5"/>
        </w:rPr>
        <w:t> </w:t>
      </w:r>
      <w:r>
        <w:rPr/>
        <w:t>by</w:t>
      </w:r>
      <w:r>
        <w:rPr>
          <w:spacing w:val="-7"/>
        </w:rPr>
        <w:t> </w:t>
      </w:r>
      <w:r>
        <w:rPr/>
        <w:t>human</w:t>
      </w:r>
      <w:r>
        <w:rPr>
          <w:spacing w:val="-5"/>
        </w:rPr>
        <w:t> </w:t>
      </w:r>
      <w:r>
        <w:rPr/>
        <w:t>insulin and</w:t>
      </w:r>
      <w:r>
        <w:rPr>
          <w:spacing w:val="-5"/>
        </w:rPr>
        <w:t> </w:t>
      </w:r>
      <w:r>
        <w:rPr>
          <w:i/>
        </w:rPr>
        <w:t>ins-1</w:t>
      </w:r>
      <w:r>
        <w:rPr/>
        <w:t>,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member</w:t>
      </w:r>
      <w:r>
        <w:rPr>
          <w:spacing w:val="-9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unusually</w:t>
      </w:r>
      <w:r>
        <w:rPr>
          <w:spacing w:val="-2"/>
        </w:rPr>
        <w:t> </w:t>
      </w:r>
      <w:r>
        <w:rPr/>
        <w:t>large</w:t>
      </w:r>
      <w:r>
        <w:rPr>
          <w:spacing w:val="-5"/>
        </w:rPr>
        <w:t> </w:t>
      </w:r>
      <w:r>
        <w:rPr/>
        <w:t>and diverse </w:t>
      </w:r>
      <w:r>
        <w:rPr>
          <w:i/>
        </w:rPr>
        <w:t>C.</w:t>
      </w:r>
      <w:r>
        <w:rPr>
          <w:i/>
        </w:rPr>
        <w:t> elegans </w:t>
      </w:r>
      <w:r>
        <w:rPr/>
        <w:t>insulin gene family. </w:t>
      </w:r>
      <w:r>
        <w:rPr>
          <w:i/>
        </w:rPr>
        <w:t>Genes Dev </w:t>
      </w:r>
      <w:r>
        <w:rPr>
          <w:b/>
        </w:rPr>
        <w:t>15: </w:t>
      </w:r>
      <w:r>
        <w:rPr/>
        <w:t>672-686.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541" w:right="750"/>
        <w:jc w:val="both"/>
      </w:pPr>
      <w:r>
        <w:rPr/>
        <w:t>Roayaie,</w:t>
      </w:r>
      <w:r>
        <w:rPr>
          <w:spacing w:val="-5"/>
        </w:rPr>
        <w:t> </w:t>
      </w:r>
      <w:r>
        <w:rPr/>
        <w:t>K.,</w:t>
      </w:r>
      <w:r>
        <w:rPr>
          <w:spacing w:val="-5"/>
        </w:rPr>
        <w:t> </w:t>
      </w:r>
      <w:r>
        <w:rPr/>
        <w:t>Crump,</w:t>
      </w:r>
      <w:r>
        <w:rPr>
          <w:spacing w:val="-5"/>
        </w:rPr>
        <w:t> </w:t>
      </w:r>
      <w:r>
        <w:rPr/>
        <w:t>J.G.,</w:t>
      </w:r>
      <w:r>
        <w:rPr>
          <w:spacing w:val="-5"/>
        </w:rPr>
        <w:t> </w:t>
      </w:r>
      <w:r>
        <w:rPr/>
        <w:t>Sagasti, A.,</w:t>
      </w:r>
      <w:r>
        <w:rPr>
          <w:spacing w:val="-5"/>
        </w:rPr>
        <w:t> </w:t>
      </w:r>
      <w:r>
        <w:rPr/>
        <w:t>and Bargmann, C.I.</w:t>
      </w:r>
      <w:r>
        <w:rPr>
          <w:spacing w:val="-5"/>
        </w:rPr>
        <w:t> </w:t>
      </w:r>
      <w:r>
        <w:rPr/>
        <w:t>1998.</w:t>
      </w:r>
      <w:r>
        <w:rPr>
          <w:spacing w:val="-5"/>
        </w:rPr>
        <w:t> </w:t>
      </w:r>
      <w:r>
        <w:rPr/>
        <w:t>The G</w:t>
      </w:r>
      <w:r>
        <w:rPr>
          <w:spacing w:val="-5"/>
        </w:rPr>
        <w:t> </w:t>
      </w:r>
      <w:r>
        <w:rPr/>
        <w:t>alpha</w:t>
      </w:r>
      <w:r>
        <w:rPr>
          <w:spacing w:val="-4"/>
        </w:rPr>
        <w:t> </w:t>
      </w:r>
      <w:r>
        <w:rPr/>
        <w:t>protein ODR-3 mediates</w:t>
      </w:r>
      <w:r>
        <w:rPr>
          <w:spacing w:val="-5"/>
        </w:rPr>
        <w:t> </w:t>
      </w:r>
      <w:r>
        <w:rPr/>
        <w:t>olfactory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nociceptive</w:t>
      </w:r>
      <w:r>
        <w:rPr>
          <w:spacing w:val="-4"/>
        </w:rPr>
        <w:t> </w:t>
      </w:r>
      <w:r>
        <w:rPr/>
        <w:t>function and controls</w:t>
      </w:r>
      <w:r>
        <w:rPr>
          <w:spacing w:val="-1"/>
        </w:rPr>
        <w:t> </w:t>
      </w:r>
      <w:r>
        <w:rPr/>
        <w:t>cilium</w:t>
      </w:r>
      <w:r>
        <w:rPr>
          <w:spacing w:val="-3"/>
        </w:rPr>
        <w:t> </w:t>
      </w:r>
      <w:r>
        <w:rPr/>
        <w:t>morphogenesis</w:t>
      </w:r>
      <w:r>
        <w:rPr>
          <w:spacing w:val="-1"/>
        </w:rPr>
        <w:t> </w:t>
      </w:r>
      <w:r>
        <w:rPr/>
        <w:t>in </w:t>
      </w:r>
      <w:r>
        <w:rPr>
          <w:i/>
        </w:rPr>
        <w:t>C. elegans</w:t>
      </w:r>
      <w:r>
        <w:rPr>
          <w:i/>
        </w:rPr>
        <w:t> </w:t>
      </w:r>
      <w:r>
        <w:rPr/>
        <w:t>olfactory neurons. </w:t>
      </w:r>
      <w:r>
        <w:rPr>
          <w:i/>
        </w:rPr>
        <w:t>Neuron </w:t>
      </w:r>
      <w:r>
        <w:rPr>
          <w:b/>
        </w:rPr>
        <w:t>20: </w:t>
      </w:r>
      <w:r>
        <w:rPr/>
        <w:t>55-67.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42" w:lineRule="auto"/>
        <w:ind w:left="541" w:right="607"/>
      </w:pPr>
      <w:r>
        <w:rPr/>
        <w:t>Schiffer, J.A.</w:t>
      </w:r>
      <w:r>
        <w:rPr>
          <w:i/>
        </w:rPr>
        <w:t>, </w:t>
      </w:r>
      <w:r>
        <w:rPr/>
        <w:t>Servello, F.A., Heath, W.R., Amrit, F.R.G., Stumbur, S.V., Eder, M., Martin, O.M.F., Johnsen, S.B.,</w:t>
      </w:r>
      <w:r>
        <w:rPr>
          <w:spacing w:val="-5"/>
        </w:rPr>
        <w:t> </w:t>
      </w:r>
      <w:r>
        <w:rPr/>
        <w:t>Stanley,</w:t>
      </w:r>
      <w:r>
        <w:rPr>
          <w:spacing w:val="-5"/>
        </w:rPr>
        <w:t> </w:t>
      </w:r>
      <w:r>
        <w:rPr/>
        <w:t>J.A., Tam, H.</w:t>
      </w:r>
      <w:r>
        <w:rPr>
          <w:i/>
        </w:rPr>
        <w:t>,</w:t>
      </w:r>
      <w:r>
        <w:rPr>
          <w:i/>
          <w:spacing w:val="-5"/>
        </w:rPr>
        <w:t> </w:t>
      </w:r>
      <w:r>
        <w:rPr>
          <w:i/>
        </w:rPr>
        <w:t>et</w:t>
      </w:r>
      <w:r>
        <w:rPr>
          <w:i/>
          <w:spacing w:val="-10"/>
        </w:rPr>
        <w:t> </w:t>
      </w:r>
      <w:r>
        <w:rPr>
          <w:i/>
        </w:rPr>
        <w:t>al.</w:t>
      </w:r>
      <w:r>
        <w:rPr>
          <w:i/>
          <w:spacing w:val="-1"/>
        </w:rPr>
        <w:t> </w:t>
      </w:r>
      <w:r>
        <w:rPr/>
        <w:t>2020. </w:t>
      </w:r>
      <w:r>
        <w:rPr>
          <w:i/>
        </w:rPr>
        <w:t>Caenorhabditis</w:t>
      </w:r>
      <w:r>
        <w:rPr>
          <w:i/>
          <w:spacing w:val="-6"/>
        </w:rPr>
        <w:t> </w:t>
      </w:r>
      <w:r>
        <w:rPr>
          <w:i/>
        </w:rPr>
        <w:t>elegans</w:t>
      </w:r>
      <w:r>
        <w:rPr>
          <w:i/>
          <w:spacing w:val="-6"/>
        </w:rPr>
        <w:t> </w:t>
      </w:r>
      <w:r>
        <w:rPr/>
        <w:t>processes sensory information to choose between freeloading and self-defense strategies. </w:t>
      </w:r>
      <w:r>
        <w:rPr>
          <w:i/>
        </w:rPr>
        <w:t>eLife </w:t>
      </w:r>
      <w:r>
        <w:rPr>
          <w:b/>
        </w:rPr>
        <w:t>9: </w:t>
      </w:r>
      <w:r>
        <w:rPr>
          <w:spacing w:val="-2"/>
        </w:rPr>
        <w:t>e56186.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541" w:right="607" w:hanging="1"/>
      </w:pPr>
      <w:r>
        <w:rPr/>
        <w:t>Sengupta,</w:t>
      </w:r>
      <w:r>
        <w:rPr>
          <w:spacing w:val="-5"/>
        </w:rPr>
        <w:t> </w:t>
      </w:r>
      <w:r>
        <w:rPr/>
        <w:t>P.,</w:t>
      </w:r>
      <w:r>
        <w:rPr>
          <w:spacing w:val="-5"/>
        </w:rPr>
        <w:t> </w:t>
      </w:r>
      <w:r>
        <w:rPr/>
        <w:t>Chou,</w:t>
      </w:r>
      <w:r>
        <w:rPr>
          <w:spacing w:val="-5"/>
        </w:rPr>
        <w:t> </w:t>
      </w:r>
      <w:r>
        <w:rPr/>
        <w:t>J.H.,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Bargmann,</w:t>
      </w:r>
      <w:r>
        <w:rPr>
          <w:spacing w:val="-5"/>
        </w:rPr>
        <w:t> </w:t>
      </w:r>
      <w:r>
        <w:rPr/>
        <w:t>C.I. 1996.</w:t>
      </w:r>
      <w:r>
        <w:rPr>
          <w:spacing w:val="-5"/>
        </w:rPr>
        <w:t> </w:t>
      </w:r>
      <w:r>
        <w:rPr>
          <w:i/>
        </w:rPr>
        <w:t>odr-10 </w:t>
      </w:r>
      <w:r>
        <w:rPr/>
        <w:t>encodes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seven</w:t>
      </w:r>
      <w:r>
        <w:rPr>
          <w:spacing w:val="-4"/>
        </w:rPr>
        <w:t> </w:t>
      </w:r>
      <w:r>
        <w:rPr/>
        <w:t>transmembrane domain olfactory receptor required for responses to the odorant diacetyl. </w:t>
      </w:r>
      <w:r>
        <w:rPr>
          <w:i/>
        </w:rPr>
        <w:t>Cell </w:t>
      </w:r>
      <w:r>
        <w:rPr>
          <w:b/>
        </w:rPr>
        <w:t>84: </w:t>
      </w:r>
      <w:r>
        <w:rPr/>
        <w:t>899-909.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542" w:right="598" w:hanging="1"/>
      </w:pPr>
      <w:r>
        <w:rPr/>
        <w:t>Sengupta,</w:t>
      </w:r>
      <w:r>
        <w:rPr>
          <w:spacing w:val="-5"/>
        </w:rPr>
        <w:t> </w:t>
      </w:r>
      <w:r>
        <w:rPr/>
        <w:t>P.,</w:t>
      </w:r>
      <w:r>
        <w:rPr>
          <w:spacing w:val="-5"/>
        </w:rPr>
        <w:t> </w:t>
      </w:r>
      <w:r>
        <w:rPr/>
        <w:t>Colbert, H.A., and</w:t>
      </w:r>
      <w:r>
        <w:rPr>
          <w:spacing w:val="-4"/>
        </w:rPr>
        <w:t> </w:t>
      </w:r>
      <w:r>
        <w:rPr/>
        <w:t>Bargmann,</w:t>
      </w:r>
      <w:r>
        <w:rPr>
          <w:spacing w:val="-5"/>
        </w:rPr>
        <w:t> </w:t>
      </w:r>
      <w:r>
        <w:rPr/>
        <w:t>C.I. 1994. The </w:t>
      </w:r>
      <w:r>
        <w:rPr>
          <w:i/>
        </w:rPr>
        <w:t>C. elegans</w:t>
      </w:r>
      <w:r>
        <w:rPr>
          <w:i/>
          <w:spacing w:val="-6"/>
        </w:rPr>
        <w:t> </w:t>
      </w:r>
      <w:r>
        <w:rPr/>
        <w:t>gene </w:t>
      </w:r>
      <w:r>
        <w:rPr>
          <w:i/>
        </w:rPr>
        <w:t>odr-7</w:t>
      </w:r>
      <w:r>
        <w:rPr>
          <w:i/>
          <w:spacing w:val="-4"/>
        </w:rPr>
        <w:t> </w:t>
      </w:r>
      <w:r>
        <w:rPr/>
        <w:t>encodes</w:t>
      </w:r>
      <w:r>
        <w:rPr>
          <w:spacing w:val="-6"/>
        </w:rPr>
        <w:t> </w:t>
      </w:r>
      <w:r>
        <w:rPr/>
        <w:t>an olfactory-specific member of the nuclear receptor superfamily. </w:t>
      </w:r>
      <w:r>
        <w:rPr>
          <w:i/>
        </w:rPr>
        <w:t>Cell </w:t>
      </w:r>
      <w:r>
        <w:rPr>
          <w:b/>
        </w:rPr>
        <w:t>79: </w:t>
      </w:r>
      <w:r>
        <w:rPr/>
        <w:t>971-980.</w:t>
      </w:r>
    </w:p>
    <w:p>
      <w:pPr>
        <w:spacing w:after="0"/>
        <w:sectPr>
          <w:pgSz w:w="12240" w:h="15840"/>
          <w:pgMar w:top="1360" w:bottom="280" w:left="900" w:right="1020"/>
        </w:sectPr>
      </w:pPr>
    </w:p>
    <w:p>
      <w:pPr>
        <w:pStyle w:val="BodyText"/>
        <w:spacing w:line="237" w:lineRule="auto" w:before="82"/>
        <w:ind w:left="540" w:right="912"/>
      </w:pPr>
      <w:r>
        <w:rPr/>
        <w:t>Spike, C.A., Coetzee, D., Eichten,</w:t>
      </w:r>
      <w:r>
        <w:rPr>
          <w:spacing w:val="-4"/>
        </w:rPr>
        <w:t> </w:t>
      </w:r>
      <w:r>
        <w:rPr/>
        <w:t>C.,</w:t>
      </w:r>
      <w:r>
        <w:rPr>
          <w:spacing w:val="-9"/>
        </w:rPr>
        <w:t> </w:t>
      </w:r>
      <w:r>
        <w:rPr/>
        <w:t>Wang,</w:t>
      </w:r>
      <w:r>
        <w:rPr>
          <w:spacing w:val="-4"/>
        </w:rPr>
        <w:t> </w:t>
      </w:r>
      <w:r>
        <w:rPr/>
        <w:t>X., Hansen,</w:t>
      </w:r>
      <w:r>
        <w:rPr>
          <w:spacing w:val="-4"/>
        </w:rPr>
        <w:t> </w:t>
      </w:r>
      <w:r>
        <w:rPr/>
        <w:t>D.,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Greenstein,</w:t>
      </w:r>
      <w:r>
        <w:rPr>
          <w:spacing w:val="-4"/>
        </w:rPr>
        <w:t> </w:t>
      </w:r>
      <w:r>
        <w:rPr/>
        <w:t>D.</w:t>
      </w:r>
      <w:r>
        <w:rPr>
          <w:spacing w:val="-4"/>
        </w:rPr>
        <w:t> </w:t>
      </w:r>
      <w:r>
        <w:rPr/>
        <w:t>2014.</w:t>
      </w:r>
      <w:r>
        <w:rPr>
          <w:spacing w:val="-4"/>
        </w:rPr>
        <w:t> </w:t>
      </w:r>
      <w:r>
        <w:rPr/>
        <w:t>The TRIM-NHL protein LIN-41 and the OMA RNA-binding proteins antagonistically control the prophase-to-metaphase</w:t>
      </w:r>
      <w:r>
        <w:rPr>
          <w:spacing w:val="-6"/>
        </w:rPr>
        <w:t> </w:t>
      </w:r>
      <w:r>
        <w:rPr/>
        <w:t>transition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growth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>
          <w:i/>
        </w:rPr>
        <w:t>Caenorhabditis</w:t>
      </w:r>
      <w:r>
        <w:rPr>
          <w:i/>
          <w:spacing w:val="-8"/>
        </w:rPr>
        <w:t> </w:t>
      </w:r>
      <w:r>
        <w:rPr>
          <w:i/>
        </w:rPr>
        <w:t>elegans</w:t>
      </w:r>
      <w:r>
        <w:rPr>
          <w:i/>
          <w:spacing w:val="-4"/>
        </w:rPr>
        <w:t> </w:t>
      </w:r>
      <w:r>
        <w:rPr/>
        <w:t>oocytes.</w:t>
      </w:r>
      <w:r>
        <w:rPr>
          <w:spacing w:val="-7"/>
        </w:rPr>
        <w:t> </w:t>
      </w:r>
      <w:r>
        <w:rPr>
          <w:i/>
        </w:rPr>
        <w:t>Genetics</w:t>
      </w:r>
      <w:r>
        <w:rPr>
          <w:i/>
        </w:rPr>
        <w:t> </w:t>
      </w:r>
      <w:r>
        <w:rPr>
          <w:b/>
        </w:rPr>
        <w:t>198: </w:t>
      </w:r>
      <w:r>
        <w:rPr/>
        <w:t>1535-1558.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37" w:lineRule="auto"/>
        <w:ind w:left="540" w:right="425"/>
      </w:pPr>
      <w:r>
        <w:rPr/>
        <w:t>Srinivasan,</w:t>
      </w:r>
      <w:r>
        <w:rPr>
          <w:spacing w:val="-5"/>
        </w:rPr>
        <w:t> </w:t>
      </w:r>
      <w:r>
        <w:rPr/>
        <w:t>J.,</w:t>
      </w:r>
      <w:r>
        <w:rPr>
          <w:spacing w:val="-5"/>
        </w:rPr>
        <w:t> </w:t>
      </w:r>
      <w:r>
        <w:rPr/>
        <w:t>von Reuss,</w:t>
      </w:r>
      <w:r>
        <w:rPr>
          <w:spacing w:val="-5"/>
        </w:rPr>
        <w:t> </w:t>
      </w:r>
      <w:r>
        <w:rPr/>
        <w:t>S.H.,</w:t>
      </w:r>
      <w:r>
        <w:rPr>
          <w:spacing w:val="-1"/>
        </w:rPr>
        <w:t> </w:t>
      </w:r>
      <w:r>
        <w:rPr/>
        <w:t>Bose,</w:t>
      </w:r>
      <w:r>
        <w:rPr>
          <w:spacing w:val="-1"/>
        </w:rPr>
        <w:t> </w:t>
      </w:r>
      <w:r>
        <w:rPr/>
        <w:t>N.,</w:t>
      </w:r>
      <w:r>
        <w:rPr>
          <w:spacing w:val="-5"/>
        </w:rPr>
        <w:t> </w:t>
      </w:r>
      <w:r>
        <w:rPr/>
        <w:t>Zaslaver,</w:t>
      </w:r>
      <w:r>
        <w:rPr>
          <w:spacing w:val="-1"/>
        </w:rPr>
        <w:t> </w:t>
      </w:r>
      <w:r>
        <w:rPr/>
        <w:t>A.,</w:t>
      </w:r>
      <w:r>
        <w:rPr>
          <w:spacing w:val="-5"/>
        </w:rPr>
        <w:t> </w:t>
      </w:r>
      <w:r>
        <w:rPr/>
        <w:t>Mahanti,</w:t>
      </w:r>
      <w:r>
        <w:rPr>
          <w:spacing w:val="-1"/>
        </w:rPr>
        <w:t> </w:t>
      </w:r>
      <w:r>
        <w:rPr/>
        <w:t>P.,</w:t>
      </w:r>
      <w:r>
        <w:rPr>
          <w:spacing w:val="-1"/>
        </w:rPr>
        <w:t> </w:t>
      </w:r>
      <w:r>
        <w:rPr/>
        <w:t>Ho,</w:t>
      </w:r>
      <w:r>
        <w:rPr>
          <w:spacing w:val="-1"/>
        </w:rPr>
        <w:t> </w:t>
      </w:r>
      <w:r>
        <w:rPr/>
        <w:t>M.C.,</w:t>
      </w:r>
      <w:r>
        <w:rPr>
          <w:spacing w:val="-1"/>
        </w:rPr>
        <w:t> </w:t>
      </w:r>
      <w:r>
        <w:rPr/>
        <w:t>O'Doherty,</w:t>
      </w:r>
      <w:r>
        <w:rPr>
          <w:spacing w:val="-5"/>
        </w:rPr>
        <w:t> </w:t>
      </w:r>
      <w:r>
        <w:rPr/>
        <w:t>O.G., Edison, A.S., Sternberg, P.W., and Schroeder, F.C. 2012. A modular library of small molecule signals regulates social behaviors in </w:t>
      </w:r>
      <w:r>
        <w:rPr>
          <w:i/>
        </w:rPr>
        <w:t>Caenorhabditis elegans</w:t>
      </w:r>
      <w:r>
        <w:rPr/>
        <w:t>. </w:t>
      </w:r>
      <w:r>
        <w:rPr>
          <w:i/>
        </w:rPr>
        <w:t>PLoS Biol </w:t>
      </w:r>
      <w:r>
        <w:rPr>
          <w:b/>
        </w:rPr>
        <w:t>10: </w:t>
      </w:r>
      <w:r>
        <w:rPr/>
        <w:t>e1001237.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539" w:right="425"/>
      </w:pPr>
      <w:r>
        <w:rPr/>
        <w:t>Tabish, M., Siddiqui, Z.K., Nishikawa, K., and Siddiqui, S.S. 1995. Exclusive expression of </w:t>
      </w:r>
      <w:r>
        <w:rPr>
          <w:i/>
        </w:rPr>
        <w:t>C.</w:t>
      </w:r>
      <w:r>
        <w:rPr>
          <w:i/>
        </w:rPr>
        <w:t> elegans</w:t>
      </w:r>
      <w:r>
        <w:rPr>
          <w:i/>
          <w:spacing w:val="-5"/>
        </w:rPr>
        <w:t> </w:t>
      </w:r>
      <w:r>
        <w:rPr>
          <w:i/>
        </w:rPr>
        <w:t>osm-3</w:t>
      </w:r>
      <w:r>
        <w:rPr>
          <w:i/>
          <w:spacing w:val="-3"/>
        </w:rPr>
        <w:t> </w:t>
      </w:r>
      <w:r>
        <w:rPr/>
        <w:t>kinesin</w:t>
      </w:r>
      <w:r>
        <w:rPr>
          <w:spacing w:val="-3"/>
        </w:rPr>
        <w:t> </w:t>
      </w:r>
      <w:r>
        <w:rPr/>
        <w:t>gene</w:t>
      </w:r>
      <w:r>
        <w:rPr>
          <w:spacing w:val="-3"/>
        </w:rPr>
        <w:t> </w:t>
      </w:r>
      <w:r>
        <w:rPr/>
        <w:t>in chemosensory</w:t>
      </w:r>
      <w:r>
        <w:rPr>
          <w:spacing w:val="-5"/>
        </w:rPr>
        <w:t> </w:t>
      </w:r>
      <w:r>
        <w:rPr/>
        <w:t>neurons</w:t>
      </w:r>
      <w:r>
        <w:rPr>
          <w:spacing w:val="-5"/>
        </w:rPr>
        <w:t> </w:t>
      </w:r>
      <w:r>
        <w:rPr/>
        <w:t>open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external</w:t>
      </w:r>
      <w:r>
        <w:rPr>
          <w:spacing w:val="-6"/>
        </w:rPr>
        <w:t> </w:t>
      </w:r>
      <w:r>
        <w:rPr/>
        <w:t>environment.</w:t>
      </w:r>
      <w:r>
        <w:rPr>
          <w:spacing w:val="-3"/>
        </w:rPr>
        <w:t> </w:t>
      </w:r>
      <w:r>
        <w:rPr>
          <w:i/>
        </w:rPr>
        <w:t>J Mol</w:t>
      </w:r>
      <w:r>
        <w:rPr>
          <w:i/>
        </w:rPr>
        <w:t> Biol </w:t>
      </w:r>
      <w:r>
        <w:rPr>
          <w:b/>
        </w:rPr>
        <w:t>247: </w:t>
      </w:r>
      <w:r>
        <w:rPr/>
        <w:t>377-389.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37" w:lineRule="auto"/>
        <w:ind w:left="540" w:right="425"/>
      </w:pPr>
      <w:r>
        <w:rPr/>
        <w:t>Yoshida, K., Hirotsu, T., Tagawa, T., Oda, S.,</w:t>
      </w:r>
      <w:r>
        <w:rPr>
          <w:spacing w:val="-1"/>
        </w:rPr>
        <w:t> </w:t>
      </w:r>
      <w:r>
        <w:rPr/>
        <w:t>Wakabayashi, T., Iino, Y., and Ishihara, T. 2012. Odour</w:t>
      </w:r>
      <w:r>
        <w:rPr>
          <w:spacing w:val="-6"/>
        </w:rPr>
        <w:t> </w:t>
      </w:r>
      <w:r>
        <w:rPr/>
        <w:t>concentration-dependent</w:t>
      </w:r>
      <w:r>
        <w:rPr>
          <w:spacing w:val="-8"/>
        </w:rPr>
        <w:t> </w:t>
      </w:r>
      <w:r>
        <w:rPr/>
        <w:t>olfactory</w:t>
      </w:r>
      <w:r>
        <w:rPr>
          <w:spacing w:val="-9"/>
        </w:rPr>
        <w:t> </w:t>
      </w:r>
      <w:r>
        <w:rPr/>
        <w:t>preference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i/>
        </w:rPr>
        <w:t>C.</w:t>
      </w:r>
      <w:r>
        <w:rPr>
          <w:i/>
          <w:spacing w:val="-3"/>
        </w:rPr>
        <w:t> </w:t>
      </w:r>
      <w:r>
        <w:rPr>
          <w:i/>
        </w:rPr>
        <w:t>elegans</w:t>
      </w:r>
      <w:r>
        <w:rPr/>
        <w:t>.</w:t>
      </w:r>
      <w:r>
        <w:rPr>
          <w:spacing w:val="-3"/>
        </w:rPr>
        <w:t> </w:t>
      </w:r>
      <w:r>
        <w:rPr>
          <w:i/>
        </w:rPr>
        <w:t>Nat</w:t>
      </w:r>
      <w:r>
        <w:rPr>
          <w:i/>
          <w:spacing w:val="-3"/>
        </w:rPr>
        <w:t> </w:t>
      </w:r>
      <w:r>
        <w:rPr>
          <w:i/>
        </w:rPr>
        <w:t>commun</w:t>
      </w:r>
      <w:r>
        <w:rPr>
          <w:i/>
          <w:spacing w:val="-7"/>
        </w:rPr>
        <w:t> </w:t>
      </w:r>
      <w:r>
        <w:rPr>
          <w:b/>
        </w:rPr>
        <w:t>3:</w:t>
      </w:r>
      <w:r>
        <w:rPr>
          <w:b/>
          <w:spacing w:val="-1"/>
        </w:rPr>
        <w:t> </w:t>
      </w:r>
      <w:r>
        <w:rPr/>
        <w:t>739.</w:t>
      </w:r>
    </w:p>
    <w:sectPr>
      <w:pgSz w:w="12240" w:h="15840"/>
      <w:pgMar w:top="136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/>
      <w:ind w:left="36" w:right="144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Mishra Suppl File 1.xlsx</dc:title>
  <dcterms:created xsi:type="dcterms:W3CDTF">2023-11-06T19:32:10Z</dcterms:created>
  <dcterms:modified xsi:type="dcterms:W3CDTF">2023-11-06T19:32:10Z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2023-11-06T00:00:00Z</vt:filetime>
  </property>
  <property fmtid="{D5CDD505-2E9C-101B-9397-08002B2CF9AE}" pid="5" name="Producer">
    <vt:lpwstr>Acrobat Distiller 23.0 (Windows)</vt:lpwstr>
  </property>
</Properties>
</file>