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EE9F" w14:textId="411BB917" w:rsidR="005C1DBF" w:rsidRDefault="005C1DBF" w:rsidP="005C1DBF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Hlk128011861"/>
      <w:r>
        <w:rPr>
          <w:rFonts w:ascii="TimesNewRomanPS-BoldMT" w:hAnsi="TimesNewRomanPS-BoldMT" w:cs="TimesNewRomanPS-BoldMT"/>
          <w:b/>
          <w:bCs/>
          <w:sz w:val="24"/>
          <w:szCs w:val="24"/>
        </w:rPr>
        <w:t>Supplementary file 1</w:t>
      </w:r>
      <w:r w:rsidR="0004080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bookmarkEnd w:id="0"/>
      <w:r w:rsidR="00750662" w:rsidRPr="002F0823">
        <w:rPr>
          <w:rFonts w:ascii="TimesNewRomanPSMT" w:hAnsi="TimesNewRomanPSMT" w:cs="TimesNewRomanPSMT"/>
          <w:sz w:val="24"/>
          <w:szCs w:val="24"/>
        </w:rPr>
        <w:t>Tables for important model parameters.</w:t>
      </w:r>
    </w:p>
    <w:p w14:paraId="73D422CF" w14:textId="5EF288DA" w:rsidR="005C1DBF" w:rsidRPr="00EA0505" w:rsidRDefault="00082600" w:rsidP="005C1DBF">
      <w:pPr>
        <w:rPr>
          <w:rFonts w:ascii="TimesNewRomanPS-BoldMT" w:hAnsi="TimesNewRomanPS-BoldMT" w:cs="TimesNewRomanPS-Bold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BDBB1A" wp14:editId="506C1CAF">
            <wp:simplePos x="0" y="0"/>
            <wp:positionH relativeFrom="page">
              <wp:posOffset>619125</wp:posOffset>
            </wp:positionH>
            <wp:positionV relativeFrom="paragraph">
              <wp:posOffset>328295</wp:posOffset>
            </wp:positionV>
            <wp:extent cx="6553200" cy="3524250"/>
            <wp:effectExtent l="0" t="0" r="0" b="0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BF" w:rsidRPr="00E87F15">
        <w:rPr>
          <w:rFonts w:ascii="TimesNewRomanPS-BoldMT" w:hAnsi="TimesNewRomanPS-BoldMT" w:cs="TimesNewRomanPS-BoldMT"/>
          <w:b/>
          <w:bCs/>
          <w:sz w:val="24"/>
          <w:szCs w:val="24"/>
        </w:rPr>
        <w:t>a.</w:t>
      </w:r>
      <w:r w:rsidR="005C1DBF">
        <w:rPr>
          <w:rFonts w:ascii="TimesNewRomanPS-BoldMT" w:hAnsi="TimesNewRomanPS-BoldMT" w:cs="TimesNewRomanPS-BoldMT"/>
          <w:sz w:val="24"/>
          <w:szCs w:val="24"/>
        </w:rPr>
        <w:t xml:space="preserve"> Important model parameters (for base model)</w:t>
      </w:r>
    </w:p>
    <w:p w14:paraId="2C4864B9" w14:textId="0BB94E03" w:rsidR="005C1DBF" w:rsidRDefault="005C1DBF" w:rsidP="005C1DB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04CDB0E" w14:textId="16AFE65F" w:rsidR="005C1DBF" w:rsidRDefault="006347F1" w:rsidP="005C1DBF">
      <w:pPr>
        <w:rPr>
          <w:rFonts w:ascii="TimesNewRomanPS-BoldMT" w:hAnsi="TimesNewRomanPS-BoldMT" w:cs="TimesNewRomanPS-BoldMT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88F5752" wp14:editId="49558449">
            <wp:simplePos x="0" y="0"/>
            <wp:positionH relativeFrom="margin">
              <wp:posOffset>-447675</wp:posOffset>
            </wp:positionH>
            <wp:positionV relativeFrom="paragraph">
              <wp:posOffset>304800</wp:posOffset>
            </wp:positionV>
            <wp:extent cx="6905625" cy="3981450"/>
            <wp:effectExtent l="0" t="0" r="9525" b="0"/>
            <wp:wrapSquare wrapText="bothSides"/>
            <wp:docPr id="3" name="Picture 3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BF" w:rsidRPr="00BB5F0B">
        <w:rPr>
          <w:rFonts w:ascii="TimesNewRomanPS-BoldMT" w:hAnsi="TimesNewRomanPS-BoldMT" w:cs="TimesNewRomanPS-BoldMT"/>
          <w:b/>
          <w:bCs/>
          <w:sz w:val="24"/>
          <w:szCs w:val="24"/>
        </w:rPr>
        <w:t>b.</w:t>
      </w:r>
      <w:r w:rsidR="005C1DBF">
        <w:rPr>
          <w:rFonts w:ascii="TimesNewRomanPS-BoldMT" w:hAnsi="TimesNewRomanPS-BoldMT" w:cs="TimesNewRomanPS-BoldMT"/>
          <w:sz w:val="24"/>
          <w:szCs w:val="24"/>
        </w:rPr>
        <w:t xml:space="preserve"> Patient specific parameters for the in-vivo model</w:t>
      </w:r>
    </w:p>
    <w:p w14:paraId="1B5B91AB" w14:textId="1CDE4954" w:rsidR="00C829E9" w:rsidRDefault="00C829E9" w:rsidP="005C1DBF">
      <w:pPr>
        <w:rPr>
          <w:rFonts w:ascii="TimesNewRomanPS-BoldMT" w:hAnsi="TimesNewRomanPS-BoldMT" w:cs="TimesNewRomanPS-BoldMT"/>
          <w:sz w:val="24"/>
          <w:szCs w:val="24"/>
        </w:rPr>
      </w:pPr>
    </w:p>
    <w:p w14:paraId="19ED272E" w14:textId="4EEA60D5" w:rsidR="00A66648" w:rsidRDefault="00A66648" w:rsidP="005C1DBF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* </w:t>
      </w:r>
      <w:r w:rsidR="00460D1E">
        <w:rPr>
          <w:rFonts w:ascii="TimesNewRomanPSMT" w:hAnsi="TimesNewRomanPSMT" w:cs="TimesNewRomanPSMT"/>
          <w:sz w:val="24"/>
          <w:szCs w:val="24"/>
        </w:rPr>
        <w:t>P</w:t>
      </w:r>
      <w:r>
        <w:rPr>
          <w:rFonts w:ascii="TimesNewRomanPSMT" w:hAnsi="TimesNewRomanPSMT" w:cs="TimesNewRomanPSMT"/>
          <w:sz w:val="24"/>
          <w:szCs w:val="24"/>
        </w:rPr>
        <w:t xml:space="preserve">atient-specific T and B cell densities at the organ level were derived based on the blood T and B cell numbers and the pre-defined “partition repertoire” (the relative fold values to blood). </w:t>
      </w:r>
    </w:p>
    <w:p w14:paraId="7ABBA2F0" w14:textId="7ECB4EC5" w:rsidR="005C1DBF" w:rsidRDefault="005C1DBF" w:rsidP="005C1DBF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** In the simulation, the value of 0.0025/day was applied to “Responder” group in trial MT103-211 and “OS&gt;30 month” and “OS&lt;30 month” groups in trial MT103-206; the value of 0.0071/day was applied to</w:t>
      </w:r>
      <w:r w:rsidRPr="00B010A5"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MT103-202, and “Non-responder” group in trial MT103-206. B cell turnover rates for trial </w:t>
      </w:r>
      <w:r w:rsidRPr="00F01380">
        <w:rPr>
          <w:rFonts w:ascii="TimesNewRomanPS-BoldMT" w:hAnsi="TimesNewRomanPS-BoldMT" w:cs="TimesNewRomanPS-BoldMT"/>
          <w:sz w:val="24"/>
          <w:szCs w:val="24"/>
        </w:rPr>
        <w:t>MT103-104</w:t>
      </w:r>
      <w:r>
        <w:rPr>
          <w:rFonts w:ascii="TimesNewRomanPS-BoldMT" w:hAnsi="TimesNewRomanPS-BoldMT" w:cs="TimesNewRomanPS-BoldMT"/>
          <w:sz w:val="24"/>
          <w:szCs w:val="24"/>
        </w:rPr>
        <w:t xml:space="preserve"> and “Non-responder” group in trial MT03-211 were estimated as 0.0067/day and 0.1/day respectively.</w:t>
      </w:r>
    </w:p>
    <w:p w14:paraId="5899D7F2" w14:textId="4A58EA68" w:rsidR="007878BD" w:rsidRPr="00B010A5" w:rsidRDefault="007878BD" w:rsidP="005C1DBF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6A01A1">
        <w:rPr>
          <w:rFonts w:ascii="Times New Roman" w:hAnsi="Times New Roman" w:cs="Times New Roman"/>
          <w:b/>
          <w:bCs/>
          <w:sz w:val="24"/>
          <w:szCs w:val="24"/>
        </w:rPr>
        <w:t>ǂ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 w:rsidR="00B7799F">
        <w:rPr>
          <w:rFonts w:ascii="TimesNewRomanPS-BoldMT" w:hAnsi="TimesNewRomanPS-BoldMT" w:cs="TimesNewRomanPS-BoldMT"/>
          <w:sz w:val="24"/>
          <w:szCs w:val="24"/>
        </w:rPr>
        <w:t>k</w:t>
      </w:r>
      <w:r w:rsidR="00B7799F" w:rsidRPr="00B7799F">
        <w:rPr>
          <w:rFonts w:ascii="TimesNewRomanPS-BoldMT" w:hAnsi="TimesNewRomanPS-BoldMT" w:cs="TimesNewRomanPS-BoldMT"/>
          <w:sz w:val="24"/>
          <w:szCs w:val="24"/>
          <w:vertAlign w:val="subscript"/>
        </w:rPr>
        <w:t>traff</w:t>
      </w:r>
      <w:proofErr w:type="spellEnd"/>
      <w:r w:rsidR="00B7799F" w:rsidRPr="00B7799F">
        <w:rPr>
          <w:rFonts w:ascii="TimesNewRomanPS-BoldMT" w:hAnsi="TimesNewRomanPS-BoldMT" w:cs="TimesNewRomanPS-BoldMT"/>
          <w:sz w:val="24"/>
          <w:szCs w:val="24"/>
          <w:vertAlign w:val="subscript"/>
        </w:rPr>
        <w:t xml:space="preserve">, in </w:t>
      </w:r>
      <w:r w:rsidR="00B7799F">
        <w:rPr>
          <w:rFonts w:ascii="TimesNewRomanPS-BoldMT" w:hAnsi="TimesNewRomanPS-BoldMT" w:cs="TimesNewRomanPS-BoldMT"/>
          <w:sz w:val="24"/>
          <w:szCs w:val="24"/>
        </w:rPr>
        <w:t xml:space="preserve">for each organ was </w:t>
      </w:r>
      <w:r w:rsidR="00D553EA">
        <w:rPr>
          <w:rFonts w:ascii="TimesNewRomanPS-BoldMT" w:hAnsi="TimesNewRomanPS-BoldMT" w:cs="TimesNewRomanPS-BoldMT"/>
          <w:sz w:val="24"/>
          <w:szCs w:val="24"/>
        </w:rPr>
        <w:t xml:space="preserve">derived from </w:t>
      </w:r>
      <w:r w:rsidR="00BF151D">
        <w:rPr>
          <w:rFonts w:ascii="TimesNewRomanPS-BoldMT" w:hAnsi="TimesNewRomanPS-BoldMT" w:cs="TimesNewRomanPS-BoldMT"/>
          <w:sz w:val="24"/>
          <w:szCs w:val="24"/>
        </w:rPr>
        <w:t>“partition repertoire”.</w:t>
      </w:r>
    </w:p>
    <w:p w14:paraId="0B66BE23" w14:textId="3FAAB7D2" w:rsidR="005C1DBF" w:rsidRDefault="005C1DBF" w:rsidP="005C1DBF">
      <w:pPr>
        <w:rPr>
          <w:rFonts w:ascii="TimesNewRomanPS-BoldMT" w:hAnsi="TimesNewRomanPS-BoldMT" w:cs="TimesNewRomanPS-BoldMT"/>
          <w:sz w:val="24"/>
          <w:szCs w:val="24"/>
        </w:rPr>
      </w:pPr>
      <w:r w:rsidRPr="00F01380">
        <w:rPr>
          <w:rFonts w:ascii="TimesNewRomanPS-BoldMT" w:hAnsi="TimesNewRomanPS-BoldMT" w:cs="TimesNewRomanPS-BoldMT"/>
          <w:b/>
          <w:bCs/>
          <w:sz w:val="24"/>
          <w:szCs w:val="24"/>
        </w:rPr>
        <w:t>¶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965FC5">
        <w:rPr>
          <w:rFonts w:ascii="TimesNewRomanPS-BoldMT" w:hAnsi="TimesNewRomanPS-BoldMT" w:cs="TimesNewRomanPS-BoldMT"/>
          <w:sz w:val="24"/>
          <w:szCs w:val="24"/>
        </w:rPr>
        <w:t xml:space="preserve">plasma drug concentration is trial-specific, see </w:t>
      </w:r>
      <w:r w:rsidRPr="009425C6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Supplementary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file 1c</w:t>
      </w:r>
      <w:r w:rsidRPr="00965FC5">
        <w:rPr>
          <w:rFonts w:ascii="TimesNewRomanPS-BoldMT" w:hAnsi="TimesNewRomanPS-BoldMT" w:cs="TimesNewRomanPS-BoldMT"/>
          <w:sz w:val="24"/>
          <w:szCs w:val="24"/>
        </w:rPr>
        <w:t xml:space="preserve">. </w:t>
      </w:r>
    </w:p>
    <w:p w14:paraId="7F98FC62" w14:textId="44782805" w:rsidR="005C1DBF" w:rsidRDefault="00BB6827" w:rsidP="00460D1E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Not</w:t>
      </w:r>
      <w:r w:rsidR="00183FA7">
        <w:rPr>
          <w:rFonts w:ascii="TimesNewRomanPS-BoldMT" w:hAnsi="TimesNewRomanPS-BoldMT" w:cs="TimesNewRomanPS-BoldMT"/>
          <w:sz w:val="24"/>
          <w:szCs w:val="24"/>
        </w:rPr>
        <w:t>e:</w:t>
      </w:r>
      <w:r>
        <w:rPr>
          <w:rFonts w:ascii="TimesNewRomanPS-BoldMT" w:hAnsi="TimesNewRomanPS-BoldMT" w:cs="TimesNewRomanPS-BoldMT"/>
          <w:sz w:val="24"/>
          <w:szCs w:val="24"/>
        </w:rPr>
        <w:t xml:space="preserve"> T cell proliferation and death rate was not included in the model. However, </w:t>
      </w:r>
      <w:r w:rsidRPr="00552D27">
        <w:rPr>
          <w:rFonts w:ascii="TimesNewRomanPS-BoldMT" w:hAnsi="TimesNewRomanPS-BoldMT" w:cs="TimesNewRomanPS-BoldMT"/>
          <w:sz w:val="24"/>
          <w:szCs w:val="24"/>
        </w:rPr>
        <w:t xml:space="preserve">T cell density </w:t>
      </w:r>
      <w:r>
        <w:rPr>
          <w:rFonts w:ascii="TimesNewRomanPS-BoldMT" w:hAnsi="TimesNewRomanPS-BoldMT" w:cs="TimesNewRomanPS-BoldMT"/>
          <w:sz w:val="24"/>
          <w:szCs w:val="24"/>
        </w:rPr>
        <w:t xml:space="preserve">change </w:t>
      </w:r>
      <w:r w:rsidRPr="00552D27">
        <w:rPr>
          <w:rFonts w:ascii="TimesNewRomanPS-BoldMT" w:hAnsi="TimesNewRomanPS-BoldMT" w:cs="TimesNewRomanPS-BoldMT"/>
          <w:sz w:val="24"/>
          <w:szCs w:val="24"/>
        </w:rPr>
        <w:t>was considered as an independent variable in our model.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EA376E">
        <w:rPr>
          <w:rFonts w:ascii="TimesNewRomanPS-BoldMT" w:hAnsi="TimesNewRomanPS-BoldMT" w:cs="TimesNewRomanPS-BoldMT"/>
          <w:sz w:val="24"/>
          <w:szCs w:val="24"/>
        </w:rPr>
        <w:t xml:space="preserve">T cell </w:t>
      </w:r>
      <w:r>
        <w:rPr>
          <w:rFonts w:ascii="TimesNewRomanPS-BoldMT" w:hAnsi="TimesNewRomanPS-BoldMT" w:cs="TimesNewRomanPS-BoldMT"/>
          <w:sz w:val="24"/>
          <w:szCs w:val="24"/>
        </w:rPr>
        <w:t>density</w:t>
      </w:r>
      <w:r w:rsidRPr="00EA376E">
        <w:rPr>
          <w:rFonts w:ascii="TimesNewRomanPS-BoldMT" w:hAnsi="TimesNewRomanPS-BoldMT" w:cs="TimesNewRomanPS-BoldMT"/>
          <w:sz w:val="24"/>
          <w:szCs w:val="24"/>
        </w:rPr>
        <w:t xml:space="preserve"> in organ during treatment was allowed to change over time in the simulation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85F68">
        <w:rPr>
          <w:rFonts w:ascii="TimesNewRomanPS-BoldMT" w:hAnsi="TimesNewRomanPS-BoldMT" w:cs="TimesNewRomanPS-BoldMT"/>
          <w:sz w:val="24"/>
          <w:szCs w:val="24"/>
        </w:rPr>
        <w:t>(</w:t>
      </w:r>
      <w:r w:rsidRPr="00B85F68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Figure 6b-e</w:t>
      </w:r>
      <w:r w:rsidRPr="00B85F68">
        <w:rPr>
          <w:rFonts w:ascii="TimesNewRomanPS-BoldMT" w:hAnsi="TimesNewRomanPS-BoldMT" w:cs="TimesNewRomanPS-BoldMT"/>
          <w:sz w:val="24"/>
          <w:szCs w:val="24"/>
        </w:rPr>
        <w:t>).</w:t>
      </w:r>
      <w:r w:rsidRPr="00EA376E">
        <w:rPr>
          <w:rFonts w:ascii="TimesNewRomanPS-BoldMT" w:hAnsi="TimesNewRomanPS-BoldMT" w:cs="TimesNewRomanPS-BoldMT"/>
          <w:sz w:val="24"/>
          <w:szCs w:val="24"/>
        </w:rPr>
        <w:t xml:space="preserve"> The values were derived from the change of blood T cell count </w:t>
      </w:r>
      <w:r>
        <w:rPr>
          <w:rFonts w:ascii="TimesNewRomanPS-BoldMT" w:hAnsi="TimesNewRomanPS-BoldMT" w:cs="TimesNewRomanPS-BoldMT"/>
          <w:sz w:val="24"/>
          <w:szCs w:val="24"/>
        </w:rPr>
        <w:t>based on reported data (</w:t>
      </w:r>
      <w:proofErr w:type="spellStart"/>
      <w:r w:rsidRPr="00C1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Bargou</w:t>
      </w:r>
      <w:proofErr w:type="spellEnd"/>
      <w:r w:rsidRPr="00C1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et al. 2008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Pr="00C13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Zhu et al., 2016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Pr="00C73AFC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Zhu et al., 2018; </w:t>
      </w:r>
      <w:hyperlink r:id="rId6" w:history="1">
        <w:proofErr w:type="spellStart"/>
        <w:r w:rsidRPr="00C73AFC">
          <w:rPr>
            <w:rFonts w:ascii="TimesNewRomanPSMT" w:hAnsi="TimesNewRomanPSMT" w:cs="TimesNewRomanPSMT"/>
            <w:b/>
            <w:bCs/>
            <w:i/>
            <w:iCs/>
            <w:sz w:val="24"/>
            <w:szCs w:val="24"/>
          </w:rPr>
          <w:t>Zugmaier</w:t>
        </w:r>
        <w:proofErr w:type="spellEnd"/>
      </w:hyperlink>
      <w:r w:rsidRPr="00C73AFC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et al., 2015</w:t>
      </w:r>
      <w:r>
        <w:rPr>
          <w:rFonts w:ascii="TimesNewRomanPS-BoldMT" w:hAnsi="TimesNewRomanPS-BoldMT" w:cs="TimesNewRomanPS-BoldMT"/>
          <w:sz w:val="24"/>
          <w:szCs w:val="24"/>
        </w:rPr>
        <w:t>)</w:t>
      </w:r>
      <w:r w:rsidRPr="00EA376E">
        <w:rPr>
          <w:rFonts w:ascii="TimesNewRomanPS-BoldMT" w:hAnsi="TimesNewRomanPS-BoldMT" w:cs="TimesNewRomanPS-BoldMT"/>
          <w:sz w:val="24"/>
          <w:szCs w:val="24"/>
        </w:rPr>
        <w:t>.</w:t>
      </w:r>
      <w:r>
        <w:rPr>
          <w:rFonts w:ascii="TimesNewRomanPS-BoldMT" w:hAnsi="TimesNewRomanPS-BoldMT" w:cs="TimesNewRomanPS-BoldMT"/>
          <w:sz w:val="24"/>
          <w:szCs w:val="24"/>
        </w:rPr>
        <w:t xml:space="preserve"> The blood T cell decline due to rapid redistribution after administration was excluded. </w:t>
      </w:r>
      <w:r w:rsidRPr="00B85F68">
        <w:rPr>
          <w:rFonts w:ascii="TimesNewRomanPS-BoldMT" w:hAnsi="TimesNewRomanPS-BoldMT" w:cs="TimesNewRomanPS-BoldMT"/>
          <w:sz w:val="24"/>
          <w:szCs w:val="24"/>
        </w:rPr>
        <w:t xml:space="preserve">However, T cell </w:t>
      </w:r>
      <w:r>
        <w:rPr>
          <w:rFonts w:ascii="TimesNewRomanPS-BoldMT" w:hAnsi="TimesNewRomanPS-BoldMT" w:cs="TimesNewRomanPS-BoldMT"/>
          <w:sz w:val="24"/>
          <w:szCs w:val="24"/>
        </w:rPr>
        <w:t>density</w:t>
      </w:r>
      <w:r w:rsidRPr="00B85F68"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wa</w:t>
      </w:r>
      <w:r w:rsidRPr="00B85F68">
        <w:rPr>
          <w:rFonts w:ascii="TimesNewRomanPS-BoldMT" w:hAnsi="TimesNewRomanPS-BoldMT" w:cs="TimesNewRomanPS-BoldMT"/>
          <w:sz w:val="24"/>
          <w:szCs w:val="24"/>
        </w:rPr>
        <w:t xml:space="preserve">s </w:t>
      </w:r>
      <w:r>
        <w:rPr>
          <w:rFonts w:ascii="TimesNewRomanPS-BoldMT" w:hAnsi="TimesNewRomanPS-BoldMT" w:cs="TimesNewRomanPS-BoldMT"/>
          <w:sz w:val="24"/>
          <w:szCs w:val="24"/>
        </w:rPr>
        <w:t>not allowed to change</w:t>
      </w:r>
      <w:r w:rsidRPr="00B85F68">
        <w:rPr>
          <w:rFonts w:ascii="TimesNewRomanPS-BoldMT" w:hAnsi="TimesNewRomanPS-BoldMT" w:cs="TimesNewRomanPS-BoldMT"/>
          <w:sz w:val="24"/>
          <w:szCs w:val="24"/>
        </w:rPr>
        <w:t xml:space="preserve"> in the </w:t>
      </w:r>
      <w:r>
        <w:rPr>
          <w:rFonts w:ascii="TimesNewRomanPS-BoldMT" w:hAnsi="TimesNewRomanPS-BoldMT" w:cs="TimesNewRomanPS-BoldMT"/>
          <w:sz w:val="24"/>
          <w:szCs w:val="24"/>
        </w:rPr>
        <w:t xml:space="preserve">proof-of-concept </w:t>
      </w:r>
      <w:r w:rsidRPr="00B85F68">
        <w:rPr>
          <w:rFonts w:ascii="TimesNewRomanPS-BoldMT" w:hAnsi="TimesNewRomanPS-BoldMT" w:cs="TimesNewRomanPS-BoldMT"/>
          <w:sz w:val="24"/>
          <w:szCs w:val="24"/>
        </w:rPr>
        <w:t>simulations in Figure 7</w:t>
      </w:r>
      <w:r>
        <w:rPr>
          <w:rFonts w:ascii="TimesNewRomanPS-BoldMT" w:hAnsi="TimesNewRomanPS-BoldMT" w:cs="TimesNewRomanPS-BoldMT"/>
          <w:sz w:val="24"/>
          <w:szCs w:val="24"/>
        </w:rPr>
        <w:t>.</w:t>
      </w:r>
      <w:r w:rsidR="005C1DBF">
        <w:rPr>
          <w:rFonts w:ascii="TimesNewRomanPS-BoldMT" w:hAnsi="TimesNewRomanPS-BoldMT" w:cs="TimesNewRomanPS-BoldMT"/>
          <w:sz w:val="24"/>
          <w:szCs w:val="24"/>
        </w:rPr>
        <w:br w:type="page"/>
      </w:r>
    </w:p>
    <w:p w14:paraId="2B173A3B" w14:textId="77777777" w:rsidR="005C1DBF" w:rsidRPr="00767871" w:rsidRDefault="005C1DBF" w:rsidP="005C1DBF">
      <w:pPr>
        <w:rPr>
          <w:rFonts w:ascii="TimesNewRomanPS-BoldMT" w:hAnsi="TimesNewRomanPS-BoldMT" w:cs="TimesNewRomanPS-BoldMT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6B20C7" wp14:editId="66D5684E">
            <wp:simplePos x="0" y="0"/>
            <wp:positionH relativeFrom="page">
              <wp:posOffset>333375</wp:posOffset>
            </wp:positionH>
            <wp:positionV relativeFrom="paragraph">
              <wp:posOffset>638175</wp:posOffset>
            </wp:positionV>
            <wp:extent cx="7172325" cy="2571750"/>
            <wp:effectExtent l="0" t="0" r="9525" b="0"/>
            <wp:wrapSquare wrapText="bothSides"/>
            <wp:docPr id="74" name="Picture 7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E40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B5F0B">
        <w:rPr>
          <w:rFonts w:ascii="TimesNewRomanPS-BoldMT" w:hAnsi="TimesNewRomanPS-BoldMT" w:cs="TimesNewRomanPS-BoldMT"/>
          <w:b/>
          <w:bCs/>
          <w:sz w:val="24"/>
          <w:szCs w:val="24"/>
        </w:rPr>
        <w:t>c.</w:t>
      </w:r>
      <w:r w:rsidRPr="00E94E40">
        <w:rPr>
          <w:rFonts w:ascii="TimesNewRomanPS-BoldMT" w:hAnsi="TimesNewRomanPS-BoldMT" w:cs="TimesNewRomanPS-BoldMT"/>
          <w:sz w:val="24"/>
          <w:szCs w:val="24"/>
        </w:rPr>
        <w:t xml:space="preserve"> Clinical trial information</w:t>
      </w:r>
      <w:r>
        <w:rPr>
          <w:rFonts w:ascii="TimesNewRomanPS-BoldMT" w:hAnsi="TimesNewRomanPS-BoldMT" w:cs="TimesNewRomanPS-BoldMT"/>
          <w:sz w:val="24"/>
          <w:szCs w:val="24"/>
        </w:rPr>
        <w:t xml:space="preserve"> (baseline cell density in blood and mean plasma drug concentration at steady state)</w:t>
      </w:r>
    </w:p>
    <w:p w14:paraId="3521C260" w14:textId="77777777" w:rsidR="005C1DBF" w:rsidRDefault="005C1DBF" w:rsidP="005C1DBF">
      <w:pPr>
        <w:rPr>
          <w:rFonts w:ascii="TimesNewRomanPS-BoldMT" w:hAnsi="TimesNewRomanPS-BoldMT" w:cs="TimesNewRomanPS-BoldMT"/>
          <w:sz w:val="24"/>
          <w:szCs w:val="24"/>
        </w:rPr>
      </w:pPr>
    </w:p>
    <w:p w14:paraId="6B2AA7A7" w14:textId="77777777" w:rsidR="005C1DBF" w:rsidRDefault="005C1DBF" w:rsidP="005C1DBF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NHL, n</w:t>
      </w:r>
      <w:r w:rsidRPr="00424A2E">
        <w:rPr>
          <w:rFonts w:ascii="TimesNewRomanPS-BoldMT" w:hAnsi="TimesNewRomanPS-BoldMT" w:cs="TimesNewRomanPS-BoldMT"/>
          <w:sz w:val="24"/>
          <w:szCs w:val="24"/>
        </w:rPr>
        <w:t>on-Hodgkin's Lymphoma;</w:t>
      </w:r>
      <w:r>
        <w:rPr>
          <w:rFonts w:ascii="Source Sans Pro" w:hAnsi="Source Sans Pro"/>
          <w:color w:val="000000"/>
          <w:sz w:val="21"/>
          <w:szCs w:val="21"/>
          <w:shd w:val="clear" w:color="auto" w:fill="FFFFFF"/>
        </w:rPr>
        <w:t xml:space="preserve"> </w:t>
      </w:r>
      <w:r w:rsidRPr="00BB3848">
        <w:rPr>
          <w:rFonts w:ascii="TimesNewRomanPS-BoldMT" w:hAnsi="TimesNewRomanPS-BoldMT" w:cs="TimesNewRomanPS-BoldMT"/>
          <w:sz w:val="24"/>
          <w:szCs w:val="24"/>
        </w:rPr>
        <w:t>OS, overall survival</w:t>
      </w:r>
      <w:r>
        <w:rPr>
          <w:rFonts w:ascii="TimesNewRomanPS-BoldMT" w:hAnsi="TimesNewRomanPS-BoldMT" w:cs="TimesNewRomanPS-BoldMT"/>
          <w:sz w:val="24"/>
          <w:szCs w:val="24"/>
        </w:rPr>
        <w:t xml:space="preserve">; r/r ALL, </w:t>
      </w:r>
      <w:r w:rsidRPr="00424A2E">
        <w:rPr>
          <w:rFonts w:ascii="TimesNewRomanPS-BoldMT" w:hAnsi="TimesNewRomanPS-BoldMT" w:cs="TimesNewRomanPS-BoldMT"/>
          <w:sz w:val="24"/>
          <w:szCs w:val="24"/>
        </w:rPr>
        <w:t>relapsed/refractory acute lymphoblastic leukemia</w:t>
      </w:r>
      <w:r>
        <w:rPr>
          <w:rFonts w:ascii="TimesNewRomanPS-BoldMT" w:hAnsi="TimesNewRomanPS-BoldMT" w:cs="TimesNewRomanPS-BoldMT"/>
          <w:sz w:val="24"/>
          <w:szCs w:val="24"/>
        </w:rPr>
        <w:t>.</w:t>
      </w:r>
      <w:r>
        <w:rPr>
          <w:rFonts w:ascii="GillSansStd" w:hAnsi="GillSansStd" w:cs="GillSansStd"/>
          <w:sz w:val="16"/>
          <w:szCs w:val="16"/>
        </w:rPr>
        <w:t xml:space="preserve">   </w:t>
      </w:r>
    </w:p>
    <w:p w14:paraId="5E6E9625" w14:textId="77777777" w:rsidR="005C1DBF" w:rsidRDefault="005C1DBF" w:rsidP="005C1DBF">
      <w:pPr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* F</w:t>
      </w:r>
      <w:r w:rsidRPr="00F01380">
        <w:rPr>
          <w:rFonts w:ascii="TimesNewRomanPS-BoldMT" w:hAnsi="TimesNewRomanPS-BoldMT" w:cs="TimesNewRomanPS-BoldMT"/>
          <w:sz w:val="24"/>
          <w:szCs w:val="24"/>
        </w:rPr>
        <w:t xml:space="preserve">or MT103-104 and MT103-206, mean plasma drug concentration was derived from a linear relationship between dose and </w:t>
      </w:r>
      <w:r>
        <w:rPr>
          <w:rFonts w:ascii="TimesNewRomanPS-BoldMT" w:hAnsi="TimesNewRomanPS-BoldMT" w:cs="TimesNewRomanPS-BoldMT"/>
          <w:sz w:val="24"/>
          <w:szCs w:val="24"/>
        </w:rPr>
        <w:t xml:space="preserve">blood </w:t>
      </w:r>
      <w:r w:rsidRPr="00F01380">
        <w:rPr>
          <w:rFonts w:ascii="TimesNewRomanPS-BoldMT" w:hAnsi="TimesNewRomanPS-BoldMT" w:cs="TimesNewRomanPS-BoldMT"/>
          <w:sz w:val="24"/>
          <w:szCs w:val="24"/>
        </w:rPr>
        <w:t>drug concentration</w:t>
      </w:r>
      <w:r>
        <w:rPr>
          <w:rFonts w:ascii="TimesNewRomanPS-BoldMT" w:hAnsi="TimesNewRomanPS-BoldMT" w:cs="TimesNewRomanPS-BoldMT"/>
          <w:color w:val="2E74B5" w:themeColor="accent5" w:themeShade="BF"/>
          <w:sz w:val="24"/>
          <w:szCs w:val="24"/>
          <w:vertAlign w:val="superscript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(</w:t>
      </w:r>
      <w:r w:rsidRPr="00623EC8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Jiang et al., 2020</w:t>
      </w:r>
      <w:r>
        <w:rPr>
          <w:rFonts w:ascii="TimesNewRomanPS-BoldMT" w:hAnsi="TimesNewRomanPS-BoldMT" w:cs="TimesNewRomanPS-BoldMT"/>
          <w:sz w:val="24"/>
          <w:szCs w:val="24"/>
        </w:rPr>
        <w:t>)</w:t>
      </w:r>
      <w:r w:rsidRPr="00F01380">
        <w:rPr>
          <w:rFonts w:ascii="TimesNewRomanPS-BoldMT" w:hAnsi="TimesNewRomanPS-BoldMT" w:cs="TimesNewRomanPS-BoldMT"/>
          <w:sz w:val="24"/>
          <w:szCs w:val="24"/>
        </w:rPr>
        <w:t>.</w:t>
      </w:r>
      <w:bookmarkStart w:id="1" w:name="_Hlk92107843"/>
    </w:p>
    <w:bookmarkEnd w:id="1"/>
    <w:p w14:paraId="55A5D4B1" w14:textId="5D30BDC5" w:rsidR="00DC28E7" w:rsidRPr="005C1DBF" w:rsidRDefault="00DC28E7">
      <w:pPr>
        <w:rPr>
          <w:rFonts w:ascii="TimesNewRomanPS-BoldMT" w:hAnsi="TimesNewRomanPS-BoldMT" w:cs="TimesNewRomanPS-BoldMT"/>
          <w:sz w:val="24"/>
          <w:szCs w:val="24"/>
        </w:rPr>
      </w:pPr>
    </w:p>
    <w:sectPr w:rsidR="00DC28E7" w:rsidRPr="005C1DBF" w:rsidSect="00CE21D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illSans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E7"/>
    <w:rsid w:val="00040806"/>
    <w:rsid w:val="00082600"/>
    <w:rsid w:val="00183FA7"/>
    <w:rsid w:val="00331FFC"/>
    <w:rsid w:val="003A50B0"/>
    <w:rsid w:val="004058F6"/>
    <w:rsid w:val="00460D1E"/>
    <w:rsid w:val="005173E4"/>
    <w:rsid w:val="00552D27"/>
    <w:rsid w:val="005C1DBF"/>
    <w:rsid w:val="005D7814"/>
    <w:rsid w:val="006347F1"/>
    <w:rsid w:val="006A01A1"/>
    <w:rsid w:val="006B2074"/>
    <w:rsid w:val="006F6018"/>
    <w:rsid w:val="00750662"/>
    <w:rsid w:val="007878BD"/>
    <w:rsid w:val="00A66648"/>
    <w:rsid w:val="00AB105E"/>
    <w:rsid w:val="00B212DC"/>
    <w:rsid w:val="00B33817"/>
    <w:rsid w:val="00B7799F"/>
    <w:rsid w:val="00B85F68"/>
    <w:rsid w:val="00BB6827"/>
    <w:rsid w:val="00BD75A5"/>
    <w:rsid w:val="00BF151D"/>
    <w:rsid w:val="00C300EB"/>
    <w:rsid w:val="00C829E9"/>
    <w:rsid w:val="00CE21D8"/>
    <w:rsid w:val="00D553EA"/>
    <w:rsid w:val="00DC28E7"/>
    <w:rsid w:val="00E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E55B"/>
  <w15:chartTrackingRefBased/>
  <w15:docId w15:val="{13028764-A621-41A8-9800-1CA084E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E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Zugmaier+G&amp;cauthor_id=2648093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Can</dc:creator>
  <cp:keywords/>
  <dc:description/>
  <cp:lastModifiedBy>Liu Can</cp:lastModifiedBy>
  <cp:revision>32</cp:revision>
  <dcterms:created xsi:type="dcterms:W3CDTF">2022-09-26T22:11:00Z</dcterms:created>
  <dcterms:modified xsi:type="dcterms:W3CDTF">2023-03-01T03:32:00Z</dcterms:modified>
</cp:coreProperties>
</file>