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8162" w14:textId="77777777" w:rsidR="0034658C" w:rsidRDefault="0034658C">
      <w:pPr>
        <w:spacing w:before="60" w:line="227" w:lineRule="auto"/>
        <w:jc w:val="center"/>
        <w:rPr>
          <w:rFonts w:ascii="Noto Sans" w:eastAsia="Noto Sans" w:hAnsi="Noto Sans" w:cs="Noto Sans"/>
          <w:b/>
          <w:sz w:val="26"/>
          <w:szCs w:val="26"/>
          <w:u w:val="single"/>
        </w:rPr>
      </w:pPr>
    </w:p>
    <w:p w14:paraId="6C2657D4" w14:textId="77777777" w:rsidR="0034658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160447F2" w14:textId="77777777" w:rsidR="0034658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D48BFFE" w14:textId="77777777" w:rsidR="0034658C" w:rsidRDefault="0034658C">
      <w:pPr>
        <w:rPr>
          <w:rFonts w:ascii="Noto Sans" w:eastAsia="Noto Sans" w:hAnsi="Noto Sans" w:cs="Noto Sans"/>
          <w:sz w:val="20"/>
          <w:szCs w:val="20"/>
        </w:rPr>
      </w:pPr>
    </w:p>
    <w:p w14:paraId="2AFA4C24" w14:textId="77777777" w:rsidR="0034658C"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5F47C4E3" w14:textId="77777777" w:rsidR="0034658C" w:rsidRDefault="0034658C">
      <w:pPr>
        <w:rPr>
          <w:rFonts w:ascii="Noto Sans" w:eastAsia="Noto Sans" w:hAnsi="Noto Sans" w:cs="Noto Sans"/>
          <w:sz w:val="16"/>
          <w:szCs w:val="16"/>
        </w:rPr>
      </w:pPr>
      <w:bookmarkStart w:id="0" w:name="_cvmm3w1hmoo8" w:colFirst="0" w:colLast="0"/>
      <w:bookmarkEnd w:id="0"/>
    </w:p>
    <w:p w14:paraId="5F592110" w14:textId="77777777" w:rsidR="0034658C"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9565287" w14:textId="77777777" w:rsidR="0034658C" w:rsidRDefault="0034658C">
      <w:pPr>
        <w:rPr>
          <w:rFonts w:ascii="Noto Sans" w:eastAsia="Noto Sans" w:hAnsi="Noto Sans" w:cs="Noto Sans"/>
          <w:b/>
          <w:color w:val="434343"/>
          <w:sz w:val="16"/>
          <w:szCs w:val="16"/>
        </w:rPr>
      </w:pPr>
    </w:p>
    <w:p w14:paraId="7FA8FE93" w14:textId="77777777" w:rsidR="0034658C"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113B3F39" w14:textId="77777777" w:rsidR="0034658C" w:rsidRDefault="0034658C">
      <w:pPr>
        <w:spacing w:before="60" w:line="227" w:lineRule="auto"/>
        <w:rPr>
          <w:rFonts w:ascii="Noto Sans" w:eastAsia="Noto Sans" w:hAnsi="Noto Sans" w:cs="Noto Sans"/>
          <w:b/>
          <w:color w:val="434343"/>
          <w:sz w:val="16"/>
          <w:szCs w:val="16"/>
          <w:u w:val="single"/>
        </w:rPr>
      </w:pPr>
    </w:p>
    <w:p w14:paraId="28F51DE3" w14:textId="77777777" w:rsidR="0034658C"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E885F6F" w14:textId="77777777" w:rsidR="0034658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34658C" w14:paraId="5808B1A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0C21A97"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82D099"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2894AD6"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57014BB5"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0936F0A"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317AEA6" w14:textId="77777777" w:rsidR="0034658C" w:rsidRDefault="00E252B7">
            <w:pPr>
              <w:rPr>
                <w:rFonts w:ascii="Noto Sans" w:eastAsia="Noto Sans" w:hAnsi="Noto Sans" w:cs="Noto Sans"/>
                <w:bCs/>
                <w:color w:val="434343"/>
                <w:sz w:val="18"/>
                <w:szCs w:val="18"/>
              </w:rPr>
            </w:pPr>
            <w:r>
              <w:rPr>
                <w:rStyle w:val="cf01"/>
              </w:rPr>
              <w:t>Data will be made public upon publication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E93CBE2" w14:textId="77777777" w:rsidR="0034658C" w:rsidRDefault="0034658C">
            <w:pPr>
              <w:jc w:val="center"/>
              <w:rPr>
                <w:rFonts w:ascii="Noto Sans" w:eastAsia="Noto Sans" w:hAnsi="Noto Sans" w:cs="Noto Sans"/>
                <w:bCs/>
                <w:color w:val="434343"/>
                <w:sz w:val="18"/>
                <w:szCs w:val="18"/>
              </w:rPr>
            </w:pPr>
          </w:p>
        </w:tc>
      </w:tr>
      <w:tr w:rsidR="0034658C" w14:paraId="3D7BF48B" w14:textId="77777777">
        <w:trPr>
          <w:trHeight w:val="425"/>
        </w:trPr>
        <w:tc>
          <w:tcPr>
            <w:tcW w:w="5550" w:type="dxa"/>
            <w:tcBorders>
              <w:top w:val="nil"/>
              <w:left w:val="nil"/>
              <w:bottom w:val="nil"/>
              <w:right w:val="nil"/>
            </w:tcBorders>
            <w:tcMar>
              <w:top w:w="100" w:type="dxa"/>
              <w:left w:w="100" w:type="dxa"/>
              <w:bottom w:w="100" w:type="dxa"/>
              <w:right w:w="100" w:type="dxa"/>
            </w:tcMar>
          </w:tcPr>
          <w:p w14:paraId="67C237D7" w14:textId="77777777" w:rsidR="0034658C" w:rsidRDefault="0034658C">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20E53230" w14:textId="77777777" w:rsidR="0034658C"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13C31150" w14:textId="77777777" w:rsidR="0034658C"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01B8F8A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61411A"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0B5CA9"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EE8D8B"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11B19499"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027A20B"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B803A24"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1436620"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585C05F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49E632F" w14:textId="77777777" w:rsidR="0034658C" w:rsidRDefault="003465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B4FF0DB" w14:textId="77777777" w:rsidR="0034658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4D7DD92" w14:textId="77777777" w:rsidR="0034658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073A8EBA"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5E1CCA"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E834A78"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CCDCAD"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65940F23"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8219AF" w14:textId="77777777" w:rsidR="0034658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203D8B"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DE5D7C9"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0A26C8CE"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7C1598BD" w14:textId="77777777" w:rsidR="0034658C" w:rsidRDefault="0034658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6391817F" w14:textId="77777777" w:rsidR="0034658C"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6021C245" w14:textId="77777777" w:rsidR="0034658C"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4658C" w14:paraId="5E58DA55"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F2445B"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350F68"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9CD30A"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6C0229A9"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CD575"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55B688"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7484EC2"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2B0CAB52"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0539A6"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815585"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DBA9C57"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4F918E3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0152A0E" w14:textId="77777777" w:rsidR="0034658C" w:rsidRDefault="003465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6FB1694" w14:textId="77777777" w:rsidR="0034658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99E0E25" w14:textId="77777777" w:rsidR="0034658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78A8C4D5"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0A8A1C"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6126BF"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B18274E"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4EAE7151"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9415FD"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1C796E"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6B47CE"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3FFA4C88"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3E1535"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9C0517F"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03344D"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222AE25"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56E017" w14:textId="77777777" w:rsidR="0034658C" w:rsidRDefault="003465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FDF8E4D" w14:textId="77777777" w:rsidR="0034658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E62DF70" w14:textId="77777777" w:rsidR="0034658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75D78258"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7F8ED7"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97C04C"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FB8F68D"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5D080B86"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B06560"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52DF401"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EF6CC49"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35E3FB08"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AEE907"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92E60C0" w14:textId="77777777" w:rsidR="0034658C" w:rsidRDefault="003465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34269DC" w14:textId="77777777" w:rsidR="0034658C" w:rsidRDefault="0000000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53692D01"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6224125" w14:textId="77777777" w:rsidR="0034658C" w:rsidRDefault="0034658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B29D6BF" w14:textId="77777777" w:rsidR="0034658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F2040F8" w14:textId="77777777" w:rsidR="0034658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04B87EE9"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F06113"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C8C3FC"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136938"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27E8C7E0"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963F9" w14:textId="77777777" w:rsidR="0034658C"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AD0B30" w14:textId="6F618B99" w:rsidR="0034658C" w:rsidRDefault="00000000">
            <w:pPr>
              <w:tabs>
                <w:tab w:val="left" w:pos="927"/>
              </w:tabs>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Thirty-two Mexican healthy human subjects (age= 25.37 ± 3.21 years; 19 females). Listed in Methods-Participants (page </w:t>
            </w:r>
            <w:r w:rsidR="00E252B7">
              <w:rPr>
                <w:rFonts w:ascii="Noto Sans" w:eastAsia="Noto Sans" w:hAnsi="Noto Sans" w:cs="Noto Sans"/>
                <w:bCs/>
                <w:color w:val="434343"/>
                <w:sz w:val="18"/>
                <w:szCs w:val="18"/>
              </w:rPr>
              <w:t>3</w:t>
            </w:r>
            <w:r w:rsidR="004F669E">
              <w:rPr>
                <w:rFonts w:ascii="Noto Sans" w:eastAsia="Noto Sans" w:hAnsi="Noto Sans" w:cs="Noto Sans"/>
                <w:bCs/>
                <w:color w:val="434343"/>
                <w:sz w:val="18"/>
                <w:szCs w:val="18"/>
              </w:rPr>
              <w:t>4</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193386F" w14:textId="77777777" w:rsidR="0034658C" w:rsidRDefault="0034658C">
            <w:pPr>
              <w:rPr>
                <w:rFonts w:ascii="Noto Sans" w:eastAsia="Noto Sans" w:hAnsi="Noto Sans" w:cs="Noto Sans"/>
                <w:b/>
                <w:color w:val="434343"/>
                <w:sz w:val="18"/>
                <w:szCs w:val="18"/>
              </w:rPr>
            </w:pPr>
          </w:p>
        </w:tc>
      </w:tr>
    </w:tbl>
    <w:p w14:paraId="2848B624" w14:textId="77777777" w:rsidR="0034658C" w:rsidRDefault="0034658C">
      <w:pPr>
        <w:spacing w:before="80" w:line="227" w:lineRule="auto"/>
        <w:rPr>
          <w:rFonts w:ascii="Noto Sans" w:eastAsia="Noto Sans" w:hAnsi="Noto Sans" w:cs="Noto Sans"/>
          <w:b/>
          <w:color w:val="434343"/>
          <w:sz w:val="16"/>
          <w:szCs w:val="16"/>
          <w:u w:val="single"/>
        </w:rPr>
      </w:pPr>
    </w:p>
    <w:p w14:paraId="08804DC9" w14:textId="77777777" w:rsidR="0034658C"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D34CF2B" w14:textId="77777777" w:rsidR="0034658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34658C" w14:paraId="3277C377"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C7279"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8C05B3B"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678C705"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41E0E364"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926BFF"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745DF38"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E91290F"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020B696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B803CFB" w14:textId="77777777" w:rsidR="0034658C" w:rsidRDefault="003465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1B0583B"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5358A67"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7ACB81A3"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AD6B7E3"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A59266D"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2425CF"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3947352D"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394BC3" w14:textId="77777777" w:rsidR="0034658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1C7A4A"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88C4BDC"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559CA08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BCFDBBB" w14:textId="77777777" w:rsidR="0034658C" w:rsidRDefault="003465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02D93B6"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1F8893D9"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7AC29326"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4C6694D"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4658C" w14:paraId="24788387"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941377"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CBB7D0B"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B8ED67"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2BD045F0"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A964E"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4F405" w14:textId="79640EC5" w:rsidR="00A73714" w:rsidRPr="004F669E" w:rsidRDefault="00000000" w:rsidP="00A73714">
            <w:pPr>
              <w:widowControl/>
              <w:jc w:val="both"/>
              <w:rPr>
                <w:rFonts w:ascii="Noto Sans" w:eastAsia="Noto Sans" w:hAnsi="Noto Sans" w:cs="Noto Sans"/>
                <w:color w:val="434343"/>
                <w:sz w:val="18"/>
                <w:szCs w:val="18"/>
              </w:rPr>
            </w:pPr>
            <w:r w:rsidRPr="004F669E">
              <w:rPr>
                <w:rFonts w:ascii="Noto Sans" w:eastAsia="Noto Sans" w:hAnsi="Noto Sans" w:cs="Noto Sans"/>
                <w:color w:val="434343"/>
                <w:sz w:val="18"/>
                <w:szCs w:val="18"/>
              </w:rPr>
              <w:t>Sample size was calculated to confidently detect correlations between behavioral and diffusion metrics considering an expected r&gt;0.5 (α=0.05; β=0.20). Methods-Partici</w:t>
            </w:r>
            <w:r w:rsidR="00A73714" w:rsidRPr="004F669E">
              <w:rPr>
                <w:rFonts w:ascii="Noto Sans" w:eastAsia="Noto Sans" w:hAnsi="Noto Sans" w:cs="Noto Sans"/>
                <w:color w:val="434343"/>
                <w:sz w:val="18"/>
                <w:szCs w:val="18"/>
              </w:rPr>
              <w:t>p</w:t>
            </w:r>
            <w:r w:rsidRPr="004F669E">
              <w:rPr>
                <w:rFonts w:ascii="Noto Sans" w:eastAsia="Noto Sans" w:hAnsi="Noto Sans" w:cs="Noto Sans"/>
                <w:color w:val="434343"/>
                <w:sz w:val="18"/>
                <w:szCs w:val="18"/>
              </w:rPr>
              <w:t xml:space="preserve">ants, page </w:t>
            </w:r>
            <w:r w:rsidR="00E252B7" w:rsidRPr="004F669E">
              <w:rPr>
                <w:rFonts w:ascii="Noto Sans" w:eastAsia="Noto Sans" w:hAnsi="Noto Sans" w:cs="Noto Sans"/>
                <w:color w:val="434343"/>
                <w:sz w:val="18"/>
                <w:szCs w:val="18"/>
              </w:rPr>
              <w:t>3</w:t>
            </w:r>
            <w:r w:rsidR="004F669E">
              <w:rPr>
                <w:rFonts w:ascii="Noto Sans" w:eastAsia="Noto Sans" w:hAnsi="Noto Sans" w:cs="Noto Sans"/>
                <w:color w:val="434343"/>
                <w:sz w:val="18"/>
                <w:szCs w:val="18"/>
              </w:rPr>
              <w:t>4</w:t>
            </w:r>
            <w:r w:rsidR="00A73714" w:rsidRPr="004F669E">
              <w:rPr>
                <w:rFonts w:ascii="Noto Sans" w:eastAsia="Noto Sans" w:hAnsi="Noto Sans" w:cs="Noto Sans"/>
                <w:color w:val="434343"/>
                <w:sz w:val="18"/>
                <w:szCs w:val="18"/>
              </w:rPr>
              <w:t>.</w:t>
            </w:r>
          </w:p>
          <w:p w14:paraId="54523ACF" w14:textId="77777777" w:rsidR="0034658C" w:rsidRPr="004F669E" w:rsidRDefault="00A73714" w:rsidP="00A73714">
            <w:pPr>
              <w:widowControl/>
              <w:jc w:val="both"/>
              <w:rPr>
                <w:rFonts w:ascii="Noto Sans" w:eastAsia="Noto Sans" w:hAnsi="Noto Sans" w:cs="Noto Sans"/>
                <w:color w:val="434343"/>
                <w:sz w:val="18"/>
                <w:szCs w:val="18"/>
              </w:rPr>
            </w:pPr>
            <w:r w:rsidRPr="004F669E">
              <w:rPr>
                <w:rFonts w:ascii="Noto Sans" w:eastAsia="Noto Sans" w:hAnsi="Noto Sans" w:cs="Noto Sans"/>
                <w:color w:val="434343"/>
                <w:sz w:val="18"/>
                <w:szCs w:val="18"/>
              </w:rPr>
              <w:t>(</w:t>
            </w:r>
            <w:proofErr w:type="spellStart"/>
            <w:r w:rsidRPr="004F669E">
              <w:rPr>
                <w:rFonts w:ascii="Noto Sans" w:eastAsia="Noto Sans" w:hAnsi="Noto Sans" w:cs="Noto Sans"/>
                <w:color w:val="434343"/>
                <w:sz w:val="18"/>
                <w:szCs w:val="18"/>
              </w:rPr>
              <w:t>Hulley</w:t>
            </w:r>
            <w:proofErr w:type="spellEnd"/>
            <w:r w:rsidRPr="004F669E">
              <w:rPr>
                <w:rFonts w:ascii="Noto Sans" w:eastAsia="Noto Sans" w:hAnsi="Noto Sans" w:cs="Noto Sans"/>
                <w:color w:val="434343"/>
                <w:sz w:val="18"/>
                <w:szCs w:val="18"/>
              </w:rPr>
              <w:t xml:space="preserve"> SB, Cummings SR, Browner WS, Grady D, Newman TB. Designing clinical </w:t>
            </w:r>
            <w:proofErr w:type="gramStart"/>
            <w:r w:rsidRPr="004F669E">
              <w:rPr>
                <w:rFonts w:ascii="Noto Sans" w:eastAsia="Noto Sans" w:hAnsi="Noto Sans" w:cs="Noto Sans"/>
                <w:color w:val="434343"/>
                <w:sz w:val="18"/>
                <w:szCs w:val="18"/>
              </w:rPr>
              <w:t>research :</w:t>
            </w:r>
            <w:proofErr w:type="gramEnd"/>
            <w:r w:rsidRPr="004F669E">
              <w:rPr>
                <w:rFonts w:ascii="Noto Sans" w:eastAsia="Noto Sans" w:hAnsi="Noto Sans" w:cs="Noto Sans"/>
                <w:color w:val="434343"/>
                <w:sz w:val="18"/>
                <w:szCs w:val="18"/>
              </w:rPr>
              <w:t xml:space="preserve"> an epidemiologic approach. 4th ed. Philadelphia, PA: Lippincott Williams &amp; Wilkins; 2013. Appendix 6C, page 79.)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6EC9D" w14:textId="77777777" w:rsidR="0034658C" w:rsidRDefault="0034658C">
            <w:pPr>
              <w:spacing w:line="225" w:lineRule="auto"/>
              <w:rPr>
                <w:rFonts w:ascii="Noto Sans" w:eastAsia="Noto Sans" w:hAnsi="Noto Sans" w:cs="Noto Sans"/>
                <w:bCs/>
                <w:color w:val="434343"/>
                <w:sz w:val="18"/>
                <w:szCs w:val="18"/>
              </w:rPr>
            </w:pPr>
          </w:p>
        </w:tc>
      </w:tr>
      <w:tr w:rsidR="0034658C" w14:paraId="607917BA"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7C840" w14:textId="77777777" w:rsidR="0034658C"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A24B4"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EE523" w14:textId="77777777" w:rsidR="0034658C" w:rsidRDefault="0034658C">
            <w:pPr>
              <w:spacing w:line="225" w:lineRule="auto"/>
              <w:rPr>
                <w:rFonts w:ascii="Noto Sans" w:eastAsia="Noto Sans" w:hAnsi="Noto Sans" w:cs="Noto Sans"/>
                <w:b/>
                <w:color w:val="434343"/>
                <w:sz w:val="18"/>
                <w:szCs w:val="18"/>
              </w:rPr>
            </w:pPr>
          </w:p>
        </w:tc>
      </w:tr>
      <w:tr w:rsidR="0034658C" w14:paraId="40E2093F"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01443"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61213"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D04489" w14:textId="77777777" w:rsidR="0034658C" w:rsidRDefault="0034658C">
            <w:pPr>
              <w:spacing w:line="225" w:lineRule="auto"/>
              <w:rPr>
                <w:rFonts w:ascii="Noto Sans" w:eastAsia="Noto Sans" w:hAnsi="Noto Sans" w:cs="Noto Sans"/>
                <w:bCs/>
                <w:color w:val="434343"/>
                <w:sz w:val="18"/>
                <w:szCs w:val="18"/>
              </w:rPr>
            </w:pPr>
          </w:p>
        </w:tc>
      </w:tr>
      <w:tr w:rsidR="0034658C" w14:paraId="7F192B90"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988AF"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D7066" w14:textId="77777777" w:rsidR="0034658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Inclusion:</w:t>
            </w:r>
          </w:p>
          <w:p w14:paraId="3ADDD631" w14:textId="77777777" w:rsidR="0034658C" w:rsidRDefault="00000000">
            <w:pPr>
              <w:pStyle w:val="Prrafodelista"/>
              <w:numPr>
                <w:ilvl w:val="0"/>
                <w:numId w:val="1"/>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Right-handed </w:t>
            </w:r>
          </w:p>
          <w:p w14:paraId="6B6EE72C" w14:textId="77777777" w:rsidR="0034658C" w:rsidRDefault="00000000">
            <w:pPr>
              <w:pStyle w:val="Prrafodelista"/>
              <w:numPr>
                <w:ilvl w:val="0"/>
                <w:numId w:val="1"/>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Native Spanish speakers</w:t>
            </w:r>
          </w:p>
          <w:p w14:paraId="18A766DE" w14:textId="77777777" w:rsidR="0034658C" w:rsidRDefault="00000000">
            <w:pPr>
              <w:pStyle w:val="Prrafodelista"/>
              <w:numPr>
                <w:ilvl w:val="0"/>
                <w:numId w:val="1"/>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Age range 21 – 31</w:t>
            </w:r>
          </w:p>
          <w:p w14:paraId="69220B11" w14:textId="77777777" w:rsidR="0034658C" w:rsidRDefault="00000000">
            <w:pPr>
              <w:pStyle w:val="Prrafodelista"/>
              <w:numPr>
                <w:ilvl w:val="0"/>
                <w:numId w:val="1"/>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&gt; 14 years of study</w:t>
            </w:r>
          </w:p>
          <w:p w14:paraId="5A0F82C3" w14:textId="77777777" w:rsidR="0034658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w:t>
            </w:r>
          </w:p>
          <w:p w14:paraId="201848C9" w14:textId="77777777" w:rsidR="0034658C" w:rsidRDefault="00000000">
            <w:pPr>
              <w:pStyle w:val="Prrafodelista"/>
              <w:numPr>
                <w:ilvl w:val="0"/>
                <w:numId w:val="2"/>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musical training </w:t>
            </w:r>
          </w:p>
          <w:p w14:paraId="5EAD079B" w14:textId="77777777" w:rsidR="0034658C" w:rsidRDefault="00000000">
            <w:pPr>
              <w:pStyle w:val="Prrafodelista"/>
              <w:numPr>
                <w:ilvl w:val="0"/>
                <w:numId w:val="2"/>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MRI </w:t>
            </w:r>
            <w:proofErr w:type="gramStart"/>
            <w:r>
              <w:rPr>
                <w:rFonts w:ascii="Noto Sans" w:eastAsia="Noto Sans" w:hAnsi="Noto Sans" w:cs="Noto Sans"/>
                <w:bCs/>
                <w:color w:val="434343"/>
                <w:sz w:val="18"/>
                <w:szCs w:val="18"/>
              </w:rPr>
              <w:t>contraindications  Neurological</w:t>
            </w:r>
            <w:proofErr w:type="gramEnd"/>
            <w:r>
              <w:rPr>
                <w:rFonts w:ascii="Noto Sans" w:eastAsia="Noto Sans" w:hAnsi="Noto Sans" w:cs="Noto Sans"/>
                <w:bCs/>
                <w:color w:val="434343"/>
                <w:sz w:val="18"/>
                <w:szCs w:val="18"/>
              </w:rPr>
              <w:t>, psychiatric, or cognitive conditions.</w:t>
            </w:r>
          </w:p>
          <w:p w14:paraId="2F09B52E" w14:textId="6F1A32B6" w:rsidR="0034658C" w:rsidRDefault="00000000" w:rsidP="00A73714">
            <w:pPr>
              <w:pStyle w:val="Prrafodelista"/>
              <w:numPr>
                <w:ilvl w:val="255"/>
                <w:numId w:val="0"/>
              </w:num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Methods-Participants, page </w:t>
            </w:r>
            <w:r w:rsidR="00A73714">
              <w:rPr>
                <w:rFonts w:ascii="Noto Sans" w:eastAsia="Noto Sans" w:hAnsi="Noto Sans" w:cs="Noto Sans"/>
                <w:bCs/>
                <w:color w:val="434343"/>
                <w:sz w:val="18"/>
                <w:szCs w:val="18"/>
              </w:rPr>
              <w:t>3</w:t>
            </w:r>
            <w:r w:rsidR="00AE5E37">
              <w:rPr>
                <w:rFonts w:ascii="Noto Sans" w:eastAsia="Noto Sans" w:hAnsi="Noto Sans" w:cs="Noto Sans"/>
                <w:bCs/>
                <w:color w:val="434343"/>
                <w:sz w:val="18"/>
                <w:szCs w:val="18"/>
              </w:rPr>
              <w:t>4</w:t>
            </w:r>
            <w:r w:rsidR="00A7371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86075" w14:textId="77777777" w:rsidR="0034658C" w:rsidRDefault="0034658C">
            <w:pPr>
              <w:spacing w:line="225" w:lineRule="auto"/>
              <w:rPr>
                <w:rFonts w:ascii="Noto Sans" w:eastAsia="Noto Sans" w:hAnsi="Noto Sans" w:cs="Noto Sans"/>
                <w:bCs/>
                <w:color w:val="434343"/>
                <w:sz w:val="18"/>
                <w:szCs w:val="18"/>
              </w:rPr>
            </w:pPr>
          </w:p>
        </w:tc>
      </w:tr>
      <w:tr w:rsidR="0034658C" w14:paraId="4231F426"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03A922F6" w14:textId="77777777" w:rsidR="0034658C" w:rsidRDefault="0034658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0AAEDD5C"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716EC96B"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70A4ABBD"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702D66"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78A627F"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2F15DB5"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48CB0702"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D5A55"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5F65A4"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CB1AAB"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57EA0BE"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8BF5B"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1C18E"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B209A"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A46C727"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5E968F9" w14:textId="77777777" w:rsidR="0034658C" w:rsidRDefault="0034658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66CEB07"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B814BD4"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6FF3A2AF"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852F36B"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5117F5"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10BB70"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468766A7"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4FC19"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833E8" w14:textId="77777777" w:rsidR="0034658C" w:rsidRDefault="00000000" w:rsidP="00AE5E37">
            <w:pPr>
              <w:pStyle w:val="Textoindependiente"/>
              <w:spacing w:before="178" w:line="235" w:lineRule="auto"/>
              <w:ind w:left="116" w:right="392" w:firstLine="298"/>
              <w:jc w:val="both"/>
              <w:rPr>
                <w:i/>
                <w:w w:val="105"/>
              </w:rPr>
            </w:pPr>
            <w:r>
              <w:rPr>
                <w:i/>
                <w:w w:val="105"/>
              </w:rPr>
              <w:t>This study was approved by the Ethics Committee of our Institution (</w:t>
            </w:r>
            <w:r w:rsidR="00A73714">
              <w:rPr>
                <w:i/>
                <w:w w:val="105"/>
              </w:rPr>
              <w:t>0</w:t>
            </w:r>
            <w:r>
              <w:rPr>
                <w:i/>
                <w:w w:val="105"/>
              </w:rPr>
              <w:t>49H-RM).</w:t>
            </w:r>
          </w:p>
          <w:p w14:paraId="092C299F" w14:textId="0ECD6F04"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Methods, page </w:t>
            </w:r>
            <w:r w:rsidR="00A73714">
              <w:rPr>
                <w:rFonts w:ascii="Noto Sans" w:eastAsia="Noto Sans" w:hAnsi="Noto Sans" w:cs="Noto Sans"/>
                <w:b/>
                <w:color w:val="434343"/>
                <w:sz w:val="18"/>
                <w:szCs w:val="18"/>
              </w:rPr>
              <w:t>3</w:t>
            </w:r>
            <w:r w:rsidR="004F669E">
              <w:rPr>
                <w:rFonts w:ascii="Noto Sans" w:eastAsia="Noto Sans" w:hAnsi="Noto Sans" w:cs="Noto Sans"/>
                <w:b/>
                <w:color w:val="434343"/>
                <w:sz w:val="18"/>
                <w:szCs w:val="18"/>
              </w:rPr>
              <w:t>4</w:t>
            </w: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5602C" w14:textId="77777777" w:rsidR="0034658C" w:rsidRDefault="0034658C">
            <w:pPr>
              <w:spacing w:line="225" w:lineRule="auto"/>
              <w:rPr>
                <w:rFonts w:ascii="Noto Sans" w:eastAsia="Noto Sans" w:hAnsi="Noto Sans" w:cs="Noto Sans"/>
                <w:bCs/>
                <w:color w:val="434343"/>
                <w:sz w:val="18"/>
                <w:szCs w:val="18"/>
              </w:rPr>
            </w:pPr>
          </w:p>
        </w:tc>
      </w:tr>
      <w:tr w:rsidR="0034658C" w14:paraId="489031BE"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9F972"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637005"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D2EFB"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357B7AD8"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128B4"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363B3"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4897F"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6A6B277"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5D2482AA" w14:textId="77777777" w:rsidR="0034658C" w:rsidRDefault="003465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CB59790"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3D84470E"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2ADF00B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19328F"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B55BB0"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98B2A35"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0807D769"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BD8BB"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64CC2" w14:textId="77777777" w:rsidR="0034658C" w:rsidRDefault="003465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B8B9D"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2FDF94A9" w14:textId="77777777" w:rsidR="0034658C" w:rsidRDefault="0034658C">
      <w:pPr>
        <w:spacing w:line="227" w:lineRule="auto"/>
        <w:rPr>
          <w:rFonts w:ascii="Noto Sans" w:eastAsia="Noto Sans" w:hAnsi="Noto Sans" w:cs="Noto Sans"/>
          <w:b/>
          <w:color w:val="434343"/>
          <w:sz w:val="18"/>
          <w:szCs w:val="18"/>
        </w:rPr>
      </w:pPr>
    </w:p>
    <w:p w14:paraId="2F56F61B" w14:textId="77777777" w:rsidR="0034658C"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62C3410" w14:textId="77777777" w:rsidR="0034658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2542"/>
        <w:gridCol w:w="6188"/>
        <w:gridCol w:w="975"/>
      </w:tblGrid>
      <w:tr w:rsidR="0034658C" w14:paraId="1EC05679" w14:textId="77777777">
        <w:trPr>
          <w:trHeight w:val="425"/>
        </w:trPr>
        <w:tc>
          <w:tcPr>
            <w:tcW w:w="254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D623E0"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618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A2B2EF4"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5B513AA"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2C30A9E0" w14:textId="77777777">
        <w:trPr>
          <w:trHeight w:val="106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22125"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7E6354" w14:textId="77E9BDFB" w:rsidR="0034658C" w:rsidRDefault="00000000">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for sample recruitment are stated in Methods-participants (page </w:t>
            </w:r>
            <w:r w:rsidR="00A73714">
              <w:rPr>
                <w:rFonts w:ascii="Noto Sans" w:eastAsia="Noto Sans" w:hAnsi="Noto Sans" w:cs="Noto Sans"/>
                <w:bCs/>
                <w:color w:val="434343"/>
                <w:sz w:val="18"/>
                <w:szCs w:val="18"/>
              </w:rPr>
              <w:t>3</w:t>
            </w:r>
            <w:r w:rsidR="004F669E">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w:t>
            </w:r>
            <w:bookmarkStart w:id="2" w:name="_Hlk118234610"/>
            <w:r>
              <w:rPr>
                <w:rFonts w:ascii="Noto Sans" w:eastAsia="Noto Sans" w:hAnsi="Noto Sans" w:cs="Noto Sans"/>
                <w:bCs/>
                <w:color w:val="434343"/>
                <w:sz w:val="18"/>
                <w:szCs w:val="18"/>
              </w:rPr>
              <w:t xml:space="preserve">Data for one subject was discarded </w:t>
            </w:r>
            <w:proofErr w:type="gramStart"/>
            <w:r>
              <w:rPr>
                <w:rFonts w:ascii="Noto Sans" w:eastAsia="Noto Sans" w:hAnsi="Noto Sans" w:cs="Noto Sans"/>
                <w:bCs/>
                <w:color w:val="434343"/>
                <w:sz w:val="18"/>
                <w:szCs w:val="18"/>
              </w:rPr>
              <w:t>for  Superficial</w:t>
            </w:r>
            <w:proofErr w:type="gramEnd"/>
            <w:r>
              <w:rPr>
                <w:rFonts w:ascii="Noto Sans" w:eastAsia="Noto Sans" w:hAnsi="Noto Sans" w:cs="Noto Sans"/>
                <w:bCs/>
                <w:color w:val="434343"/>
                <w:sz w:val="18"/>
                <w:szCs w:val="18"/>
              </w:rPr>
              <w:t xml:space="preserve"> White Matter analysis (figures 3, 4, and 5)  due to problems in the </w:t>
            </w:r>
            <w:proofErr w:type="spellStart"/>
            <w:r>
              <w:rPr>
                <w:rFonts w:ascii="Noto Sans" w:eastAsia="Noto Sans" w:hAnsi="Noto Sans" w:cs="Noto Sans"/>
                <w:bCs/>
                <w:color w:val="434343"/>
                <w:sz w:val="18"/>
                <w:szCs w:val="18"/>
              </w:rPr>
              <w:t>preprocesing</w:t>
            </w:r>
            <w:proofErr w:type="spellEnd"/>
            <w:r>
              <w:rPr>
                <w:rFonts w:ascii="Noto Sans" w:eastAsia="Noto Sans" w:hAnsi="Noto Sans" w:cs="Noto Sans"/>
                <w:bCs/>
                <w:color w:val="434343"/>
                <w:sz w:val="18"/>
                <w:szCs w:val="18"/>
              </w:rPr>
              <w:t>, specifically  registration between DWI metric maps and white matter surface was suboptimal</w:t>
            </w:r>
            <w:bookmarkEnd w:id="2"/>
            <w:r>
              <w:rPr>
                <w:rFonts w:ascii="Noto Sans" w:eastAsia="Noto Sans" w:hAnsi="Noto Sans" w:cs="Noto Sans"/>
                <w:bCs/>
                <w:color w:val="434343"/>
                <w:sz w:val="18"/>
                <w:szCs w:val="18"/>
              </w:rPr>
              <w:t xml:space="preserve">. This is stated in </w:t>
            </w:r>
            <w:r w:rsidR="00A73714">
              <w:rPr>
                <w:rFonts w:ascii="Noto Sans" w:eastAsia="Noto Sans" w:hAnsi="Noto Sans" w:cs="Noto Sans"/>
                <w:bCs/>
                <w:color w:val="434343"/>
                <w:sz w:val="18"/>
                <w:szCs w:val="18"/>
              </w:rPr>
              <w:t>Superficial White Matter analysis section,</w:t>
            </w:r>
            <w:r>
              <w:rPr>
                <w:rFonts w:ascii="Noto Sans" w:eastAsia="Noto Sans" w:hAnsi="Noto Sans" w:cs="Noto Sans"/>
                <w:bCs/>
                <w:color w:val="434343"/>
                <w:sz w:val="18"/>
                <w:szCs w:val="18"/>
              </w:rPr>
              <w:t xml:space="preserve"> page </w:t>
            </w:r>
            <w:r w:rsidR="004F669E">
              <w:rPr>
                <w:rFonts w:ascii="Noto Sans" w:eastAsia="Noto Sans" w:hAnsi="Noto Sans" w:cs="Noto Sans"/>
                <w:bCs/>
                <w:color w:val="434343"/>
                <w:sz w:val="18"/>
                <w:szCs w:val="18"/>
              </w:rPr>
              <w:t>39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57404" w14:textId="77777777" w:rsidR="0034658C" w:rsidRDefault="0034658C">
            <w:pPr>
              <w:spacing w:line="225" w:lineRule="auto"/>
              <w:rPr>
                <w:rFonts w:ascii="Noto Sans" w:eastAsia="Noto Sans" w:hAnsi="Noto Sans" w:cs="Noto Sans"/>
                <w:bCs/>
                <w:color w:val="434343"/>
                <w:sz w:val="18"/>
                <w:szCs w:val="18"/>
              </w:rPr>
            </w:pPr>
          </w:p>
        </w:tc>
      </w:tr>
      <w:tr w:rsidR="0034658C" w14:paraId="438FA370" w14:textId="77777777">
        <w:trPr>
          <w:trHeight w:val="425"/>
        </w:trPr>
        <w:tc>
          <w:tcPr>
            <w:tcW w:w="2542" w:type="dxa"/>
            <w:tcBorders>
              <w:top w:val="nil"/>
              <w:left w:val="nil"/>
              <w:bottom w:val="single" w:sz="8" w:space="0" w:color="000000"/>
              <w:right w:val="nil"/>
            </w:tcBorders>
            <w:shd w:val="clear" w:color="auto" w:fill="auto"/>
            <w:tcMar>
              <w:top w:w="100" w:type="dxa"/>
              <w:left w:w="100" w:type="dxa"/>
              <w:bottom w:w="100" w:type="dxa"/>
              <w:right w:w="100" w:type="dxa"/>
            </w:tcMar>
          </w:tcPr>
          <w:p w14:paraId="61F1C9D8" w14:textId="77777777" w:rsidR="0034658C" w:rsidRDefault="0034658C">
            <w:pPr>
              <w:rPr>
                <w:rFonts w:ascii="Noto Sans" w:eastAsia="Noto Sans" w:hAnsi="Noto Sans" w:cs="Noto Sans"/>
                <w:b/>
                <w:color w:val="434343"/>
                <w:sz w:val="16"/>
                <w:szCs w:val="16"/>
              </w:rPr>
            </w:pPr>
          </w:p>
        </w:tc>
        <w:tc>
          <w:tcPr>
            <w:tcW w:w="6188" w:type="dxa"/>
            <w:tcBorders>
              <w:top w:val="nil"/>
              <w:left w:val="nil"/>
              <w:bottom w:val="single" w:sz="8" w:space="0" w:color="000000"/>
              <w:right w:val="nil"/>
            </w:tcBorders>
            <w:shd w:val="clear" w:color="auto" w:fill="auto"/>
            <w:tcMar>
              <w:top w:w="100" w:type="dxa"/>
              <w:left w:w="100" w:type="dxa"/>
              <w:bottom w:w="100" w:type="dxa"/>
              <w:right w:w="100" w:type="dxa"/>
            </w:tcMar>
          </w:tcPr>
          <w:p w14:paraId="13D94AA6"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2117A5B"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0055B054" w14:textId="7777777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87DEA3B"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618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8FE4E1"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4C4090"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4FC399E5" w14:textId="77777777">
        <w:trPr>
          <w:trHeight w:val="419"/>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A3C16" w14:textId="77777777" w:rsidR="0034658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01354" w14:textId="77777777" w:rsidR="0034658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Analysis of behavioral data. </w:t>
            </w:r>
          </w:p>
          <w:p w14:paraId="05B23EA2" w14:textId="77777777" w:rsidR="0034658C" w:rsidRDefault="0034658C">
            <w:pPr>
              <w:spacing w:line="225" w:lineRule="auto"/>
              <w:rPr>
                <w:rFonts w:ascii="Noto Sans" w:eastAsia="Noto Sans" w:hAnsi="Noto Sans" w:cs="Noto Sans"/>
                <w:bCs/>
                <w:color w:val="434343"/>
                <w:sz w:val="18"/>
                <w:szCs w:val="18"/>
              </w:rPr>
            </w:pPr>
          </w:p>
          <w:p w14:paraId="22197A69" w14:textId="77777777" w:rsidR="0034658C" w:rsidRDefault="00000000">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Four metrics were calculated to assess the subjects’ performance during SCT (Figure 2). During the synchronization epoch, we estimated the absolute asynchronies and autocorrelation of the inter-tap interval time series (Iversen et al., 2015, Wing 2002). The constant error and temporal variability were calculated from the produced intervals during both the synchronization and continuation epochs.  Absolute asynchronies were defined as the unsigned difference between stimulus onset and the tap onset.  Constant error was calculated as the difference between the produced and the target interval and is a measure of timing accuracy. Temporal variability was defined as the standard deviation of the total produced intervals and is a metric of timing precision. The autocorrelation of the six inter-tap-intervals during a trial was calculated and averaged across trials.  Thus, lag 1 autocorrelation is normally negative for isochrone metronomes, meaning that a longer produced interval tends to be followed by a shorter interval and vice versa, reflecting an error correction mechanism used to not lose the beat of the metronome during synchronization (Iversen et al., 2015). A repeated-measures ANOVA, with two and three factors, was carried out for the analysis of asynchronies, constant </w:t>
            </w:r>
            <w:proofErr w:type="gramStart"/>
            <w:r>
              <w:rPr>
                <w:rFonts w:ascii="Noto Sans" w:eastAsia="Noto Sans" w:hAnsi="Noto Sans" w:cs="Noto Sans"/>
                <w:bCs/>
                <w:color w:val="434343"/>
                <w:sz w:val="18"/>
                <w:szCs w:val="18"/>
              </w:rPr>
              <w:t>error</w:t>
            </w:r>
            <w:proofErr w:type="gramEnd"/>
            <w:r>
              <w:rPr>
                <w:rFonts w:ascii="Noto Sans" w:eastAsia="Noto Sans" w:hAnsi="Noto Sans" w:cs="Noto Sans"/>
                <w:bCs/>
                <w:color w:val="434343"/>
                <w:sz w:val="18"/>
                <w:szCs w:val="18"/>
              </w:rPr>
              <w:t xml:space="preserve"> and temporal variability.</w:t>
            </w:r>
          </w:p>
          <w:p w14:paraId="4679D267" w14:textId="77777777" w:rsidR="0034658C" w:rsidRDefault="0034658C">
            <w:pPr>
              <w:spacing w:line="225" w:lineRule="auto"/>
              <w:rPr>
                <w:rFonts w:ascii="Noto Sans" w:eastAsia="Noto Sans" w:hAnsi="Noto Sans" w:cs="Noto Sans"/>
                <w:bCs/>
                <w:color w:val="434343"/>
                <w:sz w:val="18"/>
                <w:szCs w:val="18"/>
              </w:rPr>
            </w:pPr>
          </w:p>
          <w:p w14:paraId="4A89A577" w14:textId="77777777" w:rsidR="0034658C" w:rsidRDefault="0000000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Fixel</w:t>
            </w:r>
            <w:proofErr w:type="spellEnd"/>
            <w:r>
              <w:rPr>
                <w:rFonts w:ascii="Noto Sans" w:eastAsia="Noto Sans" w:hAnsi="Noto Sans" w:cs="Noto Sans"/>
                <w:bCs/>
                <w:color w:val="434343"/>
                <w:sz w:val="18"/>
                <w:szCs w:val="18"/>
              </w:rPr>
              <w:t>-based analysis (FBA)</w:t>
            </w:r>
          </w:p>
          <w:p w14:paraId="1D9D9D3A" w14:textId="77777777" w:rsidR="0034658C" w:rsidRDefault="0034658C">
            <w:pPr>
              <w:spacing w:line="225" w:lineRule="auto"/>
              <w:rPr>
                <w:rFonts w:ascii="Noto Sans" w:eastAsia="Noto Sans" w:hAnsi="Noto Sans" w:cs="Noto Sans"/>
                <w:bCs/>
                <w:color w:val="434343"/>
                <w:sz w:val="18"/>
                <w:szCs w:val="18"/>
              </w:rPr>
            </w:pPr>
          </w:p>
          <w:p w14:paraId="42A56920" w14:textId="77777777" w:rsidR="0034658C" w:rsidRDefault="00000000">
            <w:pPr>
              <w:spacing w:line="225" w:lineRule="auto"/>
              <w:jc w:val="both"/>
            </w:pPr>
            <w:r>
              <w:t xml:space="preserve">Methods-Image processing, Page </w:t>
            </w:r>
            <w:r w:rsidR="007C5646">
              <w:t>38</w:t>
            </w:r>
            <w:r>
              <w:t>: We analyzed individual fiber-specific properties in the presence of crossing fiber populations (‘</w:t>
            </w:r>
            <w:proofErr w:type="spellStart"/>
            <w:r>
              <w:t>fixels</w:t>
            </w:r>
            <w:proofErr w:type="spellEnd"/>
            <w:r>
              <w:t>’) (</w:t>
            </w:r>
            <w:proofErr w:type="spellStart"/>
            <w:r>
              <w:t>Raffelt</w:t>
            </w:r>
            <w:proofErr w:type="spellEnd"/>
            <w:r>
              <w:t xml:space="preserve"> et al, 2015). For each </w:t>
            </w:r>
            <w:proofErr w:type="spellStart"/>
            <w:r>
              <w:t>fixel</w:t>
            </w:r>
            <w:proofErr w:type="spellEnd"/>
            <w:r>
              <w:t xml:space="preserve"> three metric were calculated: fiber density, fiber cross-section, and fiber density &amp; cross-section (FD, FC, and FDC, respectively).</w:t>
            </w:r>
          </w:p>
          <w:p w14:paraId="5EBECD29" w14:textId="77777777" w:rsidR="0034658C" w:rsidRDefault="00000000">
            <w:pPr>
              <w:spacing w:line="225" w:lineRule="auto"/>
              <w:jc w:val="both"/>
            </w:pPr>
            <w:r>
              <w:t xml:space="preserve">    The measures of FD, FC, and FDC were correlated with the performance in the SCT (for each interval) for both conditions (visual and auditory) using a General Linear Model. Family-wise error (FWE) permutation test were carried out for multiple comparisons correction (Nichols &amp; Holmes, 2001).</w:t>
            </w:r>
            <w:r>
              <w:rPr>
                <w:rFonts w:ascii="Georgia" w:hAnsi="Georgia"/>
                <w:color w:val="2E2E2E"/>
                <w:sz w:val="27"/>
                <w:szCs w:val="27"/>
              </w:rPr>
              <w:t xml:space="preserve">  </w:t>
            </w:r>
            <w:proofErr w:type="spellStart"/>
            <w:r>
              <w:rPr>
                <w:i/>
                <w:iCs/>
              </w:rPr>
              <w:t>Fixel</w:t>
            </w:r>
            <w:proofErr w:type="spellEnd"/>
            <w:r>
              <w:rPr>
                <w:i/>
                <w:iCs/>
              </w:rPr>
              <w:t>-wise statistical results</w:t>
            </w:r>
            <w:r>
              <w:t xml:space="preserve"> and a specific p-value is assigned to each individual </w:t>
            </w:r>
            <w:proofErr w:type="spellStart"/>
            <w:r>
              <w:t>fixel</w:t>
            </w:r>
            <w:proofErr w:type="spellEnd"/>
            <w:r>
              <w:t xml:space="preserve"> (even in the presence of multiple different </w:t>
            </w:r>
            <w:proofErr w:type="spellStart"/>
            <w:r>
              <w:t>fixels</w:t>
            </w:r>
            <w:proofErr w:type="spellEnd"/>
            <w:r>
              <w:t xml:space="preserve"> in the same voxel). In the figure 6 and 7 we show the direct visualization of the </w:t>
            </w:r>
            <w:proofErr w:type="spellStart"/>
            <w:r>
              <w:t>fixel</w:t>
            </w:r>
            <w:proofErr w:type="spellEnd"/>
            <w:r>
              <w:t xml:space="preserve">-wise statistical results by </w:t>
            </w:r>
            <w:proofErr w:type="spellStart"/>
            <w:r>
              <w:t>colouring</w:t>
            </w:r>
            <w:proofErr w:type="spellEnd"/>
            <w:r>
              <w:t xml:space="preserve"> each </w:t>
            </w:r>
            <w:proofErr w:type="spellStart"/>
            <w:r>
              <w:t>fixel</w:t>
            </w:r>
            <w:proofErr w:type="spellEnd"/>
            <w:r>
              <w:t xml:space="preserve"> according to its corrected p-value &lt; </w:t>
            </w:r>
            <w:proofErr w:type="gramStart"/>
            <w:r>
              <w:t>0.05 .</w:t>
            </w:r>
            <w:proofErr w:type="gramEnd"/>
          </w:p>
          <w:p w14:paraId="58D1843F" w14:textId="77777777" w:rsidR="0034658C" w:rsidRDefault="0034658C">
            <w:pPr>
              <w:spacing w:line="225" w:lineRule="auto"/>
              <w:jc w:val="both"/>
              <w:rPr>
                <w:rFonts w:ascii="Noto Sans" w:eastAsia="Noto Sans" w:hAnsi="Noto Sans" w:cs="Noto Sans"/>
                <w:bCs/>
                <w:color w:val="434343"/>
                <w:sz w:val="18"/>
                <w:szCs w:val="18"/>
              </w:rPr>
            </w:pPr>
          </w:p>
          <w:p w14:paraId="78CB435E" w14:textId="77777777" w:rsidR="0034658C" w:rsidRDefault="00000000">
            <w:pPr>
              <w:spacing w:before="240" w:after="240"/>
              <w:jc w:val="both"/>
            </w:pPr>
            <w:r>
              <w:rPr>
                <w:i/>
              </w:rPr>
              <w:t>Surface-based analysis of SWM</w:t>
            </w:r>
            <w:r>
              <w:t>. Analyses were performed by fitting a general linear model at each vertex. This analysis assessed the relation between the value of diffusion metrics in each vertex (</w:t>
            </w:r>
            <w:proofErr w:type="spellStart"/>
            <w:r>
              <w:rPr>
                <w:i/>
              </w:rPr>
              <w:t>i</w:t>
            </w:r>
            <w:proofErr w:type="spellEnd"/>
            <w:r>
              <w:t>) and the behavioral metrics from the SCT (absolute asynchronies, constant error, temporal variability, and lag 1 of the autocorrelation of the inter-tap-interval time series), as:</w:t>
            </w:r>
          </w:p>
          <w:p w14:paraId="28E46F3A" w14:textId="77777777" w:rsidR="0034658C" w:rsidRDefault="00000000">
            <w:pPr>
              <w:spacing w:before="240" w:after="240" w:line="480" w:lineRule="auto"/>
              <w:jc w:val="center"/>
              <w:rPr>
                <w:i/>
                <w:sz w:val="24"/>
                <w:szCs w:val="24"/>
                <w:vertAlign w:val="subscript"/>
              </w:rPr>
            </w:pPr>
            <w:r>
              <w:rPr>
                <w:sz w:val="24"/>
                <w:szCs w:val="24"/>
              </w:rPr>
              <w:t>SWM</w:t>
            </w:r>
            <w:r>
              <w:rPr>
                <w:i/>
                <w:sz w:val="24"/>
                <w:szCs w:val="24"/>
                <w:vertAlign w:val="subscript"/>
              </w:rPr>
              <w:t xml:space="preserve"> </w:t>
            </w:r>
            <w:proofErr w:type="spellStart"/>
            <w:r>
              <w:rPr>
                <w:i/>
                <w:sz w:val="24"/>
                <w:szCs w:val="24"/>
                <w:vertAlign w:val="subscript"/>
              </w:rPr>
              <w:t>i</w:t>
            </w:r>
            <w:proofErr w:type="spellEnd"/>
            <w:r>
              <w:rPr>
                <w:sz w:val="24"/>
                <w:szCs w:val="24"/>
              </w:rPr>
              <w:t xml:space="preserve"> = β</w:t>
            </w:r>
            <w:r>
              <w:rPr>
                <w:sz w:val="24"/>
                <w:szCs w:val="24"/>
                <w:vertAlign w:val="subscript"/>
              </w:rPr>
              <w:t xml:space="preserve">0 + </w:t>
            </w:r>
            <w:r>
              <w:rPr>
                <w:sz w:val="24"/>
                <w:szCs w:val="24"/>
              </w:rPr>
              <w:t>β</w:t>
            </w:r>
            <w:r>
              <w:rPr>
                <w:sz w:val="24"/>
                <w:szCs w:val="24"/>
                <w:vertAlign w:val="subscript"/>
              </w:rPr>
              <w:t xml:space="preserve">1 </w:t>
            </w:r>
            <w:r>
              <w:rPr>
                <w:sz w:val="24"/>
                <w:szCs w:val="24"/>
              </w:rPr>
              <w:t xml:space="preserve">* STC </w:t>
            </w:r>
            <w:r>
              <w:rPr>
                <w:i/>
                <w:sz w:val="24"/>
                <w:szCs w:val="24"/>
                <w:vertAlign w:val="subscript"/>
              </w:rPr>
              <w:t>metric</w:t>
            </w:r>
          </w:p>
          <w:p w14:paraId="5E8BC422" w14:textId="77777777" w:rsidR="0034658C" w:rsidRDefault="00000000">
            <w:pPr>
              <w:spacing w:before="240" w:after="240"/>
              <w:jc w:val="both"/>
            </w:pPr>
            <w:sdt>
              <w:sdtPr>
                <w:tag w:val="goog_rdk_152"/>
                <w:id w:val="-947231395"/>
                <w:showingPlcHdr/>
              </w:sdtPr>
              <w:sdtContent>
                <w:r>
                  <w:t xml:space="preserve">     </w:t>
                </w:r>
              </w:sdtContent>
            </w:sdt>
            <w:r>
              <w:t>Surface vertex-wise analysis was corrected for multiple comparisons using random-field theory with a threshold of family-wise error to (P</w:t>
            </w:r>
            <w:r>
              <w:rPr>
                <w:sz w:val="10"/>
                <w:szCs w:val="10"/>
              </w:rPr>
              <w:t xml:space="preserve">FWE </w:t>
            </w:r>
            <w:r>
              <w:t xml:space="preserve">&lt; 0.001). Clusters </w:t>
            </w:r>
            <w:proofErr w:type="gramStart"/>
            <w:r>
              <w:t xml:space="preserve">with  </w:t>
            </w:r>
            <w:proofErr w:type="spellStart"/>
            <w:r>
              <w:t>P</w:t>
            </w:r>
            <w:r>
              <w:rPr>
                <w:sz w:val="10"/>
                <w:szCs w:val="10"/>
              </w:rPr>
              <w:t>Cluster</w:t>
            </w:r>
            <w:proofErr w:type="spellEnd"/>
            <w:proofErr w:type="gramEnd"/>
            <w:r>
              <w:rPr>
                <w:sz w:val="10"/>
                <w:szCs w:val="10"/>
              </w:rPr>
              <w:t xml:space="preserve"> </w:t>
            </w:r>
            <w:r>
              <w:t xml:space="preserve">&lt; 0.001 were deemed significant. </w:t>
            </w:r>
          </w:p>
          <w:p w14:paraId="32F031CE" w14:textId="77777777" w:rsidR="0034658C" w:rsidRDefault="00000000">
            <w:pPr>
              <w:spacing w:before="240" w:after="240"/>
              <w:jc w:val="both"/>
              <w:rPr>
                <w:highlight w:val="white"/>
              </w:rPr>
            </w:pPr>
            <w:r>
              <w:t>Significant clusters were anatomically identified using on the Brain Atlas Based on Connectional Architecture (</w:t>
            </w:r>
            <w:proofErr w:type="spellStart"/>
            <w:r>
              <w:t>Brainnetome</w:t>
            </w:r>
            <w:proofErr w:type="spellEnd"/>
            <w:r>
              <w:t xml:space="preserve">) </w:t>
            </w:r>
            <w:r>
              <w:fldChar w:fldCharType="begin" w:fldLock="1"/>
            </w:r>
            <w:r>
              <w:instrText>ADDIN CSL_CITATION {"citationItems":[{"id":"ITEM-1","itemData":{"DOI":"10.1093/cercor/bhw157","ISSN":"14602199","PMID":"27230218","abstract":"The human brain atlases that allow correlating brain anatomy with psychological and cognitive functions are in transition from ex vivo histology-based printed atlases to digital brain maps providing multimodal in vivo information. Many current human brain atlases cover only specific structures, lack fine-grained parcellations, and fail to provide functionally important connectivity information. Using noninvasive multimodal neuroimaging techniques, we designed a connectivity-based parcellation framework that identifies the subdivisions of the entire human brain, revealing the in vivo connectivity architecture. The resulting human Brainnetome Atlas, with 210 cortical and 36 subcortical subregions, provides a fine-grained, cross-validated atlas and contains information on both anatomical and functional connections. Additionally, we further mapped the delineated structures to mental processes by reference to the BrainMap database. It thus provides an objective and stable starting point from which to explore the complex relationships between structure, connectivity, and function, and eventually improves understanding of how the human brain works. The human Brainnetome Atlas will be made freely available for download at http://atlas.brainnetome.org, so that whole brain parcellations, connections, and functional data will be readily available for researchers to use in their investigations into healthy and pathological states.","author":[{"dropping-particle":"","family":"Fan","given":"Lingzhong","non-dropping-particle":"","parse-names":false,"suffix":""},{"dropping-particle":"","family":"Li","given":"Hai","non-dropping-particle":"","parse-names":false,"suffix":""},{"dropping-particle":"","family":"Zhuo","given":"Junjie","non-dropping-particle":"","parse-names":false,"suffix":""},{"dropping-particle":"","family":"Zhang","given":"Yu","non-dropping-particle":"","parse-names":false,"suffix":""},{"dropping-particle":"","family":"Wang","given":"Jiaojian","non-dropping-particle":"","parse-names":false,"suffix":""},{"dropping-particle":"","family":"Chen","given":"Liangfu","non-dropping-particle":"","parse-names":false,"suffix":""},{"dropping-particle":"","family":"Yang","given":"Zhengyi","non-dropping-particle":"","parse-names":false,"suffix":""},{"dropping-particle":"","family":"Chu","given":"Congying","non-dropping-particle":"","parse-names":false,"suffix":""},{"dropping-particle":"","family":"Xie","given":"Sangma","non-dropping-particle":"","parse-names":false,"suffix":""},{"dropping-particle":"","family":"Laird","given":"Angela R.","non-dropping-particle":"","parse-names":false,"suffix":""},{"dropping-particle":"","family":"Fox","given":"Peter T.","non-dropping-particle":"","parse-names":false,"suffix":""},{"dropping-particle":"","family":"Eickhoff","given":"Simon B.","non-dropping-particle":"","parse-names":false,"suffix":""},{"dropping-particle":"","family":"Yu","given":"Chunshui","non-dropping-particle":"","parse-names":false,"suffix":""},{"dropping-particle":"","family":"Jiang","given":"Tianzi","non-dropping-particle":"","parse-names":false,"suffix":""}],"container-title":"Cerebral Cortex","id":"ITEM-1","issue":"8","issued":{"date-parts":[["2016"]]},"page":"3508-3526","title":"The Human Brainnetome Atlas: A New Brain Atlas Based on Connectional Architecture","type":"article-journal","volume":"26"},"uris":["http://www.mendeley.com/documents/?uuid=3ee2f09e-d22a-40c9-9a59-34a326e713fa"]}],"mendeley":{"formattedCitation":"(Fan et al., 2016)","plainTextFormattedCitation":"(Fan et al., 2016)","previouslyFormattedCitation":"(Fan et al., 2016)"},"properties":{"noteIndex":0},"schema":"https://github.com/citation-style-language/schema/raw/master/csl-citation.json"}</w:instrText>
            </w:r>
            <w:r>
              <w:fldChar w:fldCharType="separate"/>
            </w:r>
            <w:r>
              <w:t>(Fan et al., 2016)</w:t>
            </w:r>
            <w:r>
              <w:fldChar w:fldCharType="end"/>
            </w:r>
            <w:r>
              <w:t xml:space="preserve">. All the analyses were carried out in </w:t>
            </w:r>
            <w:proofErr w:type="spellStart"/>
            <w:r>
              <w:t>Surfstat</w:t>
            </w:r>
            <w:proofErr w:type="spellEnd"/>
            <w:r>
              <w:t xml:space="preserve"> </w:t>
            </w:r>
            <w:r>
              <w:fldChar w:fldCharType="begin" w:fldLock="1"/>
            </w:r>
            <w:r>
              <w:instrText>ADDIN CSL_CITATION {"citationItems":[{"id":"ITEM-1","itemData":{"DOI":"10.1016/s1053-8119(09)70882-1","ISSN":"10538119","abstract":"Purpose Non-ST-segment elevation myocardial infarction (NSTEMI) may be associated with total occlusion of the culprit artery, which is frequently not diagnosed on the standard 12-lead ECG. This may lead to missed opportunities for prompt reperfusion therapy. We sought to determine the prevalence of acute artery occlusion and location of culprit lesions involved in NSTEMI. Methods We examined 2219 consecutive patients with NSTEMI enrolled in a multicentre registry of acute percutaneous coronary intervention (PCI). The inclusion criteria were definite myocardial infarction (elevated troponin and/or CKMB with either symptoms and/or ST-segment depression) and invasive strategy within 72 hours of symptom onset. The patients were divided into 2 groups according to the initial TIMI flow (TIMI 0/I, \"occluded\"; vs TIMI II/ III, \"patent\"). Baseline characteristics, treatment, culprit artery distribution and in-hospital outcome were compared. Results The prevalence of total occlusion was 33.9% in the entire cohort. In patients with total occlusion, the culprit lesion was more frequently located in the arteries supplying the infero-lateral territory (circumflex, CX; right coronary artery, RCA) compared to patients with patent arteries (CX: 31.2% vs 18.8%, p &lt; 0.01; RCA: 31.2% vs 22.6%, p &lt; 0.01; LAD: 26.6% vs 38.2%, p &lt; 0.01). Patients with total occlusion had significantly shorter delays to PCI (pain to PCI: 951 [460-1730] min. vs 1302 [582-2221] min., p &lt; 0.01; door to PCI: 360 [125-1138] min. vs 180 [791-1483] min., p &lt; 0.01). Inhospital mortality, however, was similar in both groups (TIMI I vs TIMI II/III 2.7 vs 1.8; p = n. s.). Conclusion Totally occluded culprit lesions occur in one third of patients with NSTEMI in a real world setting and are more frequently located in CX and RCA, but may also be seen in LAD territories. Early risk stratification needs to be enhanced to improve identification of \"Pseudo-NSTEMIs\" that would benefit from urgent reperfusion as in STEMI.","author":[{"dropping-particle":"","family":"Worsley","given":"KJ","non-dropping-particle":"","parse-names":false,"suffix":""},{"dropping-particle":"","family":"Taylor","given":"JE","non-dropping-particle":"","parse-names":false,"suffix":""},{"dropping-particle":"","family":"Carbonell","given":"F","non-dropping-particle":"","parse-names":false,"suffix":""},{"dropping-particle":"","family":"Chung","given":"MK","non-dropping-particle":"","parse-names":false,"suffix":""},{"dropping-particle":"","family":"Duerden","given":"E","non-dropping-particle":"","parse-names":false,"suffix":""},{"dropping-particle":"","family":"Bernhardt","given":"B","non-dropping-particle":"","parse-names":false,"suffix":""},{"dropping-particle":"","family":"Lyttelton","given":"O","non-dropping-particle":"","parse-names":false,"suffix":""},{"dropping-particle":"","family":"Boucher","given":"M","non-dropping-particle":"","parse-names":false,"suffix":""},{"dropping-particle":"","family":"Evans","given":"AC","non-dropping-particle":"","parse-names":false,"suffix":""}],"container-title":"NeuroImage","id":"ITEM-1","issued":{"date-parts":[["2009"]]},"page":"S102","publisher":"Elsevier Inc.","title":"SurfStat: A Matlab toolbox for the statistical analysis of univariate and multivariate surface and volumetric data using linear mixed effects models and random field theory","type":"article-journal","volume":"47"},"uris":["http://www.mendeley.com/documents/?uuid=1a4b66bd-965d-4de4-b057-bd0d782c05af"]}],"mendeley":{"formattedCitation":"(Worsley et al., 2009)","plainTextFormattedCitation":"(Worsley et al., 2009)","previouslyFormattedCitation":"(Worsley et al., 2009)"},"properties":{"noteIndex":0},"schema":"https://github.com/citation-style-language/schema/raw/master/csl-citation.json"}</w:instrText>
            </w:r>
            <w:r>
              <w:fldChar w:fldCharType="separate"/>
            </w:r>
            <w:r>
              <w:t>(Worsley et al., 2009)</w:t>
            </w:r>
            <w:r>
              <w:fldChar w:fldCharType="end"/>
            </w:r>
            <w:r>
              <w:t xml:space="preserve"> for </w:t>
            </w:r>
            <w:proofErr w:type="spellStart"/>
            <w:r>
              <w:t>Matlab</w:t>
            </w:r>
            <w:proofErr w:type="spellEnd"/>
            <w:r>
              <w:t xml:space="preserve"> </w:t>
            </w:r>
            <w:r>
              <w:rPr>
                <w:highlight w:val="white"/>
              </w:rPr>
              <w:t xml:space="preserve">(2018; The </w:t>
            </w:r>
            <w:proofErr w:type="spellStart"/>
            <w:r>
              <w:rPr>
                <w:highlight w:val="white"/>
              </w:rPr>
              <w:t>Mathworks</w:t>
            </w:r>
            <w:proofErr w:type="spellEnd"/>
            <w:r>
              <w:rPr>
                <w:highlight w:val="white"/>
              </w:rPr>
              <w:t xml:space="preserve">). </w:t>
            </w:r>
          </w:p>
          <w:p w14:paraId="43B3836D" w14:textId="77777777" w:rsidR="0034658C" w:rsidRDefault="0034658C">
            <w:pPr>
              <w:spacing w:line="225" w:lineRule="auto"/>
              <w:jc w:val="both"/>
              <w:rPr>
                <w:rFonts w:ascii="Noto Sans" w:eastAsia="Noto Sans" w:hAnsi="Noto Sans" w:cs="Noto Sans"/>
                <w:bCs/>
                <w:iCs/>
                <w:color w:val="434343"/>
                <w:sz w:val="18"/>
                <w:szCs w:val="18"/>
              </w:rPr>
            </w:pPr>
          </w:p>
          <w:p w14:paraId="58C5D366"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4BD1FD" w14:textId="77777777" w:rsidR="0034658C" w:rsidRDefault="0034658C">
            <w:pPr>
              <w:spacing w:line="225" w:lineRule="auto"/>
              <w:rPr>
                <w:rFonts w:ascii="Noto Sans" w:eastAsia="Noto Sans" w:hAnsi="Noto Sans" w:cs="Noto Sans"/>
                <w:bCs/>
                <w:color w:val="434343"/>
                <w:sz w:val="18"/>
                <w:szCs w:val="18"/>
              </w:rPr>
            </w:pPr>
          </w:p>
        </w:tc>
      </w:tr>
      <w:tr w:rsidR="0034658C" w14:paraId="0D9443E8" w14:textId="77777777">
        <w:trPr>
          <w:trHeight w:val="425"/>
        </w:trPr>
        <w:tc>
          <w:tcPr>
            <w:tcW w:w="2542" w:type="dxa"/>
            <w:tcBorders>
              <w:top w:val="nil"/>
              <w:left w:val="nil"/>
              <w:bottom w:val="single" w:sz="8" w:space="0" w:color="000000"/>
              <w:right w:val="nil"/>
            </w:tcBorders>
            <w:shd w:val="clear" w:color="auto" w:fill="auto"/>
            <w:tcMar>
              <w:top w:w="100" w:type="dxa"/>
              <w:left w:w="100" w:type="dxa"/>
              <w:bottom w:w="100" w:type="dxa"/>
              <w:right w:w="100" w:type="dxa"/>
            </w:tcMar>
          </w:tcPr>
          <w:p w14:paraId="1DF3CEDE" w14:textId="77777777" w:rsidR="0034658C" w:rsidRDefault="0034658C">
            <w:pPr>
              <w:rPr>
                <w:rFonts w:ascii="Noto Sans" w:eastAsia="Noto Sans" w:hAnsi="Noto Sans" w:cs="Noto Sans"/>
                <w:b/>
                <w:color w:val="434343"/>
                <w:sz w:val="16"/>
                <w:szCs w:val="16"/>
              </w:rPr>
            </w:pPr>
          </w:p>
        </w:tc>
        <w:tc>
          <w:tcPr>
            <w:tcW w:w="6188" w:type="dxa"/>
            <w:tcBorders>
              <w:top w:val="nil"/>
              <w:left w:val="nil"/>
              <w:bottom w:val="single" w:sz="8" w:space="0" w:color="000000"/>
              <w:right w:val="nil"/>
            </w:tcBorders>
            <w:shd w:val="clear" w:color="auto" w:fill="auto"/>
            <w:tcMar>
              <w:top w:w="100" w:type="dxa"/>
              <w:left w:w="100" w:type="dxa"/>
              <w:bottom w:w="100" w:type="dxa"/>
              <w:right w:w="100" w:type="dxa"/>
            </w:tcMar>
          </w:tcPr>
          <w:p w14:paraId="2D53EAF9"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76A2183"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615124D6" w14:textId="7777777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FDE04B"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618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925BE3"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DBE79B"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3E7CBD32" w14:textId="77777777">
        <w:trPr>
          <w:trHeight w:val="829"/>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F0594"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85BE74"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8511D"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358D3123" w14:textId="77777777">
        <w:trPr>
          <w:trHeight w:val="875"/>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730426" w14:textId="77777777" w:rsidR="0034658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730F9B"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A7311"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4C0F056" w14:textId="77777777">
        <w:trPr>
          <w:trHeight w:val="706"/>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2DD04" w14:textId="77777777" w:rsidR="0034658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0598FF"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CB77D5"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1EC9AA31" w14:textId="77777777">
        <w:trPr>
          <w:trHeight w:val="425"/>
        </w:trPr>
        <w:tc>
          <w:tcPr>
            <w:tcW w:w="2542" w:type="dxa"/>
            <w:tcBorders>
              <w:top w:val="nil"/>
              <w:left w:val="nil"/>
              <w:bottom w:val="single" w:sz="8" w:space="0" w:color="000000"/>
              <w:right w:val="nil"/>
            </w:tcBorders>
            <w:shd w:val="clear" w:color="auto" w:fill="auto"/>
            <w:tcMar>
              <w:top w:w="100" w:type="dxa"/>
              <w:left w:w="100" w:type="dxa"/>
              <w:bottom w:w="100" w:type="dxa"/>
              <w:right w:w="100" w:type="dxa"/>
            </w:tcMar>
          </w:tcPr>
          <w:p w14:paraId="48D0D16F" w14:textId="77777777" w:rsidR="0034658C" w:rsidRDefault="0034658C">
            <w:pPr>
              <w:rPr>
                <w:rFonts w:ascii="Noto Sans" w:eastAsia="Noto Sans" w:hAnsi="Noto Sans" w:cs="Noto Sans"/>
                <w:b/>
                <w:color w:val="434343"/>
                <w:sz w:val="16"/>
                <w:szCs w:val="16"/>
                <w:highlight w:val="white"/>
              </w:rPr>
            </w:pPr>
          </w:p>
        </w:tc>
        <w:tc>
          <w:tcPr>
            <w:tcW w:w="6188" w:type="dxa"/>
            <w:tcBorders>
              <w:top w:val="nil"/>
              <w:left w:val="nil"/>
              <w:bottom w:val="single" w:sz="8" w:space="0" w:color="000000"/>
              <w:right w:val="nil"/>
            </w:tcBorders>
            <w:shd w:val="clear" w:color="auto" w:fill="auto"/>
            <w:tcMar>
              <w:top w:w="100" w:type="dxa"/>
              <w:left w:w="100" w:type="dxa"/>
              <w:bottom w:w="100" w:type="dxa"/>
              <w:right w:w="100" w:type="dxa"/>
            </w:tcMar>
          </w:tcPr>
          <w:p w14:paraId="0DFF6006" w14:textId="77777777" w:rsidR="0034658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91391B6" w14:textId="77777777" w:rsidR="0034658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658C" w14:paraId="0224DA82" w14:textId="77777777">
        <w:trPr>
          <w:trHeight w:val="63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92E0AF" w14:textId="77777777" w:rsidR="0034658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618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2C26CF8"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DB464E"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5722589C" w14:textId="77777777">
        <w:trPr>
          <w:trHeight w:val="1341"/>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F5B3B"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BBD481"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44330"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4658C" w14:paraId="56449510" w14:textId="77777777">
        <w:trPr>
          <w:trHeight w:val="108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E4025"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FC5B9" w14:textId="77777777" w:rsidR="0034658C" w:rsidRDefault="0034658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B134D5" w14:textId="77777777" w:rsidR="0034658C" w:rsidRDefault="0034658C">
            <w:pPr>
              <w:spacing w:line="225" w:lineRule="auto"/>
              <w:rPr>
                <w:rFonts w:ascii="Noto Sans" w:eastAsia="Noto Sans" w:hAnsi="Noto Sans" w:cs="Noto Sans"/>
                <w:bCs/>
                <w:color w:val="434343"/>
                <w:sz w:val="18"/>
                <w:szCs w:val="18"/>
              </w:rPr>
            </w:pPr>
          </w:p>
        </w:tc>
      </w:tr>
      <w:tr w:rsidR="0034658C" w14:paraId="3A75AF28" w14:textId="77777777">
        <w:trPr>
          <w:trHeight w:val="720"/>
        </w:trPr>
        <w:tc>
          <w:tcPr>
            <w:tcW w:w="254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175DCE" w14:textId="77777777" w:rsidR="0034658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6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767D41" w14:textId="77777777" w:rsidR="0034658C" w:rsidRDefault="003465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00326" w14:textId="77777777" w:rsidR="0034658C" w:rsidRDefault="0000000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FCD7004" w14:textId="77777777" w:rsidR="0034658C" w:rsidRDefault="0034658C">
      <w:pPr>
        <w:spacing w:before="60" w:line="227" w:lineRule="auto"/>
        <w:rPr>
          <w:rFonts w:ascii="Noto Sans" w:eastAsia="Noto Sans" w:hAnsi="Noto Sans" w:cs="Noto Sans"/>
          <w:b/>
          <w:color w:val="434343"/>
          <w:sz w:val="16"/>
          <w:szCs w:val="16"/>
          <w:u w:val="single"/>
        </w:rPr>
      </w:pPr>
    </w:p>
    <w:p w14:paraId="174F252B" w14:textId="77777777" w:rsidR="0034658C" w:rsidRDefault="00000000">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251A2AF" w14:textId="77777777" w:rsidR="0034658C"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20DAF908" w14:textId="77777777" w:rsidR="0034658C"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34658C" w14:paraId="5E382E6E"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905923"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BB85427"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9813E1A" w14:textId="77777777" w:rsidR="0034658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658C" w14:paraId="7024A6C0"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A1AA3" w14:textId="77777777" w:rsidR="0034658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CAF8A" w14:textId="77777777" w:rsidR="0034658C" w:rsidRDefault="0034658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7102F" w14:textId="77777777" w:rsidR="0034658C" w:rsidRDefault="0034658C">
            <w:pPr>
              <w:spacing w:line="225" w:lineRule="auto"/>
              <w:rPr>
                <w:rFonts w:ascii="Noto Sans" w:eastAsia="Noto Sans" w:hAnsi="Noto Sans" w:cs="Noto Sans"/>
                <w:bCs/>
                <w:color w:val="434343"/>
                <w:sz w:val="18"/>
                <w:szCs w:val="18"/>
              </w:rPr>
            </w:pPr>
          </w:p>
        </w:tc>
      </w:tr>
    </w:tbl>
    <w:p w14:paraId="491DFF1F" w14:textId="77777777" w:rsidR="0034658C" w:rsidRDefault="0034658C">
      <w:pPr>
        <w:spacing w:line="227" w:lineRule="auto"/>
        <w:rPr>
          <w:rFonts w:ascii="Noto Sans" w:eastAsia="Noto Sans" w:hAnsi="Noto Sans" w:cs="Noto Sans"/>
          <w:b/>
          <w:color w:val="434343"/>
          <w:sz w:val="18"/>
          <w:szCs w:val="18"/>
        </w:rPr>
      </w:pPr>
    </w:p>
    <w:p w14:paraId="1ED12D58" w14:textId="77777777" w:rsidR="0034658C" w:rsidRDefault="00000000">
      <w:pPr>
        <w:spacing w:before="80"/>
      </w:pPr>
      <w:bookmarkStart w:id="4" w:name="_cm0qssfkw66b" w:colFirst="0" w:colLast="0"/>
      <w:bookmarkEnd w:id="4"/>
      <w:r>
        <w:pict w14:anchorId="73EE64EC">
          <v:rect id="_x0000_i1025" style="width:468pt;height:.05pt" o:hralign="center" o:hrstd="t" o:hr="t" fillcolor="#a0a0a0" stroked="f"/>
        </w:pict>
      </w:r>
    </w:p>
    <w:p w14:paraId="59C53DB8" w14:textId="77777777" w:rsidR="0034658C" w:rsidRDefault="0034658C"/>
    <w:p w14:paraId="7EDD90E2" w14:textId="77777777" w:rsidR="0034658C"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150C3487" w14:textId="77777777" w:rsidR="0034658C" w:rsidRDefault="0034658C"/>
    <w:p w14:paraId="1047CD6D" w14:textId="77777777" w:rsidR="0034658C" w:rsidRDefault="00000000">
      <w:pPr>
        <w:rPr>
          <w:b/>
        </w:rPr>
      </w:pPr>
      <w:r>
        <w:rPr>
          <w:b/>
        </w:rPr>
        <w:t>Sample-size estimation</w:t>
      </w:r>
    </w:p>
    <w:p w14:paraId="2DA092C9" w14:textId="77777777" w:rsidR="0034658C" w:rsidRDefault="00000000">
      <w:pPr>
        <w:numPr>
          <w:ilvl w:val="0"/>
          <w:numId w:val="3"/>
        </w:numPr>
      </w:pPr>
      <w:r>
        <w:t>You should state whether an appropriate sample size was computed when the study was being designed</w:t>
      </w:r>
    </w:p>
    <w:p w14:paraId="042BE7BD" w14:textId="77777777" w:rsidR="0034658C" w:rsidRDefault="00000000">
      <w:pPr>
        <w:numPr>
          <w:ilvl w:val="0"/>
          <w:numId w:val="3"/>
        </w:numPr>
      </w:pPr>
      <w:r>
        <w:t>You should state the statistical method of sample size computation and any required assumptions</w:t>
      </w:r>
    </w:p>
    <w:p w14:paraId="2365F269" w14:textId="77777777" w:rsidR="0034658C" w:rsidRDefault="00000000">
      <w:pPr>
        <w:numPr>
          <w:ilvl w:val="0"/>
          <w:numId w:val="3"/>
        </w:numPr>
      </w:pPr>
      <w:r>
        <w:t>If no explicit power analysis was used, you should describe how you decided what sample (replicate) size (number) to use</w:t>
      </w:r>
    </w:p>
    <w:p w14:paraId="19117B31" w14:textId="77777777" w:rsidR="0034658C" w:rsidRDefault="0034658C"/>
    <w:p w14:paraId="4EAFC07F" w14:textId="77777777" w:rsidR="0034658C" w:rsidRDefault="00000000">
      <w:pPr>
        <w:rPr>
          <w:b/>
        </w:rPr>
      </w:pPr>
      <w:r>
        <w:rPr>
          <w:b/>
        </w:rPr>
        <w:t>Replicates</w:t>
      </w:r>
    </w:p>
    <w:p w14:paraId="47789CBB" w14:textId="77777777" w:rsidR="0034658C" w:rsidRDefault="00000000">
      <w:pPr>
        <w:numPr>
          <w:ilvl w:val="0"/>
          <w:numId w:val="4"/>
        </w:numPr>
      </w:pPr>
      <w:r>
        <w:t>You should report how often each experiment was performed</w:t>
      </w:r>
    </w:p>
    <w:p w14:paraId="79218E8B" w14:textId="77777777" w:rsidR="0034658C" w:rsidRDefault="00000000">
      <w:pPr>
        <w:numPr>
          <w:ilvl w:val="0"/>
          <w:numId w:val="4"/>
        </w:numPr>
      </w:pPr>
      <w:r>
        <w:t>You should include a definition of biological versus technical replication</w:t>
      </w:r>
    </w:p>
    <w:p w14:paraId="176657D2" w14:textId="77777777" w:rsidR="0034658C" w:rsidRDefault="00000000">
      <w:pPr>
        <w:numPr>
          <w:ilvl w:val="0"/>
          <w:numId w:val="4"/>
        </w:numPr>
      </w:pPr>
      <w:r>
        <w:t>The data obtained should be provided and sufficient information should be provided to indicate the number of independent biological and/or technical replicates</w:t>
      </w:r>
    </w:p>
    <w:p w14:paraId="4C43C75D" w14:textId="77777777" w:rsidR="0034658C" w:rsidRDefault="00000000">
      <w:pPr>
        <w:numPr>
          <w:ilvl w:val="0"/>
          <w:numId w:val="4"/>
        </w:numPr>
      </w:pPr>
      <w:r>
        <w:t>If you encountered any outliers, you should describe how these were handled</w:t>
      </w:r>
    </w:p>
    <w:p w14:paraId="5F441DD7" w14:textId="77777777" w:rsidR="0034658C" w:rsidRDefault="00000000">
      <w:pPr>
        <w:numPr>
          <w:ilvl w:val="0"/>
          <w:numId w:val="4"/>
        </w:numPr>
      </w:pPr>
      <w:r>
        <w:t>Criteria for exclusion/inclusion of data should be clearly stated</w:t>
      </w:r>
    </w:p>
    <w:p w14:paraId="53399FE4" w14:textId="77777777" w:rsidR="0034658C" w:rsidRDefault="00000000">
      <w:pPr>
        <w:numPr>
          <w:ilvl w:val="0"/>
          <w:numId w:val="4"/>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4B7BF0C" w14:textId="77777777" w:rsidR="0034658C" w:rsidRDefault="0034658C"/>
    <w:p w14:paraId="78292BAA" w14:textId="77777777" w:rsidR="0034658C" w:rsidRDefault="00000000">
      <w:pPr>
        <w:rPr>
          <w:b/>
        </w:rPr>
      </w:pPr>
      <w:r>
        <w:rPr>
          <w:b/>
        </w:rPr>
        <w:t>Statistical reporting</w:t>
      </w:r>
    </w:p>
    <w:p w14:paraId="5E7CFFB5" w14:textId="77777777" w:rsidR="0034658C" w:rsidRDefault="00000000">
      <w:pPr>
        <w:numPr>
          <w:ilvl w:val="0"/>
          <w:numId w:val="5"/>
        </w:numPr>
      </w:pPr>
      <w:r>
        <w:t>Statistical analysis methods should be described and justified</w:t>
      </w:r>
    </w:p>
    <w:p w14:paraId="7C6AB2C5" w14:textId="77777777" w:rsidR="0034658C" w:rsidRDefault="00000000">
      <w:pPr>
        <w:numPr>
          <w:ilvl w:val="0"/>
          <w:numId w:val="5"/>
        </w:numPr>
      </w:pPr>
      <w:r>
        <w:t>Raw data should be presented in figures whenever informative to do so (typically when N per group is less than 10)</w:t>
      </w:r>
    </w:p>
    <w:p w14:paraId="24591E9D" w14:textId="77777777" w:rsidR="0034658C" w:rsidRDefault="00000000">
      <w:pPr>
        <w:numPr>
          <w:ilvl w:val="0"/>
          <w:numId w:val="5"/>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9F82802" w14:textId="77777777" w:rsidR="0034658C" w:rsidRDefault="00000000">
      <w:pPr>
        <w:numPr>
          <w:ilvl w:val="0"/>
          <w:numId w:val="5"/>
        </w:numPr>
      </w:pPr>
      <w:r>
        <w:t>Report exact p-values wherever possible alongside the summary statistics and 95% confidence intervals. These should be reported for all key questions and not only when the p-value is less than 0.05.</w:t>
      </w:r>
    </w:p>
    <w:p w14:paraId="10238655" w14:textId="77777777" w:rsidR="0034658C" w:rsidRDefault="0034658C"/>
    <w:p w14:paraId="3DE527CC" w14:textId="77777777" w:rsidR="0034658C" w:rsidRDefault="00000000">
      <w:pPr>
        <w:rPr>
          <w:b/>
        </w:rPr>
      </w:pPr>
      <w:r>
        <w:rPr>
          <w:b/>
        </w:rPr>
        <w:t>Group allocation</w:t>
      </w:r>
    </w:p>
    <w:p w14:paraId="1B348A70" w14:textId="77777777" w:rsidR="0034658C" w:rsidRDefault="00000000">
      <w:pPr>
        <w:numPr>
          <w:ilvl w:val="0"/>
          <w:numId w:val="6"/>
        </w:numPr>
      </w:pPr>
      <w:r>
        <w:t>Indicate how samples were allocated into experimental groups (in the case of clinical studies, please specify allocation to treatment method); if randomization was used, please also state if restricted randomization was applied</w:t>
      </w:r>
    </w:p>
    <w:p w14:paraId="49AFAF8C" w14:textId="77777777" w:rsidR="0034658C" w:rsidRDefault="00000000">
      <w:pPr>
        <w:numPr>
          <w:ilvl w:val="0"/>
          <w:numId w:val="6"/>
        </w:numPr>
      </w:pPr>
      <w:r>
        <w:t>Indicate if masking was used during group allocation, data collection and/or data analysis</w:t>
      </w:r>
    </w:p>
    <w:sectPr w:rsidR="0034658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F24DF" w14:textId="77777777" w:rsidR="002762DD" w:rsidRDefault="002762DD">
      <w:r>
        <w:separator/>
      </w:r>
    </w:p>
  </w:endnote>
  <w:endnote w:type="continuationSeparator" w:id="0">
    <w:p w14:paraId="7FE63BE7" w14:textId="77777777" w:rsidR="002762DD" w:rsidRDefault="0027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00D5" w14:textId="77777777" w:rsidR="0034658C"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E4DBF72" w14:textId="77777777" w:rsidR="0034658C" w:rsidRDefault="0034658C">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5D5E" w14:textId="77777777" w:rsidR="002762DD" w:rsidRDefault="002762DD">
      <w:r>
        <w:separator/>
      </w:r>
    </w:p>
  </w:footnote>
  <w:footnote w:type="continuationSeparator" w:id="0">
    <w:p w14:paraId="623B3841" w14:textId="77777777" w:rsidR="002762DD" w:rsidRDefault="0027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C4D4" w14:textId="77777777" w:rsidR="0034658C" w:rsidRDefault="0034658C">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E443" w14:textId="77777777" w:rsidR="0034658C" w:rsidRDefault="00000000">
    <w:pPr>
      <w:pStyle w:val="Encabezado"/>
    </w:pPr>
    <w:r>
      <w:rPr>
        <w:noProof/>
      </w:rPr>
      <w:drawing>
        <wp:anchor distT="0" distB="0" distL="114300" distR="114300" simplePos="0" relativeHeight="251659264" behindDoc="0" locked="0" layoutInCell="1" allowOverlap="1" wp14:anchorId="457E8A0D" wp14:editId="2282FEE6">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rPr>
        <w:noProof/>
      </w:rPr>
      <w:drawing>
        <wp:inline distT="19050" distB="19050" distL="19050" distR="19050" wp14:anchorId="16797FCB" wp14:editId="4E28581A">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A031CE"/>
    <w:multiLevelType w:val="multilevel"/>
    <w:tmpl w:val="4DA03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576B4E"/>
    <w:multiLevelType w:val="multilevel"/>
    <w:tmpl w:val="75576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5543259">
    <w:abstractNumId w:val="2"/>
  </w:num>
  <w:num w:numId="2" w16cid:durableId="1750275393">
    <w:abstractNumId w:val="5"/>
  </w:num>
  <w:num w:numId="3" w16cid:durableId="256984406">
    <w:abstractNumId w:val="3"/>
  </w:num>
  <w:num w:numId="4" w16cid:durableId="1306857350">
    <w:abstractNumId w:val="1"/>
  </w:num>
  <w:num w:numId="5" w16cid:durableId="1427774481">
    <w:abstractNumId w:val="0"/>
  </w:num>
  <w:num w:numId="6" w16cid:durableId="113255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FC3B99DA"/>
    <w:rsid w:val="000B47E9"/>
    <w:rsid w:val="001B3BCC"/>
    <w:rsid w:val="002209A8"/>
    <w:rsid w:val="002762DD"/>
    <w:rsid w:val="00281B33"/>
    <w:rsid w:val="0034658C"/>
    <w:rsid w:val="00364F6D"/>
    <w:rsid w:val="003D5AF6"/>
    <w:rsid w:val="00427975"/>
    <w:rsid w:val="004E2C31"/>
    <w:rsid w:val="004F669E"/>
    <w:rsid w:val="005B0259"/>
    <w:rsid w:val="00644427"/>
    <w:rsid w:val="00644582"/>
    <w:rsid w:val="007054B6"/>
    <w:rsid w:val="007C5646"/>
    <w:rsid w:val="0080211B"/>
    <w:rsid w:val="00890F11"/>
    <w:rsid w:val="0092367A"/>
    <w:rsid w:val="009C7B26"/>
    <w:rsid w:val="00A11E52"/>
    <w:rsid w:val="00A413DC"/>
    <w:rsid w:val="00A6502B"/>
    <w:rsid w:val="00A73714"/>
    <w:rsid w:val="00AE5E37"/>
    <w:rsid w:val="00BD41E9"/>
    <w:rsid w:val="00C84413"/>
    <w:rsid w:val="00D2413E"/>
    <w:rsid w:val="00D51642"/>
    <w:rsid w:val="00D82D30"/>
    <w:rsid w:val="00E2134F"/>
    <w:rsid w:val="00E252B7"/>
    <w:rsid w:val="00E67302"/>
    <w:rsid w:val="00EF49CB"/>
    <w:rsid w:val="00F102CC"/>
    <w:rsid w:val="00F268DF"/>
    <w:rsid w:val="00F7370C"/>
    <w:rsid w:val="00F851B8"/>
    <w:rsid w:val="00F91042"/>
    <w:rsid w:val="3F71A4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68B4"/>
  <w15:docId w15:val="{0E9D07F0-906D-4751-A000-D410E15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Calibri" w:hAnsi="Calibri" w:cs="Calibri"/>
      <w:sz w:val="22"/>
      <w:szCs w:val="22"/>
      <w:lang w:val="en-US" w:eastAsia="en-GB"/>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0"/>
      <w:szCs w:val="20"/>
      <w:lang w:eastAsia="en-US"/>
    </w:rPr>
  </w:style>
  <w:style w:type="paragraph" w:styleId="Textocomentario">
    <w:name w:val="annotation text"/>
    <w:basedOn w:val="Normal"/>
    <w:uiPriority w:val="99"/>
    <w:semiHidden/>
    <w:unhideWhenUsed/>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513"/>
        <w:tab w:val="right" w:pos="9026"/>
      </w:tabs>
    </w:pPr>
  </w:style>
  <w:style w:type="paragraph" w:styleId="Encabezado">
    <w:name w:val="header"/>
    <w:basedOn w:val="Normal"/>
    <w:link w:val="EncabezadoCar"/>
    <w:uiPriority w:val="99"/>
    <w:unhideWhenUsed/>
    <w:pPr>
      <w:tabs>
        <w:tab w:val="center" w:pos="4513"/>
        <w:tab w:val="right" w:pos="9026"/>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table" w:customStyle="1" w:styleId="Style11">
    <w:name w:val="_Style 11"/>
    <w:basedOn w:val="Tablanormal"/>
    <w:tblPr>
      <w:tblCellMar>
        <w:top w:w="100" w:type="dxa"/>
        <w:left w:w="100" w:type="dxa"/>
        <w:bottom w:w="100" w:type="dxa"/>
        <w:right w:w="100" w:type="dxa"/>
      </w:tblCellMar>
    </w:tblPr>
  </w:style>
  <w:style w:type="table" w:customStyle="1" w:styleId="Style12">
    <w:name w:val="_Style 12"/>
    <w:basedOn w:val="Tablanormal"/>
    <w:tblPr>
      <w:tblCellMar>
        <w:top w:w="100" w:type="dxa"/>
        <w:left w:w="100" w:type="dxa"/>
        <w:bottom w:w="100" w:type="dxa"/>
        <w:right w:w="100" w:type="dxa"/>
      </w:tblCellMar>
    </w:tblPr>
  </w:style>
  <w:style w:type="table" w:customStyle="1" w:styleId="Style13">
    <w:name w:val="_Style 13"/>
    <w:basedOn w:val="Tablanormal"/>
    <w:tblPr>
      <w:tblCellMar>
        <w:top w:w="100" w:type="dxa"/>
        <w:left w:w="100" w:type="dxa"/>
        <w:bottom w:w="100" w:type="dxa"/>
        <w:right w:w="100" w:type="dxa"/>
      </w:tblCellMar>
    </w:tblPr>
  </w:style>
  <w:style w:type="table" w:customStyle="1" w:styleId="Style14">
    <w:name w:val="_Style 14"/>
    <w:basedOn w:val="Tablanormal"/>
    <w:tblPr>
      <w:tblCellMar>
        <w:top w:w="100" w:type="dxa"/>
        <w:left w:w="100" w:type="dxa"/>
        <w:bottom w:w="100" w:type="dxa"/>
        <w:right w:w="100"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E252B7"/>
    <w:rPr>
      <w:rFonts w:ascii="Calibri" w:eastAsia="Calibri" w:hAnsi="Calibri" w:cs="Calibri"/>
      <w:sz w:val="22"/>
      <w:szCs w:val="22"/>
      <w:lang w:val="en-US" w:eastAsia="en-GB"/>
    </w:rPr>
  </w:style>
  <w:style w:type="character" w:customStyle="1" w:styleId="cf01">
    <w:name w:val="cf01"/>
    <w:basedOn w:val="Fuentedeprrafopredeter"/>
    <w:rsid w:val="00E252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7</Pages>
  <Words>3337</Words>
  <Characters>18354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lconcha</dc:creator>
  <cp:lastModifiedBy>PAMELA GARCIA SALDIVAR</cp:lastModifiedBy>
  <cp:revision>14</cp:revision>
  <dcterms:created xsi:type="dcterms:W3CDTF">2022-02-28T06:21:00Z</dcterms:created>
  <dcterms:modified xsi:type="dcterms:W3CDTF">2022-11-02T04:58:00Z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