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11F2" w14:textId="5D2E6F8D" w:rsidR="009E1D2E" w:rsidRPr="009856E2" w:rsidRDefault="00746C36" w:rsidP="009E1D2E">
      <w:pPr>
        <w:spacing w:line="24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Supplementary file </w:t>
      </w:r>
      <w:r w:rsidR="009E1D2E" w:rsidRPr="009856E2">
        <w:rPr>
          <w:rFonts w:eastAsia="Times New Roman"/>
          <w:b/>
          <w:u w:val="single"/>
        </w:rPr>
        <w:t>1: Cryo-EM data collection, refinement, and validation statistics</w:t>
      </w:r>
    </w:p>
    <w:p w14:paraId="546C6773" w14:textId="77777777" w:rsidR="009E1D2E" w:rsidRPr="009856E2" w:rsidRDefault="009E1D2E" w:rsidP="009E1D2E">
      <w:pPr>
        <w:spacing w:line="240" w:lineRule="auto"/>
        <w:rPr>
          <w:rFonts w:eastAsia="Times New Roman"/>
          <w:u w:val="single"/>
        </w:rPr>
      </w:pPr>
    </w:p>
    <w:tbl>
      <w:tblPr>
        <w:tblW w:w="9635" w:type="dxa"/>
        <w:tblLayout w:type="fixed"/>
        <w:tblLook w:val="0000" w:firstRow="0" w:lastRow="0" w:firstColumn="0" w:lastColumn="0" w:noHBand="0" w:noVBand="0"/>
      </w:tblPr>
      <w:tblGrid>
        <w:gridCol w:w="2738"/>
        <w:gridCol w:w="3468"/>
        <w:gridCol w:w="3429"/>
      </w:tblGrid>
      <w:tr w:rsidR="009E1D2E" w:rsidRPr="009856E2" w14:paraId="2EF07708" w14:textId="77777777" w:rsidTr="005F50CC">
        <w:trPr>
          <w:trHeight w:val="321"/>
        </w:trPr>
        <w:tc>
          <w:tcPr>
            <w:tcW w:w="2738" w:type="dxa"/>
            <w:vMerge w:val="restart"/>
            <w:tcBorders>
              <w:top w:val="single" w:sz="12" w:space="0" w:color="008000"/>
              <w:bottom w:val="single" w:sz="6" w:space="0" w:color="008000"/>
            </w:tcBorders>
          </w:tcPr>
          <w:p w14:paraId="5DC98E40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‍</w:t>
            </w:r>
          </w:p>
        </w:tc>
        <w:tc>
          <w:tcPr>
            <w:tcW w:w="6897" w:type="dxa"/>
            <w:gridSpan w:val="2"/>
            <w:tcBorders>
              <w:top w:val="single" w:sz="12" w:space="0" w:color="008000"/>
              <w:bottom w:val="single" w:sz="6" w:space="0" w:color="008000"/>
            </w:tcBorders>
          </w:tcPr>
          <w:p w14:paraId="18632789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b/>
              </w:rPr>
            </w:pPr>
            <w:r w:rsidRPr="009856E2">
              <w:rPr>
                <w:rFonts w:eastAsia="Times New Roman"/>
                <w:b/>
              </w:rPr>
              <w:t>Human PAC with diC8-</w:t>
            </w:r>
            <w:proofErr w:type="gramStart"/>
            <w:r w:rsidRPr="009856E2">
              <w:rPr>
                <w:rFonts w:eastAsia="Times New Roman"/>
                <w:b/>
              </w:rPr>
              <w:t>PI(</w:t>
            </w:r>
            <w:proofErr w:type="gramEnd"/>
            <w:r w:rsidRPr="009856E2">
              <w:rPr>
                <w:rFonts w:eastAsia="Times New Roman"/>
                <w:b/>
              </w:rPr>
              <w:t>4,5)P</w:t>
            </w:r>
            <w:r w:rsidRPr="009856E2">
              <w:rPr>
                <w:rFonts w:eastAsia="Times New Roman"/>
                <w:b/>
                <w:vertAlign w:val="subscript"/>
              </w:rPr>
              <w:t>2</w:t>
            </w:r>
            <w:r w:rsidRPr="009856E2">
              <w:rPr>
                <w:rFonts w:eastAsia="Times New Roman"/>
                <w:b/>
              </w:rPr>
              <w:t xml:space="preserve"> at pH 4.0</w:t>
            </w:r>
          </w:p>
        </w:tc>
      </w:tr>
      <w:tr w:rsidR="009E1D2E" w:rsidRPr="009856E2" w14:paraId="47D793C9" w14:textId="77777777" w:rsidTr="005F50CC">
        <w:trPr>
          <w:trHeight w:val="321"/>
        </w:trPr>
        <w:tc>
          <w:tcPr>
            <w:tcW w:w="2738" w:type="dxa"/>
            <w:vMerge/>
            <w:tcBorders>
              <w:top w:val="single" w:sz="12" w:space="0" w:color="008000"/>
              <w:bottom w:val="single" w:sz="6" w:space="0" w:color="008000"/>
            </w:tcBorders>
          </w:tcPr>
          <w:p w14:paraId="5A133397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3468" w:type="dxa"/>
            <w:tcBorders>
              <w:bottom w:val="single" w:sz="6" w:space="0" w:color="008000"/>
            </w:tcBorders>
          </w:tcPr>
          <w:p w14:paraId="2DAEFED9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b/>
              </w:rPr>
            </w:pPr>
            <w:r w:rsidRPr="009856E2">
              <w:rPr>
                <w:rFonts w:eastAsia="Times New Roman"/>
                <w:b/>
              </w:rPr>
              <w:t>Full PAC map</w:t>
            </w:r>
          </w:p>
        </w:tc>
        <w:tc>
          <w:tcPr>
            <w:tcW w:w="3429" w:type="dxa"/>
            <w:tcBorders>
              <w:bottom w:val="single" w:sz="6" w:space="0" w:color="008000"/>
            </w:tcBorders>
          </w:tcPr>
          <w:p w14:paraId="2D73A040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b/>
              </w:rPr>
            </w:pPr>
            <w:r w:rsidRPr="009856E2">
              <w:rPr>
                <w:rFonts w:eastAsia="Times New Roman"/>
                <w:b/>
              </w:rPr>
              <w:t>Focused map on PAC ECD and the extracellular region of TMD</w:t>
            </w:r>
          </w:p>
        </w:tc>
      </w:tr>
      <w:tr w:rsidR="009E1D2E" w:rsidRPr="009856E2" w14:paraId="47B04CC2" w14:textId="77777777" w:rsidTr="005F50CC">
        <w:tc>
          <w:tcPr>
            <w:tcW w:w="2738" w:type="dxa"/>
            <w:tcBorders>
              <w:top w:val="single" w:sz="6" w:space="0" w:color="008000"/>
            </w:tcBorders>
          </w:tcPr>
          <w:p w14:paraId="344D6C5F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  <w:b/>
              </w:rPr>
              <w:t>Data collection and processing</w:t>
            </w:r>
          </w:p>
        </w:tc>
        <w:tc>
          <w:tcPr>
            <w:tcW w:w="3468" w:type="dxa"/>
            <w:tcBorders>
              <w:top w:val="single" w:sz="6" w:space="0" w:color="008000"/>
            </w:tcBorders>
          </w:tcPr>
          <w:p w14:paraId="19435700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3429" w:type="dxa"/>
            <w:tcBorders>
              <w:top w:val="single" w:sz="6" w:space="0" w:color="008000"/>
            </w:tcBorders>
          </w:tcPr>
          <w:p w14:paraId="476D5059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9E1D2E" w:rsidRPr="009856E2" w14:paraId="2617BC9D" w14:textId="77777777" w:rsidTr="005F50CC">
        <w:trPr>
          <w:trHeight w:val="234"/>
        </w:trPr>
        <w:tc>
          <w:tcPr>
            <w:tcW w:w="2738" w:type="dxa"/>
          </w:tcPr>
          <w:p w14:paraId="517D93EE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Magnification   </w:t>
            </w:r>
          </w:p>
        </w:tc>
        <w:tc>
          <w:tcPr>
            <w:tcW w:w="3468" w:type="dxa"/>
          </w:tcPr>
          <w:p w14:paraId="59A0E90D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105,000</w:t>
            </w:r>
          </w:p>
        </w:tc>
        <w:tc>
          <w:tcPr>
            <w:tcW w:w="3429" w:type="dxa"/>
          </w:tcPr>
          <w:p w14:paraId="0D197E87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105,000</w:t>
            </w:r>
          </w:p>
        </w:tc>
      </w:tr>
      <w:tr w:rsidR="009E1D2E" w:rsidRPr="009856E2" w14:paraId="5A4DEE00" w14:textId="77777777" w:rsidTr="005F50CC">
        <w:trPr>
          <w:trHeight w:val="22"/>
        </w:trPr>
        <w:tc>
          <w:tcPr>
            <w:tcW w:w="2738" w:type="dxa"/>
          </w:tcPr>
          <w:p w14:paraId="77AB9605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Voltage (kV)</w:t>
            </w:r>
          </w:p>
        </w:tc>
        <w:tc>
          <w:tcPr>
            <w:tcW w:w="3468" w:type="dxa"/>
          </w:tcPr>
          <w:p w14:paraId="0CA7267F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300</w:t>
            </w:r>
          </w:p>
        </w:tc>
        <w:tc>
          <w:tcPr>
            <w:tcW w:w="3429" w:type="dxa"/>
          </w:tcPr>
          <w:p w14:paraId="037C802D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300</w:t>
            </w:r>
          </w:p>
        </w:tc>
      </w:tr>
      <w:tr w:rsidR="009E1D2E" w:rsidRPr="009856E2" w14:paraId="501D78E2" w14:textId="77777777" w:rsidTr="005F50CC">
        <w:trPr>
          <w:trHeight w:val="22"/>
        </w:trPr>
        <w:tc>
          <w:tcPr>
            <w:tcW w:w="2738" w:type="dxa"/>
          </w:tcPr>
          <w:p w14:paraId="7AB063EB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Electron exposure (e</w:t>
            </w:r>
            <w:r w:rsidRPr="009856E2">
              <w:rPr>
                <w:rFonts w:eastAsia="Times New Roman"/>
                <w:vertAlign w:val="superscript"/>
              </w:rPr>
              <w:t>–</w:t>
            </w:r>
            <w:r w:rsidRPr="009856E2">
              <w:rPr>
                <w:rFonts w:eastAsia="Times New Roman"/>
              </w:rPr>
              <w:t>/Å</w:t>
            </w:r>
            <w:r w:rsidRPr="009856E2">
              <w:rPr>
                <w:rFonts w:eastAsia="Times New Roman"/>
                <w:vertAlign w:val="superscript"/>
              </w:rPr>
              <w:t>2</w:t>
            </w:r>
            <w:r w:rsidRPr="009856E2">
              <w:rPr>
                <w:rFonts w:eastAsia="Times New Roman"/>
              </w:rPr>
              <w:t>)</w:t>
            </w:r>
          </w:p>
        </w:tc>
        <w:tc>
          <w:tcPr>
            <w:tcW w:w="3468" w:type="dxa"/>
          </w:tcPr>
          <w:p w14:paraId="5BF61A1E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50</w:t>
            </w:r>
          </w:p>
        </w:tc>
        <w:tc>
          <w:tcPr>
            <w:tcW w:w="3429" w:type="dxa"/>
          </w:tcPr>
          <w:p w14:paraId="0B54D289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50</w:t>
            </w:r>
          </w:p>
        </w:tc>
      </w:tr>
      <w:tr w:rsidR="009E1D2E" w:rsidRPr="009856E2" w14:paraId="52BFA03F" w14:textId="77777777" w:rsidTr="005F50CC">
        <w:trPr>
          <w:trHeight w:val="22"/>
        </w:trPr>
        <w:tc>
          <w:tcPr>
            <w:tcW w:w="2738" w:type="dxa"/>
          </w:tcPr>
          <w:p w14:paraId="15B348E6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Defocus range (</w:t>
            </w:r>
            <w:proofErr w:type="spellStart"/>
            <w:r w:rsidRPr="009856E2">
              <w:rPr>
                <w:rFonts w:eastAsia="Times New Roman"/>
              </w:rPr>
              <w:t>μm</w:t>
            </w:r>
            <w:proofErr w:type="spellEnd"/>
            <w:r w:rsidRPr="009856E2">
              <w:rPr>
                <w:rFonts w:eastAsia="Times New Roman"/>
              </w:rPr>
              <w:t>)</w:t>
            </w:r>
          </w:p>
        </w:tc>
        <w:tc>
          <w:tcPr>
            <w:tcW w:w="3468" w:type="dxa"/>
          </w:tcPr>
          <w:p w14:paraId="1A006E62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–0.6 to –2.4</w:t>
            </w:r>
          </w:p>
        </w:tc>
        <w:tc>
          <w:tcPr>
            <w:tcW w:w="3429" w:type="dxa"/>
          </w:tcPr>
          <w:p w14:paraId="1D975C60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–0.6 to –2.4</w:t>
            </w:r>
          </w:p>
        </w:tc>
      </w:tr>
      <w:tr w:rsidR="009E1D2E" w:rsidRPr="009856E2" w14:paraId="790F9C67" w14:textId="77777777" w:rsidTr="005F50CC">
        <w:trPr>
          <w:trHeight w:val="22"/>
        </w:trPr>
        <w:tc>
          <w:tcPr>
            <w:tcW w:w="2738" w:type="dxa"/>
          </w:tcPr>
          <w:p w14:paraId="1C7374C5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Pixel size (Å)</w:t>
            </w:r>
          </w:p>
        </w:tc>
        <w:tc>
          <w:tcPr>
            <w:tcW w:w="3468" w:type="dxa"/>
          </w:tcPr>
          <w:p w14:paraId="145361EA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0.826</w:t>
            </w:r>
          </w:p>
        </w:tc>
        <w:tc>
          <w:tcPr>
            <w:tcW w:w="3429" w:type="dxa"/>
          </w:tcPr>
          <w:p w14:paraId="5DE01843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0.826</w:t>
            </w:r>
          </w:p>
        </w:tc>
      </w:tr>
      <w:tr w:rsidR="009E1D2E" w:rsidRPr="009856E2" w14:paraId="2CD24240" w14:textId="77777777" w:rsidTr="005F50CC">
        <w:trPr>
          <w:trHeight w:val="22"/>
        </w:trPr>
        <w:tc>
          <w:tcPr>
            <w:tcW w:w="2738" w:type="dxa"/>
          </w:tcPr>
          <w:p w14:paraId="66F001FE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Symmetry imposed</w:t>
            </w:r>
          </w:p>
        </w:tc>
        <w:tc>
          <w:tcPr>
            <w:tcW w:w="3468" w:type="dxa"/>
          </w:tcPr>
          <w:p w14:paraId="208960BD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C3</w:t>
            </w:r>
          </w:p>
        </w:tc>
        <w:tc>
          <w:tcPr>
            <w:tcW w:w="3429" w:type="dxa"/>
          </w:tcPr>
          <w:p w14:paraId="515108FA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C3</w:t>
            </w:r>
          </w:p>
        </w:tc>
      </w:tr>
      <w:tr w:rsidR="009E1D2E" w:rsidRPr="009856E2" w14:paraId="5ECC3EE6" w14:textId="77777777" w:rsidTr="005F50CC">
        <w:trPr>
          <w:trHeight w:val="22"/>
        </w:trPr>
        <w:tc>
          <w:tcPr>
            <w:tcW w:w="2738" w:type="dxa"/>
          </w:tcPr>
          <w:p w14:paraId="19446C84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Initial particle images (no.)</w:t>
            </w:r>
          </w:p>
        </w:tc>
        <w:tc>
          <w:tcPr>
            <w:tcW w:w="3468" w:type="dxa"/>
          </w:tcPr>
          <w:p w14:paraId="7103C091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5,859,347</w:t>
            </w:r>
          </w:p>
        </w:tc>
        <w:tc>
          <w:tcPr>
            <w:tcW w:w="3429" w:type="dxa"/>
          </w:tcPr>
          <w:p w14:paraId="37FF78DB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5,859,347</w:t>
            </w:r>
          </w:p>
        </w:tc>
      </w:tr>
      <w:tr w:rsidR="009E1D2E" w:rsidRPr="009856E2" w14:paraId="5642E4D5" w14:textId="77777777" w:rsidTr="005F50CC">
        <w:trPr>
          <w:trHeight w:val="22"/>
        </w:trPr>
        <w:tc>
          <w:tcPr>
            <w:tcW w:w="2738" w:type="dxa"/>
          </w:tcPr>
          <w:p w14:paraId="5C95F97C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Final particle images (no.)</w:t>
            </w:r>
          </w:p>
        </w:tc>
        <w:tc>
          <w:tcPr>
            <w:tcW w:w="3468" w:type="dxa"/>
          </w:tcPr>
          <w:p w14:paraId="0090F486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84,149</w:t>
            </w:r>
          </w:p>
        </w:tc>
        <w:tc>
          <w:tcPr>
            <w:tcW w:w="3429" w:type="dxa"/>
          </w:tcPr>
          <w:p w14:paraId="5401706D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84,149</w:t>
            </w:r>
          </w:p>
        </w:tc>
      </w:tr>
      <w:tr w:rsidR="009E1D2E" w:rsidRPr="009856E2" w14:paraId="67A2040F" w14:textId="77777777" w:rsidTr="005F50CC">
        <w:trPr>
          <w:trHeight w:val="22"/>
        </w:trPr>
        <w:tc>
          <w:tcPr>
            <w:tcW w:w="2738" w:type="dxa"/>
          </w:tcPr>
          <w:p w14:paraId="5F519F83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Map resolution (Å)</w:t>
            </w:r>
          </w:p>
          <w:p w14:paraId="59614027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    FSC threshold</w:t>
            </w:r>
          </w:p>
        </w:tc>
        <w:tc>
          <w:tcPr>
            <w:tcW w:w="3468" w:type="dxa"/>
          </w:tcPr>
          <w:p w14:paraId="02E6F0AA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2.71</w:t>
            </w:r>
          </w:p>
          <w:p w14:paraId="70AB4AB9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0.143</w:t>
            </w:r>
          </w:p>
        </w:tc>
        <w:tc>
          <w:tcPr>
            <w:tcW w:w="3429" w:type="dxa"/>
          </w:tcPr>
          <w:p w14:paraId="765E9869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2.70</w:t>
            </w:r>
          </w:p>
          <w:p w14:paraId="2609F8FF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0.143</w:t>
            </w:r>
          </w:p>
        </w:tc>
      </w:tr>
      <w:tr w:rsidR="009E1D2E" w:rsidRPr="009856E2" w14:paraId="20E792F8" w14:textId="77777777" w:rsidTr="005F50CC">
        <w:trPr>
          <w:trHeight w:val="234"/>
        </w:trPr>
        <w:tc>
          <w:tcPr>
            <w:tcW w:w="2738" w:type="dxa"/>
          </w:tcPr>
          <w:p w14:paraId="4D82A0D8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Map resolution range (Å)</w:t>
            </w:r>
          </w:p>
        </w:tc>
        <w:tc>
          <w:tcPr>
            <w:tcW w:w="3468" w:type="dxa"/>
          </w:tcPr>
          <w:p w14:paraId="27615FCD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2.2 – 8.9</w:t>
            </w:r>
          </w:p>
        </w:tc>
        <w:tc>
          <w:tcPr>
            <w:tcW w:w="3429" w:type="dxa"/>
          </w:tcPr>
          <w:p w14:paraId="5DA51370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2.2 – 6.9</w:t>
            </w:r>
          </w:p>
        </w:tc>
      </w:tr>
      <w:tr w:rsidR="009E1D2E" w:rsidRPr="009856E2" w14:paraId="053DC748" w14:textId="77777777" w:rsidTr="005F50CC">
        <w:trPr>
          <w:trHeight w:val="255"/>
        </w:trPr>
        <w:tc>
          <w:tcPr>
            <w:tcW w:w="2738" w:type="dxa"/>
          </w:tcPr>
          <w:p w14:paraId="6EFE016B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3468" w:type="dxa"/>
          </w:tcPr>
          <w:p w14:paraId="21895118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3429" w:type="dxa"/>
          </w:tcPr>
          <w:p w14:paraId="2BF8DCDD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9E1D2E" w:rsidRPr="009856E2" w14:paraId="6AC087C2" w14:textId="77777777" w:rsidTr="005F50CC">
        <w:tc>
          <w:tcPr>
            <w:tcW w:w="2738" w:type="dxa"/>
          </w:tcPr>
          <w:p w14:paraId="2E12C317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  <w:b/>
              </w:rPr>
              <w:t>Refinement</w:t>
            </w:r>
          </w:p>
        </w:tc>
        <w:tc>
          <w:tcPr>
            <w:tcW w:w="3468" w:type="dxa"/>
          </w:tcPr>
          <w:p w14:paraId="20D30A19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3429" w:type="dxa"/>
          </w:tcPr>
          <w:p w14:paraId="5B371229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9E1D2E" w:rsidRPr="009856E2" w14:paraId="7DDCA462" w14:textId="77777777" w:rsidTr="005F50CC">
        <w:tc>
          <w:tcPr>
            <w:tcW w:w="2738" w:type="dxa"/>
          </w:tcPr>
          <w:p w14:paraId="772507A6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Initial model used (PDB code)</w:t>
            </w:r>
          </w:p>
        </w:tc>
        <w:tc>
          <w:tcPr>
            <w:tcW w:w="3468" w:type="dxa"/>
          </w:tcPr>
          <w:p w14:paraId="62A353E7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i/>
                <w:iCs/>
                <w:color w:val="000000"/>
              </w:rPr>
            </w:pPr>
            <w:r w:rsidRPr="009856E2">
              <w:rPr>
                <w:rFonts w:eastAsia="Times New Roman"/>
                <w:i/>
                <w:iCs/>
                <w:color w:val="000000"/>
              </w:rPr>
              <w:t>7SQH</w:t>
            </w:r>
          </w:p>
        </w:tc>
        <w:tc>
          <w:tcPr>
            <w:tcW w:w="3429" w:type="dxa"/>
          </w:tcPr>
          <w:p w14:paraId="2ED6B4A3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i/>
                <w:iCs/>
                <w:color w:val="000000"/>
              </w:rPr>
            </w:pPr>
            <w:r w:rsidRPr="009856E2">
              <w:rPr>
                <w:rFonts w:eastAsia="Times New Roman"/>
                <w:i/>
                <w:iCs/>
                <w:color w:val="000000"/>
              </w:rPr>
              <w:t>7SQH</w:t>
            </w:r>
          </w:p>
        </w:tc>
      </w:tr>
      <w:tr w:rsidR="009E1D2E" w:rsidRPr="009856E2" w14:paraId="3AC6AC4E" w14:textId="77777777" w:rsidTr="005F50CC">
        <w:tc>
          <w:tcPr>
            <w:tcW w:w="2738" w:type="dxa"/>
          </w:tcPr>
          <w:p w14:paraId="149B3545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Model resolution (Å)</w:t>
            </w:r>
          </w:p>
          <w:p w14:paraId="215760AD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    FSC threshold</w:t>
            </w:r>
          </w:p>
        </w:tc>
        <w:tc>
          <w:tcPr>
            <w:tcW w:w="3468" w:type="dxa"/>
          </w:tcPr>
          <w:p w14:paraId="302480B3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3.04</w:t>
            </w:r>
          </w:p>
          <w:p w14:paraId="036A212E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0.5</w:t>
            </w:r>
          </w:p>
        </w:tc>
        <w:tc>
          <w:tcPr>
            <w:tcW w:w="3429" w:type="dxa"/>
          </w:tcPr>
          <w:p w14:paraId="1987A67F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3.05</w:t>
            </w:r>
          </w:p>
          <w:p w14:paraId="040B263D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0.5</w:t>
            </w:r>
          </w:p>
        </w:tc>
      </w:tr>
      <w:tr w:rsidR="009E1D2E" w:rsidRPr="009856E2" w14:paraId="24F6BD5B" w14:textId="77777777" w:rsidTr="005F50CC">
        <w:tc>
          <w:tcPr>
            <w:tcW w:w="2738" w:type="dxa"/>
          </w:tcPr>
          <w:p w14:paraId="72CD0460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Map sharpening </w:t>
            </w:r>
            <w:r w:rsidRPr="009856E2">
              <w:rPr>
                <w:rFonts w:eastAsia="Times New Roman"/>
                <w:i/>
              </w:rPr>
              <w:t>B</w:t>
            </w:r>
            <w:r w:rsidRPr="009856E2">
              <w:rPr>
                <w:rFonts w:eastAsia="Times New Roman"/>
              </w:rPr>
              <w:t xml:space="preserve"> factor (Å</w:t>
            </w:r>
            <w:r w:rsidRPr="009856E2">
              <w:rPr>
                <w:rFonts w:eastAsia="Times New Roman"/>
                <w:vertAlign w:val="superscript"/>
              </w:rPr>
              <w:t>2</w:t>
            </w:r>
            <w:r w:rsidRPr="009856E2">
              <w:rPr>
                <w:rFonts w:eastAsia="Times New Roman"/>
              </w:rPr>
              <w:t>)</w:t>
            </w:r>
          </w:p>
        </w:tc>
        <w:tc>
          <w:tcPr>
            <w:tcW w:w="3468" w:type="dxa"/>
          </w:tcPr>
          <w:p w14:paraId="3E2DC120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</w:rPr>
              <w:t>–</w:t>
            </w:r>
            <w:r w:rsidRPr="009856E2">
              <w:rPr>
                <w:rFonts w:eastAsia="Times New Roman"/>
                <w:color w:val="000000" w:themeColor="text1"/>
              </w:rPr>
              <w:t>95</w:t>
            </w:r>
          </w:p>
        </w:tc>
        <w:tc>
          <w:tcPr>
            <w:tcW w:w="3429" w:type="dxa"/>
          </w:tcPr>
          <w:p w14:paraId="7C56B1FA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–96.3</w:t>
            </w:r>
          </w:p>
        </w:tc>
      </w:tr>
      <w:tr w:rsidR="009E1D2E" w:rsidRPr="009856E2" w14:paraId="2A85106F" w14:textId="77777777" w:rsidTr="005F50CC">
        <w:tc>
          <w:tcPr>
            <w:tcW w:w="2738" w:type="dxa"/>
          </w:tcPr>
          <w:p w14:paraId="28CB1783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>Model composition</w:t>
            </w:r>
          </w:p>
          <w:p w14:paraId="1251D30F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    Non-hydrogen atoms</w:t>
            </w:r>
          </w:p>
          <w:p w14:paraId="681AB173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    Protein residues</w:t>
            </w:r>
          </w:p>
          <w:p w14:paraId="63168229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    Ligands</w:t>
            </w:r>
          </w:p>
        </w:tc>
        <w:tc>
          <w:tcPr>
            <w:tcW w:w="3468" w:type="dxa"/>
          </w:tcPr>
          <w:p w14:paraId="718C429F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2CE4C4E6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6903</w:t>
            </w:r>
          </w:p>
          <w:p w14:paraId="5F627E33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849</w:t>
            </w:r>
          </w:p>
          <w:p w14:paraId="609051C7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3429" w:type="dxa"/>
          </w:tcPr>
          <w:p w14:paraId="1B9E24AC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1CF1AB1C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6822</w:t>
            </w:r>
          </w:p>
          <w:p w14:paraId="7E3E15BA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834</w:t>
            </w:r>
          </w:p>
          <w:p w14:paraId="2ED4887E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15</w:t>
            </w:r>
          </w:p>
        </w:tc>
      </w:tr>
      <w:tr w:rsidR="009E1D2E" w:rsidRPr="009856E2" w14:paraId="5AEBEBA8" w14:textId="77777777" w:rsidTr="005F50CC">
        <w:tc>
          <w:tcPr>
            <w:tcW w:w="2738" w:type="dxa"/>
          </w:tcPr>
          <w:p w14:paraId="4DD430D0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9856E2">
              <w:rPr>
                <w:rFonts w:eastAsia="Times New Roman"/>
                <w:color w:val="000000"/>
              </w:rPr>
              <w:t>R.m.s.</w:t>
            </w:r>
            <w:proofErr w:type="spellEnd"/>
            <w:r w:rsidRPr="009856E2">
              <w:rPr>
                <w:rFonts w:eastAsia="Times New Roman"/>
                <w:color w:val="000000"/>
              </w:rPr>
              <w:t xml:space="preserve"> deviations</w:t>
            </w:r>
          </w:p>
          <w:p w14:paraId="60618822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/>
              </w:rPr>
            </w:pPr>
            <w:r w:rsidRPr="009856E2">
              <w:rPr>
                <w:rFonts w:eastAsia="Times New Roman"/>
                <w:color w:val="000000"/>
              </w:rPr>
              <w:t xml:space="preserve">    Bond lengths (Å)</w:t>
            </w:r>
          </w:p>
          <w:p w14:paraId="18B061C3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/>
              </w:rPr>
            </w:pPr>
            <w:r w:rsidRPr="009856E2">
              <w:rPr>
                <w:rFonts w:eastAsia="Times New Roman"/>
                <w:color w:val="000000"/>
              </w:rPr>
              <w:t xml:space="preserve">    Bond angles (°)</w:t>
            </w:r>
          </w:p>
        </w:tc>
        <w:tc>
          <w:tcPr>
            <w:tcW w:w="3468" w:type="dxa"/>
          </w:tcPr>
          <w:p w14:paraId="41A32E69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2C38514E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0.003</w:t>
            </w:r>
          </w:p>
          <w:p w14:paraId="0793EB0A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0.518</w:t>
            </w:r>
          </w:p>
        </w:tc>
        <w:tc>
          <w:tcPr>
            <w:tcW w:w="3429" w:type="dxa"/>
          </w:tcPr>
          <w:p w14:paraId="50AC9FF8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0981D5EC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0.003</w:t>
            </w:r>
          </w:p>
          <w:p w14:paraId="54F876A1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0.521</w:t>
            </w:r>
          </w:p>
        </w:tc>
      </w:tr>
      <w:tr w:rsidR="009E1D2E" w:rsidRPr="009856E2" w14:paraId="6BE3DD5C" w14:textId="77777777" w:rsidTr="005F50CC">
        <w:tc>
          <w:tcPr>
            <w:tcW w:w="2738" w:type="dxa"/>
          </w:tcPr>
          <w:p w14:paraId="27BC7ED3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 Validation</w:t>
            </w:r>
          </w:p>
          <w:p w14:paraId="055A229F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    </w:t>
            </w:r>
            <w:proofErr w:type="spellStart"/>
            <w:r w:rsidRPr="009856E2">
              <w:rPr>
                <w:rFonts w:eastAsia="Times New Roman"/>
              </w:rPr>
              <w:t>MolProbity</w:t>
            </w:r>
            <w:proofErr w:type="spellEnd"/>
            <w:r w:rsidRPr="009856E2">
              <w:rPr>
                <w:rFonts w:eastAsia="Times New Roman"/>
              </w:rPr>
              <w:t xml:space="preserve"> score</w:t>
            </w:r>
          </w:p>
          <w:p w14:paraId="6DEEE98D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    </w:t>
            </w:r>
            <w:proofErr w:type="spellStart"/>
            <w:r w:rsidRPr="009856E2">
              <w:rPr>
                <w:rFonts w:eastAsia="Times New Roman"/>
              </w:rPr>
              <w:t>Clashscore</w:t>
            </w:r>
            <w:proofErr w:type="spellEnd"/>
          </w:p>
          <w:p w14:paraId="0182C47B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    Poor rotamers (</w:t>
            </w:r>
            <w:proofErr w:type="gramStart"/>
            <w:r w:rsidRPr="009856E2">
              <w:rPr>
                <w:rFonts w:eastAsia="Times New Roman"/>
              </w:rPr>
              <w:t xml:space="preserve">%)   </w:t>
            </w:r>
            <w:proofErr w:type="gramEnd"/>
          </w:p>
        </w:tc>
        <w:tc>
          <w:tcPr>
            <w:tcW w:w="3468" w:type="dxa"/>
          </w:tcPr>
          <w:p w14:paraId="10B858B6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0B2FF02D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1.40</w:t>
            </w:r>
          </w:p>
          <w:p w14:paraId="491D93D9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7.24</w:t>
            </w:r>
          </w:p>
          <w:p w14:paraId="0EBDD572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3429" w:type="dxa"/>
          </w:tcPr>
          <w:p w14:paraId="23B23DE6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07FD5EF9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1.40</w:t>
            </w:r>
          </w:p>
          <w:p w14:paraId="1E3135B3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7.23</w:t>
            </w:r>
          </w:p>
          <w:p w14:paraId="60E5D331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0.00</w:t>
            </w:r>
          </w:p>
        </w:tc>
      </w:tr>
      <w:tr w:rsidR="009E1D2E" w:rsidRPr="009856E2" w14:paraId="735EDEAA" w14:textId="77777777" w:rsidTr="005F50CC">
        <w:tc>
          <w:tcPr>
            <w:tcW w:w="2738" w:type="dxa"/>
            <w:tcBorders>
              <w:bottom w:val="single" w:sz="12" w:space="0" w:color="008000"/>
            </w:tcBorders>
          </w:tcPr>
          <w:p w14:paraId="1FAFF51B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 Ramachandran plot</w:t>
            </w:r>
          </w:p>
          <w:p w14:paraId="3C5AC8D4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    Favored (%)</w:t>
            </w:r>
          </w:p>
          <w:p w14:paraId="01D73374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    Allowed (%)</w:t>
            </w:r>
          </w:p>
          <w:p w14:paraId="37DD92BA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</w:rPr>
            </w:pPr>
            <w:r w:rsidRPr="009856E2">
              <w:rPr>
                <w:rFonts w:eastAsia="Times New Roman"/>
              </w:rPr>
              <w:t xml:space="preserve">    Disallowed (%)</w:t>
            </w:r>
          </w:p>
        </w:tc>
        <w:tc>
          <w:tcPr>
            <w:tcW w:w="3468" w:type="dxa"/>
            <w:tcBorders>
              <w:bottom w:val="single" w:sz="12" w:space="0" w:color="008000"/>
            </w:tcBorders>
          </w:tcPr>
          <w:p w14:paraId="4A52BC25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6308A85D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98.93</w:t>
            </w:r>
          </w:p>
          <w:p w14:paraId="5E2FD837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1.07</w:t>
            </w:r>
          </w:p>
          <w:p w14:paraId="6C86AD6A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0.00</w:t>
            </w:r>
          </w:p>
        </w:tc>
        <w:tc>
          <w:tcPr>
            <w:tcW w:w="3429" w:type="dxa"/>
            <w:tcBorders>
              <w:bottom w:val="single" w:sz="12" w:space="0" w:color="008000"/>
            </w:tcBorders>
          </w:tcPr>
          <w:p w14:paraId="05B7A9E2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</w:p>
          <w:p w14:paraId="71FCE5A4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98.91</w:t>
            </w:r>
          </w:p>
          <w:p w14:paraId="0E02BAAB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1.09</w:t>
            </w:r>
          </w:p>
          <w:p w14:paraId="19BFEFCA" w14:textId="77777777" w:rsidR="009E1D2E" w:rsidRPr="009856E2" w:rsidRDefault="009E1D2E" w:rsidP="005F50CC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9856E2">
              <w:rPr>
                <w:rFonts w:eastAsia="Times New Roman"/>
                <w:color w:val="000000" w:themeColor="text1"/>
              </w:rPr>
              <w:t>0.00</w:t>
            </w:r>
          </w:p>
        </w:tc>
      </w:tr>
    </w:tbl>
    <w:p w14:paraId="2C653C0B" w14:textId="77777777" w:rsidR="00CF3B0C" w:rsidRDefault="00CF3B0C"/>
    <w:sectPr w:rsidR="00CF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2E"/>
    <w:rsid w:val="00746C36"/>
    <w:rsid w:val="009E1D2E"/>
    <w:rsid w:val="00BB2317"/>
    <w:rsid w:val="00C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DDF0C"/>
  <w15:chartTrackingRefBased/>
  <w15:docId w15:val="{45C11DDC-3C2D-C34C-9C72-24F86DB6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2E"/>
    <w:pPr>
      <w:suppressAutoHyphens/>
      <w:spacing w:line="276" w:lineRule="auto"/>
    </w:pPr>
    <w:rPr>
      <w:rFonts w:ascii="Arial" w:eastAsia="SimSu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BB2317"/>
    <w:pPr>
      <w:suppressAutoHyphens w:val="0"/>
      <w:spacing w:line="480" w:lineRule="auto"/>
      <w:jc w:val="both"/>
    </w:pPr>
    <w:rPr>
      <w:rFonts w:eastAsia="Times New Roman" w:cs="Times New Roman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1005</Characters>
  <Application>Microsoft Office Word</Application>
  <DocSecurity>0</DocSecurity>
  <Lines>21</Lines>
  <Paragraphs>6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Mihaljevic</dc:creator>
  <cp:keywords/>
  <dc:description/>
  <cp:lastModifiedBy>Ljubica Mihaljevic</cp:lastModifiedBy>
  <cp:revision>2</cp:revision>
  <dcterms:created xsi:type="dcterms:W3CDTF">2022-12-01T15:50:00Z</dcterms:created>
  <dcterms:modified xsi:type="dcterms:W3CDTF">2022-12-01T15:51:00Z</dcterms:modified>
</cp:coreProperties>
</file>