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A8A9" w14:textId="7205BEEF" w:rsidR="008D0254" w:rsidRPr="00846E14" w:rsidRDefault="008D0254" w:rsidP="008D0254">
      <w:pPr>
        <w:spacing w:line="276" w:lineRule="auto"/>
        <w:jc w:val="center"/>
        <w:rPr>
          <w:rFonts w:eastAsia="Times New Roman"/>
          <w:b/>
          <w:sz w:val="28"/>
          <w:szCs w:val="28"/>
        </w:rPr>
      </w:pPr>
      <w:r>
        <w:rPr>
          <w:rFonts w:eastAsia="Times New Roman"/>
          <w:b/>
          <w:sz w:val="28"/>
          <w:szCs w:val="28"/>
        </w:rPr>
        <w:t>Supplementary Material: “</w:t>
      </w:r>
      <w:r w:rsidRPr="00846E14">
        <w:rPr>
          <w:rFonts w:eastAsia="Times New Roman"/>
          <w:b/>
          <w:sz w:val="28"/>
          <w:szCs w:val="28"/>
        </w:rPr>
        <w:t>Model-based whole-brain perturbational landscape of neurodegenerative diseases</w:t>
      </w:r>
      <w:r>
        <w:rPr>
          <w:rFonts w:eastAsia="Times New Roman"/>
          <w:b/>
          <w:sz w:val="28"/>
          <w:szCs w:val="28"/>
        </w:rPr>
        <w:t>”</w:t>
      </w:r>
    </w:p>
    <w:p w14:paraId="568FD4A0" w14:textId="77777777" w:rsidR="008D0254" w:rsidRDefault="008D0254" w:rsidP="008D0254">
      <w:pPr>
        <w:spacing w:line="276" w:lineRule="auto"/>
        <w:jc w:val="both"/>
        <w:rPr>
          <w:rFonts w:eastAsia="Times New Roman"/>
          <w:sz w:val="22"/>
          <w:szCs w:val="22"/>
          <w:vertAlign w:val="superscript"/>
        </w:rPr>
      </w:pPr>
      <w:r w:rsidRPr="003B593F">
        <w:rPr>
          <w:rFonts w:eastAsia="Times New Roman"/>
          <w:sz w:val="22"/>
          <w:szCs w:val="22"/>
        </w:rPr>
        <w:t>Yonatan Sanz Perl</w:t>
      </w:r>
      <w:r w:rsidRPr="003B593F">
        <w:rPr>
          <w:rFonts w:eastAsia="Times New Roman"/>
          <w:sz w:val="22"/>
          <w:szCs w:val="22"/>
          <w:vertAlign w:val="superscript"/>
        </w:rPr>
        <w:t>1,2,3,4*</w:t>
      </w:r>
      <w:r w:rsidRPr="003B593F">
        <w:rPr>
          <w:rFonts w:eastAsia="Times New Roman"/>
          <w:sz w:val="22"/>
          <w:szCs w:val="22"/>
        </w:rPr>
        <w:t>, Sol Fittipaldi</w:t>
      </w:r>
      <w:r w:rsidRPr="003B593F">
        <w:rPr>
          <w:rFonts w:eastAsia="Times New Roman"/>
          <w:sz w:val="22"/>
          <w:szCs w:val="22"/>
          <w:vertAlign w:val="superscript"/>
        </w:rPr>
        <w:t>2,3</w:t>
      </w:r>
      <w:r w:rsidRPr="003B593F">
        <w:rPr>
          <w:rFonts w:eastAsia="Times New Roman"/>
          <w:sz w:val="22"/>
          <w:szCs w:val="22"/>
        </w:rPr>
        <w:t>, Cecilia González Campo</w:t>
      </w:r>
      <w:r w:rsidRPr="003B593F">
        <w:rPr>
          <w:rFonts w:eastAsia="Times New Roman"/>
          <w:sz w:val="22"/>
          <w:szCs w:val="22"/>
          <w:vertAlign w:val="superscript"/>
        </w:rPr>
        <w:t>2,3</w:t>
      </w:r>
      <w:r w:rsidRPr="003B593F">
        <w:rPr>
          <w:rFonts w:eastAsia="Times New Roman"/>
          <w:sz w:val="22"/>
          <w:szCs w:val="22"/>
        </w:rPr>
        <w:t>, Sebastián Moguilner</w:t>
      </w:r>
      <w:r w:rsidRPr="003B593F">
        <w:rPr>
          <w:rFonts w:eastAsia="Times New Roman"/>
          <w:sz w:val="22"/>
          <w:szCs w:val="22"/>
          <w:vertAlign w:val="superscript"/>
        </w:rPr>
        <w:t>5,6</w:t>
      </w:r>
      <w:r w:rsidRPr="003B593F">
        <w:rPr>
          <w:rFonts w:eastAsia="Times New Roman"/>
          <w:sz w:val="22"/>
          <w:szCs w:val="22"/>
        </w:rPr>
        <w:t xml:space="preserve"> Josephine Cruzat</w:t>
      </w:r>
      <w:r w:rsidRPr="003B593F">
        <w:rPr>
          <w:rFonts w:eastAsia="Times New Roman"/>
          <w:sz w:val="22"/>
          <w:szCs w:val="22"/>
          <w:vertAlign w:val="superscript"/>
        </w:rPr>
        <w:t>4,6</w:t>
      </w:r>
      <w:r w:rsidRPr="003B593F">
        <w:rPr>
          <w:rFonts w:eastAsia="Times New Roman"/>
          <w:sz w:val="22"/>
          <w:szCs w:val="22"/>
        </w:rPr>
        <w:t xml:space="preserve">, </w:t>
      </w:r>
      <w:r w:rsidRPr="00CF74C7">
        <w:rPr>
          <w:rFonts w:eastAsia="Times New Roman"/>
          <w:sz w:val="22"/>
          <w:szCs w:val="22"/>
        </w:rPr>
        <w:t>Matias E</w:t>
      </w:r>
      <w:r>
        <w:rPr>
          <w:rFonts w:eastAsia="Times New Roman"/>
          <w:sz w:val="22"/>
          <w:szCs w:val="22"/>
        </w:rPr>
        <w:t>.</w:t>
      </w:r>
      <w:r w:rsidRPr="00CF74C7">
        <w:rPr>
          <w:rFonts w:eastAsia="Times New Roman"/>
          <w:sz w:val="22"/>
          <w:szCs w:val="22"/>
        </w:rPr>
        <w:t xml:space="preserve"> Fraile-Vazquez</w:t>
      </w:r>
      <w:r w:rsidRPr="003B593F">
        <w:rPr>
          <w:rFonts w:eastAsia="Times New Roman"/>
          <w:sz w:val="22"/>
          <w:szCs w:val="22"/>
          <w:vertAlign w:val="superscript"/>
        </w:rPr>
        <w:t>3</w:t>
      </w:r>
      <w:r>
        <w:rPr>
          <w:rFonts w:eastAsia="Times New Roman"/>
          <w:sz w:val="22"/>
          <w:szCs w:val="22"/>
        </w:rPr>
        <w:t xml:space="preserve">, </w:t>
      </w:r>
      <w:r w:rsidRPr="003B593F">
        <w:rPr>
          <w:rFonts w:eastAsia="Times New Roman"/>
          <w:sz w:val="22"/>
          <w:szCs w:val="22"/>
        </w:rPr>
        <w:t>Rubén Herzog</w:t>
      </w:r>
      <w:r w:rsidRPr="003B593F">
        <w:rPr>
          <w:rFonts w:eastAsia="Times New Roman"/>
          <w:sz w:val="22"/>
          <w:szCs w:val="22"/>
          <w:vertAlign w:val="superscript"/>
        </w:rPr>
        <w:t>6</w:t>
      </w:r>
      <w:r w:rsidRPr="003B593F">
        <w:rPr>
          <w:rFonts w:eastAsia="Times New Roman"/>
          <w:sz w:val="22"/>
          <w:szCs w:val="22"/>
        </w:rPr>
        <w:t xml:space="preserve">, Morten </w:t>
      </w:r>
      <w:r>
        <w:rPr>
          <w:rFonts w:eastAsia="Times New Roman"/>
          <w:sz w:val="22"/>
          <w:szCs w:val="22"/>
        </w:rPr>
        <w:t xml:space="preserve">L. </w:t>
      </w:r>
      <w:r w:rsidRPr="003B593F">
        <w:rPr>
          <w:rFonts w:eastAsia="Times New Roman"/>
          <w:sz w:val="22"/>
          <w:szCs w:val="22"/>
        </w:rPr>
        <w:t>Kringelbach</w:t>
      </w:r>
      <w:r w:rsidRPr="003B593F">
        <w:rPr>
          <w:rFonts w:eastAsia="Times New Roman"/>
          <w:sz w:val="22"/>
          <w:szCs w:val="22"/>
          <w:vertAlign w:val="superscript"/>
        </w:rPr>
        <w:t>7,8,9,10</w:t>
      </w:r>
      <w:r w:rsidRPr="003B593F">
        <w:rPr>
          <w:rFonts w:eastAsia="Times New Roman"/>
          <w:sz w:val="22"/>
          <w:szCs w:val="22"/>
        </w:rPr>
        <w:t>, Gustavo Deco</w:t>
      </w:r>
      <w:r w:rsidRPr="003B593F">
        <w:rPr>
          <w:rFonts w:eastAsia="Times New Roman"/>
          <w:sz w:val="22"/>
          <w:szCs w:val="22"/>
          <w:vertAlign w:val="superscript"/>
        </w:rPr>
        <w:t>4,11,12,13,14</w:t>
      </w:r>
      <w:r w:rsidRPr="003B593F">
        <w:rPr>
          <w:rFonts w:eastAsia="Times New Roman"/>
          <w:sz w:val="22"/>
          <w:szCs w:val="22"/>
        </w:rPr>
        <w:t>, Pavel Prado</w:t>
      </w:r>
      <w:r w:rsidRPr="003B593F">
        <w:rPr>
          <w:rFonts w:eastAsia="Times New Roman"/>
          <w:sz w:val="22"/>
          <w:szCs w:val="22"/>
          <w:vertAlign w:val="superscript"/>
        </w:rPr>
        <w:t>6</w:t>
      </w:r>
      <w:r w:rsidRPr="003B593F">
        <w:rPr>
          <w:rFonts w:eastAsia="Times New Roman"/>
          <w:sz w:val="22"/>
          <w:szCs w:val="22"/>
        </w:rPr>
        <w:t xml:space="preserve">, </w:t>
      </w:r>
      <w:proofErr w:type="spellStart"/>
      <w:r w:rsidRPr="003B593F">
        <w:rPr>
          <w:rFonts w:eastAsia="Times New Roman"/>
          <w:sz w:val="22"/>
          <w:szCs w:val="22"/>
        </w:rPr>
        <w:t>Agustín</w:t>
      </w:r>
      <w:proofErr w:type="spellEnd"/>
      <w:r w:rsidRPr="003B593F">
        <w:rPr>
          <w:rFonts w:eastAsia="Times New Roman"/>
          <w:sz w:val="22"/>
          <w:szCs w:val="22"/>
        </w:rPr>
        <w:t xml:space="preserve"> Ibañez</w:t>
      </w:r>
      <w:r w:rsidRPr="003B593F">
        <w:rPr>
          <w:rFonts w:eastAsia="Times New Roman"/>
          <w:sz w:val="22"/>
          <w:szCs w:val="22"/>
          <w:vertAlign w:val="superscript"/>
        </w:rPr>
        <w:t>2,3,5,6,15</w:t>
      </w:r>
      <w:r w:rsidRPr="003B593F">
        <w:rPr>
          <w:rFonts w:eastAsia="Times New Roman"/>
          <w:sz w:val="22"/>
          <w:szCs w:val="22"/>
        </w:rPr>
        <w:t>, Enzo Tagliazucchi</w:t>
      </w:r>
      <w:r w:rsidRPr="003B593F">
        <w:rPr>
          <w:rFonts w:eastAsia="Times New Roman"/>
          <w:sz w:val="22"/>
          <w:szCs w:val="22"/>
          <w:vertAlign w:val="superscript"/>
        </w:rPr>
        <w:t>1,2,3,6</w:t>
      </w:r>
    </w:p>
    <w:p w14:paraId="66DCEA03" w14:textId="77777777" w:rsidR="008D0254" w:rsidRPr="003B593F" w:rsidRDefault="008D0254" w:rsidP="008D0254">
      <w:pPr>
        <w:spacing w:line="276" w:lineRule="auto"/>
        <w:jc w:val="both"/>
        <w:rPr>
          <w:rFonts w:eastAsia="Times New Roman"/>
          <w:b/>
          <w:sz w:val="22"/>
          <w:szCs w:val="22"/>
        </w:rPr>
      </w:pPr>
    </w:p>
    <w:p w14:paraId="440A5539"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1</w:t>
      </w:r>
      <w:r w:rsidRPr="0095524C">
        <w:rPr>
          <w:rFonts w:eastAsia="Times New Roman"/>
          <w:sz w:val="18"/>
          <w:szCs w:val="18"/>
        </w:rPr>
        <w:t xml:space="preserve">Department of Physics, University of Buenos Aires, </w:t>
      </w:r>
      <w:r w:rsidRPr="001C0386">
        <w:rPr>
          <w:rFonts w:eastAsia="Times New Roman"/>
          <w:sz w:val="18"/>
          <w:szCs w:val="18"/>
        </w:rPr>
        <w:t>Buenos Aires 1428, Argentina</w:t>
      </w:r>
    </w:p>
    <w:p w14:paraId="5B744745"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2</w:t>
      </w:r>
      <w:r w:rsidRPr="0095524C">
        <w:rPr>
          <w:rFonts w:eastAsia="Times New Roman"/>
          <w:sz w:val="18"/>
          <w:szCs w:val="18"/>
        </w:rPr>
        <w:t>National Scientific and Technical Research Council (CONICET), CABA, Buenos Aires,</w:t>
      </w:r>
      <w:r>
        <w:rPr>
          <w:rFonts w:eastAsia="Times New Roman"/>
          <w:sz w:val="18"/>
          <w:szCs w:val="18"/>
        </w:rPr>
        <w:t xml:space="preserve"> 1425,</w:t>
      </w:r>
      <w:r w:rsidRPr="0095524C">
        <w:rPr>
          <w:rFonts w:eastAsia="Times New Roman"/>
          <w:sz w:val="18"/>
          <w:szCs w:val="18"/>
        </w:rPr>
        <w:t xml:space="preserve"> Argentina</w:t>
      </w:r>
    </w:p>
    <w:p w14:paraId="16DEFA8F" w14:textId="77777777" w:rsidR="008D0254" w:rsidRDefault="008D0254" w:rsidP="008D0254">
      <w:pPr>
        <w:spacing w:line="276" w:lineRule="auto"/>
        <w:rPr>
          <w:rFonts w:eastAsia="Times New Roman"/>
          <w:sz w:val="18"/>
          <w:szCs w:val="18"/>
          <w:lang w:val="es-AR"/>
        </w:rPr>
      </w:pPr>
      <w:r w:rsidRPr="0095524C">
        <w:rPr>
          <w:rFonts w:eastAsia="Times New Roman"/>
          <w:sz w:val="18"/>
          <w:szCs w:val="18"/>
          <w:vertAlign w:val="superscript"/>
          <w:lang w:val="es-AR"/>
        </w:rPr>
        <w:t>3</w:t>
      </w:r>
      <w:r w:rsidRPr="0095524C">
        <w:rPr>
          <w:rFonts w:eastAsia="Times New Roman"/>
          <w:sz w:val="18"/>
          <w:szCs w:val="18"/>
          <w:lang w:val="es-AR"/>
        </w:rPr>
        <w:t xml:space="preserve">Cognitive </w:t>
      </w:r>
      <w:proofErr w:type="spellStart"/>
      <w:r w:rsidRPr="0095524C">
        <w:rPr>
          <w:rFonts w:eastAsia="Times New Roman"/>
          <w:sz w:val="18"/>
          <w:szCs w:val="18"/>
          <w:lang w:val="es-AR"/>
        </w:rPr>
        <w:t>Neuroscience</w:t>
      </w:r>
      <w:proofErr w:type="spellEnd"/>
      <w:r w:rsidRPr="0095524C">
        <w:rPr>
          <w:rFonts w:eastAsia="Times New Roman"/>
          <w:sz w:val="18"/>
          <w:szCs w:val="18"/>
          <w:lang w:val="es-AR"/>
        </w:rPr>
        <w:t xml:space="preserve"> Center (CNC), Universidad de San Andrés, </w:t>
      </w:r>
      <w:r w:rsidRPr="001C0386">
        <w:rPr>
          <w:rFonts w:eastAsia="Times New Roman"/>
          <w:sz w:val="18"/>
          <w:szCs w:val="18"/>
          <w:lang w:val="es-AR"/>
        </w:rPr>
        <w:t xml:space="preserve">Buenos Aires, C1011ACC, Argentina </w:t>
      </w:r>
    </w:p>
    <w:p w14:paraId="033F0749"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4</w:t>
      </w:r>
      <w:r w:rsidRPr="0095524C">
        <w:rPr>
          <w:rFonts w:eastAsia="Times New Roman"/>
          <w:sz w:val="18"/>
          <w:szCs w:val="18"/>
        </w:rPr>
        <w:t xml:space="preserve">Center for Brain and Cognition, Computational Neuroscience Group, </w:t>
      </w:r>
      <w:proofErr w:type="spellStart"/>
      <w:r w:rsidRPr="0095524C">
        <w:rPr>
          <w:rFonts w:eastAsia="Times New Roman"/>
          <w:sz w:val="18"/>
          <w:szCs w:val="18"/>
        </w:rPr>
        <w:t>Universitat</w:t>
      </w:r>
      <w:proofErr w:type="spellEnd"/>
      <w:r w:rsidRPr="0095524C">
        <w:rPr>
          <w:rFonts w:eastAsia="Times New Roman"/>
          <w:sz w:val="18"/>
          <w:szCs w:val="18"/>
        </w:rPr>
        <w:t xml:space="preserve"> </w:t>
      </w:r>
      <w:proofErr w:type="spellStart"/>
      <w:r w:rsidRPr="0095524C">
        <w:rPr>
          <w:rFonts w:eastAsia="Times New Roman"/>
          <w:sz w:val="18"/>
          <w:szCs w:val="18"/>
        </w:rPr>
        <w:t>Pompeu</w:t>
      </w:r>
      <w:proofErr w:type="spellEnd"/>
      <w:r w:rsidRPr="0095524C">
        <w:rPr>
          <w:rFonts w:eastAsia="Times New Roman"/>
          <w:sz w:val="18"/>
          <w:szCs w:val="18"/>
        </w:rPr>
        <w:t xml:space="preserve"> </w:t>
      </w:r>
      <w:proofErr w:type="spellStart"/>
      <w:r w:rsidRPr="0095524C">
        <w:rPr>
          <w:rFonts w:eastAsia="Times New Roman"/>
          <w:sz w:val="18"/>
          <w:szCs w:val="18"/>
        </w:rPr>
        <w:t>Fabra</w:t>
      </w:r>
      <w:proofErr w:type="spellEnd"/>
      <w:r>
        <w:rPr>
          <w:rFonts w:eastAsia="Times New Roman"/>
          <w:sz w:val="18"/>
          <w:szCs w:val="18"/>
        </w:rPr>
        <w:t>,</w:t>
      </w:r>
      <w:r w:rsidRPr="001C0386">
        <w:t xml:space="preserve"> </w:t>
      </w:r>
      <w:r w:rsidRPr="001C0386">
        <w:rPr>
          <w:rFonts w:eastAsia="Times New Roman"/>
          <w:sz w:val="18"/>
          <w:szCs w:val="18"/>
        </w:rPr>
        <w:t>Barcelona, 08018; Spain</w:t>
      </w:r>
    </w:p>
    <w:p w14:paraId="24072C00"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5</w:t>
      </w:r>
      <w:r w:rsidRPr="0095524C">
        <w:rPr>
          <w:rFonts w:eastAsia="Times New Roman"/>
          <w:sz w:val="18"/>
          <w:szCs w:val="18"/>
        </w:rPr>
        <w:t>Global Brain Health Institute, University of California, San Francisco, CA94158, US</w:t>
      </w:r>
    </w:p>
    <w:p w14:paraId="422FC37C"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6</w:t>
      </w:r>
      <w:r w:rsidRPr="0095524C">
        <w:rPr>
          <w:rFonts w:eastAsia="Times New Roman"/>
          <w:sz w:val="18"/>
          <w:szCs w:val="18"/>
        </w:rPr>
        <w:t>Latin American Brain Health Institute (</w:t>
      </w:r>
      <w:proofErr w:type="spellStart"/>
      <w:r w:rsidRPr="0095524C">
        <w:rPr>
          <w:rFonts w:eastAsia="Times New Roman"/>
          <w:sz w:val="18"/>
          <w:szCs w:val="18"/>
        </w:rPr>
        <w:t>BrainLat</w:t>
      </w:r>
      <w:proofErr w:type="spellEnd"/>
      <w:r w:rsidRPr="0095524C">
        <w:rPr>
          <w:rFonts w:eastAsia="Times New Roman"/>
          <w:sz w:val="18"/>
          <w:szCs w:val="18"/>
        </w:rPr>
        <w:t>), Universidad Adolfo Ibáñez, Santiago, 8320000, Chile</w:t>
      </w:r>
    </w:p>
    <w:p w14:paraId="3D6B4177"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7</w:t>
      </w:r>
      <w:r w:rsidRPr="0095524C">
        <w:rPr>
          <w:rFonts w:eastAsia="Times New Roman"/>
          <w:sz w:val="18"/>
          <w:szCs w:val="18"/>
        </w:rPr>
        <w:t xml:space="preserve">Department of Psychiatry, University of Oxford, Oxford, </w:t>
      </w:r>
      <w:r w:rsidRPr="00E82C89">
        <w:rPr>
          <w:rFonts w:eastAsia="Times New Roman"/>
          <w:sz w:val="18"/>
          <w:szCs w:val="18"/>
        </w:rPr>
        <w:t>2JD</w:t>
      </w:r>
      <w:r>
        <w:rPr>
          <w:rFonts w:eastAsia="Times New Roman"/>
          <w:sz w:val="18"/>
          <w:szCs w:val="18"/>
        </w:rPr>
        <w:t xml:space="preserve">, </w:t>
      </w:r>
      <w:r w:rsidRPr="0095524C">
        <w:rPr>
          <w:rFonts w:eastAsia="Times New Roman"/>
          <w:sz w:val="18"/>
          <w:szCs w:val="18"/>
        </w:rPr>
        <w:t>United Kingdom</w:t>
      </w:r>
    </w:p>
    <w:p w14:paraId="56BB4EC4"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8</w:t>
      </w:r>
      <w:r w:rsidRPr="0095524C">
        <w:rPr>
          <w:rFonts w:eastAsia="Times New Roman"/>
          <w:sz w:val="18"/>
          <w:szCs w:val="18"/>
        </w:rPr>
        <w:t xml:space="preserve">Center for Music in the Brain, Department of Clinical Medicine, Aarhus University, </w:t>
      </w:r>
      <w:proofErr w:type="spellStart"/>
      <w:r w:rsidRPr="0095524C">
        <w:rPr>
          <w:rFonts w:eastAsia="Times New Roman"/>
          <w:sz w:val="18"/>
          <w:szCs w:val="18"/>
        </w:rPr>
        <w:t>Århus</w:t>
      </w:r>
      <w:proofErr w:type="spellEnd"/>
      <w:r w:rsidRPr="0095524C">
        <w:rPr>
          <w:rFonts w:eastAsia="Times New Roman"/>
          <w:sz w:val="18"/>
          <w:szCs w:val="18"/>
        </w:rPr>
        <w:t>,</w:t>
      </w:r>
      <w:r>
        <w:rPr>
          <w:rFonts w:eastAsia="Times New Roman"/>
          <w:sz w:val="18"/>
          <w:szCs w:val="18"/>
        </w:rPr>
        <w:t xml:space="preserve"> </w:t>
      </w:r>
      <w:r w:rsidRPr="006D4D37">
        <w:rPr>
          <w:rFonts w:eastAsia="Times New Roman"/>
          <w:sz w:val="18"/>
          <w:szCs w:val="18"/>
        </w:rPr>
        <w:t>8000,</w:t>
      </w:r>
      <w:r w:rsidRPr="0095524C">
        <w:rPr>
          <w:rFonts w:eastAsia="Times New Roman"/>
          <w:sz w:val="18"/>
          <w:szCs w:val="18"/>
        </w:rPr>
        <w:t xml:space="preserve"> Denmark</w:t>
      </w:r>
    </w:p>
    <w:p w14:paraId="6AC99B8E"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9</w:t>
      </w:r>
      <w:r w:rsidRPr="0095524C">
        <w:rPr>
          <w:rFonts w:eastAsia="Times New Roman"/>
          <w:sz w:val="18"/>
          <w:szCs w:val="18"/>
        </w:rPr>
        <w:t xml:space="preserve">Life and Health Sciences Research Institute (ICVS), School of Medicine, University of Minho, </w:t>
      </w:r>
      <w:r w:rsidRPr="00D16A49">
        <w:rPr>
          <w:rFonts w:eastAsia="Times New Roman"/>
          <w:sz w:val="18"/>
          <w:szCs w:val="18"/>
        </w:rPr>
        <w:t>4710-057 Braga</w:t>
      </w:r>
      <w:r w:rsidRPr="0095524C">
        <w:rPr>
          <w:rFonts w:eastAsia="Times New Roman"/>
          <w:sz w:val="18"/>
          <w:szCs w:val="18"/>
        </w:rPr>
        <w:t>, Portugal</w:t>
      </w:r>
    </w:p>
    <w:p w14:paraId="53617512"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10</w:t>
      </w:r>
      <w:r w:rsidRPr="0095524C">
        <w:rPr>
          <w:rFonts w:eastAsia="Times New Roman"/>
          <w:sz w:val="18"/>
          <w:szCs w:val="18"/>
        </w:rPr>
        <w:t xml:space="preserve">Centre for Eudaimonia and Human Flourishing, University of Oxford, Oxford, </w:t>
      </w:r>
      <w:r w:rsidRPr="006D4D37">
        <w:rPr>
          <w:rFonts w:eastAsia="Times New Roman"/>
          <w:sz w:val="18"/>
          <w:szCs w:val="18"/>
        </w:rPr>
        <w:t>; Oxford OX1 3JA</w:t>
      </w:r>
      <w:r>
        <w:rPr>
          <w:rFonts w:eastAsia="Times New Roman"/>
          <w:sz w:val="18"/>
          <w:szCs w:val="18"/>
        </w:rPr>
        <w:t>,</w:t>
      </w:r>
      <w:r w:rsidRPr="006D4D37">
        <w:rPr>
          <w:rFonts w:eastAsia="Times New Roman"/>
          <w:sz w:val="18"/>
          <w:szCs w:val="18"/>
        </w:rPr>
        <w:t xml:space="preserve"> </w:t>
      </w:r>
      <w:r w:rsidRPr="0095524C">
        <w:rPr>
          <w:rFonts w:eastAsia="Times New Roman"/>
          <w:sz w:val="18"/>
          <w:szCs w:val="18"/>
        </w:rPr>
        <w:t>United Kingdom</w:t>
      </w:r>
    </w:p>
    <w:p w14:paraId="5CD50F53"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11</w:t>
      </w:r>
      <w:r w:rsidRPr="0095524C">
        <w:rPr>
          <w:rFonts w:eastAsia="Times New Roman"/>
          <w:sz w:val="18"/>
          <w:szCs w:val="18"/>
        </w:rPr>
        <w:t xml:space="preserve">Department of Information and Communication Technologies, </w:t>
      </w:r>
      <w:proofErr w:type="spellStart"/>
      <w:r w:rsidRPr="0095524C">
        <w:rPr>
          <w:rFonts w:eastAsia="Times New Roman"/>
          <w:sz w:val="18"/>
          <w:szCs w:val="18"/>
        </w:rPr>
        <w:t>Universitat</w:t>
      </w:r>
      <w:proofErr w:type="spellEnd"/>
      <w:r w:rsidRPr="0095524C">
        <w:rPr>
          <w:rFonts w:eastAsia="Times New Roman"/>
          <w:sz w:val="18"/>
          <w:szCs w:val="18"/>
        </w:rPr>
        <w:t xml:space="preserve"> </w:t>
      </w:r>
      <w:proofErr w:type="spellStart"/>
      <w:r w:rsidRPr="0095524C">
        <w:rPr>
          <w:rFonts w:eastAsia="Times New Roman"/>
          <w:sz w:val="18"/>
          <w:szCs w:val="18"/>
        </w:rPr>
        <w:t>Pompeu</w:t>
      </w:r>
      <w:proofErr w:type="spellEnd"/>
      <w:r w:rsidRPr="0095524C">
        <w:rPr>
          <w:rFonts w:eastAsia="Times New Roman"/>
          <w:sz w:val="18"/>
          <w:szCs w:val="18"/>
        </w:rPr>
        <w:t xml:space="preserve"> </w:t>
      </w:r>
      <w:proofErr w:type="spellStart"/>
      <w:r w:rsidRPr="0095524C">
        <w:rPr>
          <w:rFonts w:eastAsia="Times New Roman"/>
          <w:sz w:val="18"/>
          <w:szCs w:val="18"/>
        </w:rPr>
        <w:t>Fabra</w:t>
      </w:r>
      <w:proofErr w:type="spellEnd"/>
      <w:r w:rsidRPr="0095524C">
        <w:rPr>
          <w:rFonts w:eastAsia="Times New Roman"/>
          <w:sz w:val="18"/>
          <w:szCs w:val="18"/>
        </w:rPr>
        <w:t xml:space="preserve">, Barcelona, </w:t>
      </w:r>
      <w:r w:rsidRPr="001C0386">
        <w:rPr>
          <w:rFonts w:eastAsia="Times New Roman"/>
          <w:sz w:val="18"/>
          <w:szCs w:val="18"/>
        </w:rPr>
        <w:t>08018</w:t>
      </w:r>
      <w:r>
        <w:rPr>
          <w:rFonts w:eastAsia="Times New Roman"/>
          <w:sz w:val="18"/>
          <w:szCs w:val="18"/>
        </w:rPr>
        <w:t>,</w:t>
      </w:r>
      <w:r w:rsidRPr="0095524C">
        <w:rPr>
          <w:rFonts w:eastAsia="Times New Roman"/>
          <w:sz w:val="18"/>
          <w:szCs w:val="18"/>
        </w:rPr>
        <w:t>Spain</w:t>
      </w:r>
    </w:p>
    <w:p w14:paraId="74B9D08B" w14:textId="77777777" w:rsidR="008D0254" w:rsidRPr="0095524C" w:rsidRDefault="008D0254" w:rsidP="008D0254">
      <w:pPr>
        <w:spacing w:line="276" w:lineRule="auto"/>
        <w:rPr>
          <w:rFonts w:eastAsia="Times New Roman"/>
          <w:sz w:val="18"/>
          <w:szCs w:val="18"/>
          <w:lang w:val="es-AR"/>
        </w:rPr>
      </w:pPr>
      <w:r w:rsidRPr="0095524C">
        <w:rPr>
          <w:rFonts w:eastAsia="Times New Roman"/>
          <w:sz w:val="18"/>
          <w:szCs w:val="18"/>
          <w:vertAlign w:val="superscript"/>
          <w:lang w:val="es-AR"/>
        </w:rPr>
        <w:t>12</w:t>
      </w:r>
      <w:r w:rsidRPr="0095524C">
        <w:rPr>
          <w:rFonts w:eastAsia="Times New Roman"/>
          <w:sz w:val="18"/>
          <w:szCs w:val="18"/>
          <w:lang w:val="es-AR"/>
        </w:rPr>
        <w:t xml:space="preserve">Institució Catalana de la Recerca i </w:t>
      </w:r>
      <w:proofErr w:type="spellStart"/>
      <w:r w:rsidRPr="0095524C">
        <w:rPr>
          <w:rFonts w:eastAsia="Times New Roman"/>
          <w:sz w:val="18"/>
          <w:szCs w:val="18"/>
          <w:lang w:val="es-AR"/>
        </w:rPr>
        <w:t>Estudis</w:t>
      </w:r>
      <w:proofErr w:type="spellEnd"/>
      <w:r w:rsidRPr="0095524C">
        <w:rPr>
          <w:rFonts w:eastAsia="Times New Roman"/>
          <w:sz w:val="18"/>
          <w:szCs w:val="18"/>
          <w:lang w:val="es-AR"/>
        </w:rPr>
        <w:t xml:space="preserve"> </w:t>
      </w:r>
      <w:proofErr w:type="spellStart"/>
      <w:r w:rsidRPr="0095524C">
        <w:rPr>
          <w:rFonts w:eastAsia="Times New Roman"/>
          <w:sz w:val="18"/>
          <w:szCs w:val="18"/>
          <w:lang w:val="es-AR"/>
        </w:rPr>
        <w:t>Avancats</w:t>
      </w:r>
      <w:proofErr w:type="spellEnd"/>
      <w:r w:rsidRPr="0095524C">
        <w:rPr>
          <w:rFonts w:eastAsia="Times New Roman"/>
          <w:sz w:val="18"/>
          <w:szCs w:val="18"/>
          <w:lang w:val="es-AR"/>
        </w:rPr>
        <w:t xml:space="preserve"> (ICREA), Barcelona, </w:t>
      </w:r>
      <w:r w:rsidRPr="006D4D37">
        <w:rPr>
          <w:rFonts w:eastAsia="Times New Roman"/>
          <w:sz w:val="18"/>
          <w:szCs w:val="18"/>
          <w:lang w:val="es-AR"/>
        </w:rPr>
        <w:t>08010</w:t>
      </w:r>
      <w:r>
        <w:rPr>
          <w:rFonts w:eastAsia="Times New Roman"/>
          <w:sz w:val="18"/>
          <w:szCs w:val="18"/>
          <w:lang w:val="es-AR"/>
        </w:rPr>
        <w:t xml:space="preserve">, </w:t>
      </w:r>
      <w:proofErr w:type="spellStart"/>
      <w:r w:rsidRPr="0095524C">
        <w:rPr>
          <w:rFonts w:eastAsia="Times New Roman"/>
          <w:sz w:val="18"/>
          <w:szCs w:val="18"/>
          <w:lang w:val="es-AR"/>
        </w:rPr>
        <w:t>Spain</w:t>
      </w:r>
      <w:proofErr w:type="spellEnd"/>
    </w:p>
    <w:p w14:paraId="17826C32"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13</w:t>
      </w:r>
      <w:r w:rsidRPr="0095524C">
        <w:rPr>
          <w:rFonts w:eastAsia="Times New Roman"/>
          <w:sz w:val="18"/>
          <w:szCs w:val="18"/>
        </w:rPr>
        <w:t xml:space="preserve">Department of Neuropsychology, Max Planck Institute for Human Cognitive and Brain Sciences, Leipzig, </w:t>
      </w:r>
      <w:r w:rsidRPr="006D4D37">
        <w:rPr>
          <w:rFonts w:eastAsia="Times New Roman"/>
          <w:sz w:val="18"/>
          <w:szCs w:val="18"/>
        </w:rPr>
        <w:t>04103</w:t>
      </w:r>
      <w:r>
        <w:rPr>
          <w:rFonts w:eastAsia="Times New Roman"/>
          <w:sz w:val="18"/>
          <w:szCs w:val="18"/>
        </w:rPr>
        <w:t xml:space="preserve">, </w:t>
      </w:r>
      <w:r w:rsidRPr="0095524C">
        <w:rPr>
          <w:rFonts w:eastAsia="Times New Roman"/>
          <w:sz w:val="18"/>
          <w:szCs w:val="18"/>
        </w:rPr>
        <w:t>Germany</w:t>
      </w:r>
    </w:p>
    <w:p w14:paraId="017D6BD8"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14</w:t>
      </w:r>
      <w:r w:rsidRPr="0095524C">
        <w:rPr>
          <w:rFonts w:eastAsia="Times New Roman"/>
          <w:sz w:val="18"/>
          <w:szCs w:val="18"/>
        </w:rPr>
        <w:t>School of Psychological Sciences, Monash University, Melbourne,</w:t>
      </w:r>
      <w:r w:rsidRPr="006D4D37">
        <w:t xml:space="preserve"> </w:t>
      </w:r>
      <w:r w:rsidRPr="006D4D37">
        <w:rPr>
          <w:rFonts w:eastAsia="Times New Roman"/>
          <w:sz w:val="18"/>
          <w:szCs w:val="18"/>
        </w:rPr>
        <w:t>Clayton VIC 3800</w:t>
      </w:r>
      <w:r>
        <w:rPr>
          <w:rFonts w:eastAsia="Times New Roman"/>
          <w:sz w:val="18"/>
          <w:szCs w:val="18"/>
        </w:rPr>
        <w:t>,</w:t>
      </w:r>
      <w:r w:rsidRPr="0095524C">
        <w:rPr>
          <w:rFonts w:eastAsia="Times New Roman"/>
          <w:sz w:val="18"/>
          <w:szCs w:val="18"/>
        </w:rPr>
        <w:t xml:space="preserve"> Australia</w:t>
      </w:r>
    </w:p>
    <w:p w14:paraId="439F015B" w14:textId="77777777" w:rsidR="008D0254" w:rsidRPr="0095524C" w:rsidRDefault="008D0254" w:rsidP="008D0254">
      <w:pPr>
        <w:spacing w:line="276" w:lineRule="auto"/>
        <w:rPr>
          <w:rFonts w:eastAsia="Times New Roman"/>
          <w:sz w:val="18"/>
          <w:szCs w:val="18"/>
        </w:rPr>
      </w:pPr>
      <w:r w:rsidRPr="0095524C">
        <w:rPr>
          <w:rFonts w:eastAsia="Times New Roman"/>
          <w:sz w:val="18"/>
          <w:szCs w:val="18"/>
          <w:vertAlign w:val="superscript"/>
        </w:rPr>
        <w:t>15</w:t>
      </w:r>
      <w:r w:rsidRPr="0095524C">
        <w:rPr>
          <w:rFonts w:eastAsia="Times New Roman"/>
          <w:sz w:val="18"/>
          <w:szCs w:val="18"/>
        </w:rPr>
        <w:t>Trinity College Institute of Neuroscience (TCIN), Trinity College Dublin, Dublin,</w:t>
      </w:r>
      <w:r>
        <w:rPr>
          <w:rFonts w:eastAsia="Times New Roman"/>
          <w:sz w:val="18"/>
          <w:szCs w:val="18"/>
        </w:rPr>
        <w:t xml:space="preserve"> </w:t>
      </w:r>
      <w:r w:rsidRPr="0095524C">
        <w:rPr>
          <w:rFonts w:eastAsia="Times New Roman"/>
          <w:sz w:val="18"/>
          <w:szCs w:val="18"/>
        </w:rPr>
        <w:t>D02DP21</w:t>
      </w:r>
      <w:r>
        <w:rPr>
          <w:rFonts w:eastAsia="Times New Roman"/>
          <w:sz w:val="18"/>
          <w:szCs w:val="18"/>
        </w:rPr>
        <w:t>,</w:t>
      </w:r>
      <w:r w:rsidRPr="0095524C">
        <w:rPr>
          <w:rFonts w:eastAsia="Times New Roman"/>
          <w:sz w:val="18"/>
          <w:szCs w:val="18"/>
        </w:rPr>
        <w:t xml:space="preserve"> Ireland</w:t>
      </w:r>
    </w:p>
    <w:p w14:paraId="4603C944" w14:textId="77777777" w:rsidR="008D0254" w:rsidRDefault="008D0254" w:rsidP="008D0254">
      <w:pPr>
        <w:spacing w:line="276" w:lineRule="auto"/>
        <w:rPr>
          <w:rFonts w:eastAsia="Times New Roman"/>
          <w:i/>
          <w:sz w:val="18"/>
          <w:szCs w:val="18"/>
        </w:rPr>
      </w:pPr>
    </w:p>
    <w:p w14:paraId="1A4D0667" w14:textId="5DBC3AD5" w:rsidR="008D0254" w:rsidRDefault="008D0254" w:rsidP="008D0254">
      <w:pPr>
        <w:spacing w:line="276" w:lineRule="auto"/>
        <w:rPr>
          <w:rFonts w:eastAsia="Times New Roman"/>
          <w:sz w:val="18"/>
          <w:szCs w:val="18"/>
        </w:rPr>
      </w:pPr>
      <w:r w:rsidRPr="0095524C">
        <w:rPr>
          <w:rFonts w:eastAsia="Times New Roman"/>
          <w:sz w:val="18"/>
          <w:szCs w:val="18"/>
        </w:rPr>
        <w:t xml:space="preserve">* Corresponding author: </w:t>
      </w:r>
      <w:hyperlink r:id="rId4" w:history="1">
        <w:r w:rsidRPr="006034FE">
          <w:rPr>
            <w:rStyle w:val="Hyperlink"/>
            <w:rFonts w:eastAsia="Times New Roman"/>
            <w:sz w:val="18"/>
            <w:szCs w:val="18"/>
          </w:rPr>
          <w:t>yonatan.sanz@upf.edu</w:t>
        </w:r>
      </w:hyperlink>
      <w:r>
        <w:rPr>
          <w:rFonts w:eastAsia="Times New Roman"/>
          <w:sz w:val="18"/>
          <w:szCs w:val="18"/>
        </w:rPr>
        <w:t xml:space="preserve"> </w:t>
      </w:r>
    </w:p>
    <w:p w14:paraId="1929D69F" w14:textId="311F892F" w:rsidR="008D0254" w:rsidRDefault="008D0254" w:rsidP="008D0254">
      <w:pPr>
        <w:spacing w:line="276" w:lineRule="auto"/>
        <w:rPr>
          <w:rFonts w:eastAsia="Times New Roman"/>
          <w:sz w:val="18"/>
          <w:szCs w:val="18"/>
          <w:lang w:val="en-GB"/>
        </w:rPr>
      </w:pPr>
    </w:p>
    <w:p w14:paraId="21DEA951" w14:textId="4AB651A8" w:rsidR="008D0254" w:rsidRDefault="008D0254" w:rsidP="008D0254">
      <w:pPr>
        <w:spacing w:line="276" w:lineRule="auto"/>
        <w:rPr>
          <w:rFonts w:eastAsia="Times New Roman"/>
          <w:sz w:val="18"/>
          <w:szCs w:val="18"/>
          <w:lang w:val="en-GB"/>
        </w:rPr>
      </w:pPr>
    </w:p>
    <w:p w14:paraId="4F676D47" w14:textId="4DD80F10" w:rsidR="008D0254" w:rsidRDefault="008D0254" w:rsidP="008D0254">
      <w:pPr>
        <w:spacing w:line="276" w:lineRule="auto"/>
        <w:rPr>
          <w:rFonts w:eastAsia="Times New Roman"/>
          <w:sz w:val="18"/>
          <w:szCs w:val="18"/>
          <w:lang w:val="en-GB"/>
        </w:rPr>
      </w:pPr>
    </w:p>
    <w:p w14:paraId="74C6C395" w14:textId="084A251E" w:rsidR="008D0254" w:rsidRDefault="008D0254" w:rsidP="008D0254">
      <w:pPr>
        <w:spacing w:line="276" w:lineRule="auto"/>
        <w:rPr>
          <w:rFonts w:eastAsia="Times New Roman"/>
          <w:sz w:val="18"/>
          <w:szCs w:val="18"/>
          <w:lang w:val="en-GB"/>
        </w:rPr>
      </w:pPr>
    </w:p>
    <w:p w14:paraId="1F7E9849" w14:textId="56A4FEB0" w:rsidR="008D0254" w:rsidRDefault="008D0254" w:rsidP="008D0254">
      <w:pPr>
        <w:spacing w:line="276" w:lineRule="auto"/>
        <w:rPr>
          <w:rFonts w:eastAsia="Times New Roman"/>
          <w:sz w:val="18"/>
          <w:szCs w:val="18"/>
          <w:lang w:val="en-GB"/>
        </w:rPr>
      </w:pPr>
    </w:p>
    <w:p w14:paraId="12CB7B6F" w14:textId="234B0E78" w:rsidR="008D0254" w:rsidRDefault="008D0254" w:rsidP="008D0254">
      <w:pPr>
        <w:spacing w:line="276" w:lineRule="auto"/>
        <w:rPr>
          <w:rFonts w:eastAsia="Times New Roman"/>
          <w:sz w:val="18"/>
          <w:szCs w:val="18"/>
          <w:lang w:val="en-GB"/>
        </w:rPr>
      </w:pPr>
    </w:p>
    <w:p w14:paraId="1176CD77" w14:textId="15B506BB" w:rsidR="008D0254" w:rsidRDefault="008D0254" w:rsidP="008D0254">
      <w:pPr>
        <w:spacing w:line="276" w:lineRule="auto"/>
        <w:rPr>
          <w:rFonts w:eastAsia="Times New Roman"/>
          <w:sz w:val="18"/>
          <w:szCs w:val="18"/>
          <w:lang w:val="en-GB"/>
        </w:rPr>
      </w:pPr>
    </w:p>
    <w:p w14:paraId="5CCFE5C2" w14:textId="2EAE3BAA" w:rsidR="008D0254" w:rsidRDefault="008D0254" w:rsidP="008D0254">
      <w:pPr>
        <w:spacing w:line="276" w:lineRule="auto"/>
        <w:rPr>
          <w:rFonts w:eastAsia="Times New Roman"/>
          <w:sz w:val="18"/>
          <w:szCs w:val="18"/>
          <w:lang w:val="en-GB"/>
        </w:rPr>
      </w:pPr>
    </w:p>
    <w:p w14:paraId="6D33A9B8" w14:textId="7202E430" w:rsidR="008D0254" w:rsidRDefault="008D0254" w:rsidP="008D0254">
      <w:pPr>
        <w:spacing w:line="276" w:lineRule="auto"/>
        <w:rPr>
          <w:rFonts w:eastAsia="Times New Roman"/>
          <w:sz w:val="18"/>
          <w:szCs w:val="18"/>
          <w:lang w:val="en-GB"/>
        </w:rPr>
      </w:pPr>
    </w:p>
    <w:p w14:paraId="73F8F873" w14:textId="31604D16" w:rsidR="008D0254" w:rsidRDefault="008D0254" w:rsidP="008D0254">
      <w:pPr>
        <w:spacing w:line="276" w:lineRule="auto"/>
        <w:rPr>
          <w:rFonts w:eastAsia="Times New Roman"/>
          <w:sz w:val="18"/>
          <w:szCs w:val="18"/>
          <w:lang w:val="en-GB"/>
        </w:rPr>
      </w:pPr>
    </w:p>
    <w:p w14:paraId="567A21D4" w14:textId="26709DE1" w:rsidR="008D0254" w:rsidRDefault="008D0254" w:rsidP="008D0254">
      <w:pPr>
        <w:spacing w:line="276" w:lineRule="auto"/>
        <w:rPr>
          <w:rFonts w:eastAsia="Times New Roman"/>
          <w:sz w:val="18"/>
          <w:szCs w:val="18"/>
          <w:lang w:val="en-GB"/>
        </w:rPr>
      </w:pPr>
    </w:p>
    <w:p w14:paraId="49658EBD" w14:textId="5821C5DF" w:rsidR="008D0254" w:rsidRDefault="008D0254" w:rsidP="008D0254">
      <w:pPr>
        <w:spacing w:line="276" w:lineRule="auto"/>
        <w:rPr>
          <w:rFonts w:eastAsia="Times New Roman"/>
          <w:sz w:val="18"/>
          <w:szCs w:val="18"/>
          <w:lang w:val="en-GB"/>
        </w:rPr>
      </w:pPr>
    </w:p>
    <w:p w14:paraId="22B0D45B" w14:textId="74CF6073" w:rsidR="008D0254" w:rsidRDefault="008D0254" w:rsidP="008D0254">
      <w:pPr>
        <w:spacing w:line="276" w:lineRule="auto"/>
        <w:rPr>
          <w:rFonts w:eastAsia="Times New Roman"/>
          <w:sz w:val="18"/>
          <w:szCs w:val="18"/>
          <w:lang w:val="en-GB"/>
        </w:rPr>
      </w:pPr>
    </w:p>
    <w:p w14:paraId="52B42139" w14:textId="636B74E0" w:rsidR="008D0254" w:rsidRDefault="008D0254" w:rsidP="008D0254">
      <w:pPr>
        <w:spacing w:line="276" w:lineRule="auto"/>
        <w:rPr>
          <w:rFonts w:eastAsia="Times New Roman"/>
          <w:sz w:val="18"/>
          <w:szCs w:val="18"/>
          <w:lang w:val="en-GB"/>
        </w:rPr>
      </w:pPr>
    </w:p>
    <w:p w14:paraId="2C6FA82B" w14:textId="52933796" w:rsidR="008D0254" w:rsidRDefault="008D0254" w:rsidP="008D0254">
      <w:pPr>
        <w:spacing w:line="276" w:lineRule="auto"/>
        <w:rPr>
          <w:rFonts w:eastAsia="Times New Roman"/>
          <w:sz w:val="18"/>
          <w:szCs w:val="18"/>
          <w:lang w:val="en-GB"/>
        </w:rPr>
      </w:pPr>
    </w:p>
    <w:p w14:paraId="74C857A5" w14:textId="44D75332" w:rsidR="008D0254" w:rsidRDefault="008D0254" w:rsidP="008D0254">
      <w:pPr>
        <w:spacing w:line="276" w:lineRule="auto"/>
        <w:rPr>
          <w:rFonts w:eastAsia="Times New Roman"/>
          <w:sz w:val="18"/>
          <w:szCs w:val="18"/>
          <w:lang w:val="en-GB"/>
        </w:rPr>
      </w:pPr>
    </w:p>
    <w:p w14:paraId="139F818E" w14:textId="6939D6A3" w:rsidR="008D0254" w:rsidRDefault="008D0254" w:rsidP="008D0254">
      <w:pPr>
        <w:spacing w:line="276" w:lineRule="auto"/>
        <w:rPr>
          <w:rFonts w:eastAsia="Times New Roman"/>
          <w:sz w:val="18"/>
          <w:szCs w:val="18"/>
          <w:lang w:val="en-GB"/>
        </w:rPr>
      </w:pPr>
    </w:p>
    <w:p w14:paraId="6AEC11F0" w14:textId="7D792583" w:rsidR="008D0254" w:rsidRDefault="008D0254" w:rsidP="008D0254">
      <w:pPr>
        <w:spacing w:line="276" w:lineRule="auto"/>
        <w:rPr>
          <w:rFonts w:eastAsia="Times New Roman"/>
          <w:sz w:val="18"/>
          <w:szCs w:val="18"/>
          <w:lang w:val="en-GB"/>
        </w:rPr>
      </w:pPr>
    </w:p>
    <w:p w14:paraId="2BA10036" w14:textId="5A91E790" w:rsidR="008D0254" w:rsidRDefault="008D0254" w:rsidP="008D0254">
      <w:pPr>
        <w:spacing w:line="276" w:lineRule="auto"/>
        <w:rPr>
          <w:rFonts w:eastAsia="Times New Roman"/>
          <w:sz w:val="18"/>
          <w:szCs w:val="18"/>
          <w:lang w:val="en-GB"/>
        </w:rPr>
      </w:pPr>
    </w:p>
    <w:p w14:paraId="2A6D7840" w14:textId="44AAE92B" w:rsidR="008D0254" w:rsidRDefault="008D0254" w:rsidP="008D0254">
      <w:pPr>
        <w:spacing w:line="276" w:lineRule="auto"/>
        <w:rPr>
          <w:rFonts w:eastAsia="Times New Roman"/>
          <w:sz w:val="18"/>
          <w:szCs w:val="18"/>
          <w:lang w:val="en-GB"/>
        </w:rPr>
      </w:pPr>
    </w:p>
    <w:p w14:paraId="6BC0001E" w14:textId="3FD17583" w:rsidR="008D0254" w:rsidRDefault="008D0254" w:rsidP="008D0254">
      <w:pPr>
        <w:spacing w:line="276" w:lineRule="auto"/>
        <w:rPr>
          <w:rFonts w:eastAsia="Times New Roman"/>
          <w:sz w:val="18"/>
          <w:szCs w:val="18"/>
          <w:lang w:val="en-GB"/>
        </w:rPr>
      </w:pPr>
    </w:p>
    <w:p w14:paraId="6195EABE" w14:textId="4F5B7827" w:rsidR="008D0254" w:rsidRDefault="008D0254" w:rsidP="008D0254">
      <w:pPr>
        <w:spacing w:line="276" w:lineRule="auto"/>
        <w:rPr>
          <w:rFonts w:eastAsia="Times New Roman"/>
          <w:sz w:val="18"/>
          <w:szCs w:val="18"/>
          <w:lang w:val="en-GB"/>
        </w:rPr>
      </w:pPr>
    </w:p>
    <w:p w14:paraId="031D570C" w14:textId="17A129E6" w:rsidR="008D0254" w:rsidRDefault="008D0254" w:rsidP="008D0254">
      <w:pPr>
        <w:spacing w:line="276" w:lineRule="auto"/>
        <w:rPr>
          <w:rFonts w:eastAsia="Times New Roman"/>
          <w:sz w:val="18"/>
          <w:szCs w:val="18"/>
          <w:lang w:val="en-GB"/>
        </w:rPr>
      </w:pPr>
    </w:p>
    <w:p w14:paraId="1CD11B6D" w14:textId="1D15D7ED" w:rsidR="008D0254" w:rsidRDefault="008D0254" w:rsidP="008D0254">
      <w:pPr>
        <w:spacing w:line="276" w:lineRule="auto"/>
        <w:rPr>
          <w:rFonts w:eastAsia="Times New Roman"/>
          <w:sz w:val="18"/>
          <w:szCs w:val="18"/>
          <w:lang w:val="en-GB"/>
        </w:rPr>
      </w:pPr>
    </w:p>
    <w:p w14:paraId="6A0962D5" w14:textId="05216704" w:rsidR="008D0254" w:rsidRDefault="008D0254" w:rsidP="008D0254">
      <w:pPr>
        <w:spacing w:line="276" w:lineRule="auto"/>
        <w:rPr>
          <w:rFonts w:eastAsia="Times New Roman"/>
          <w:sz w:val="18"/>
          <w:szCs w:val="18"/>
          <w:lang w:val="en-GB"/>
        </w:rPr>
      </w:pPr>
    </w:p>
    <w:p w14:paraId="6D79AB90" w14:textId="6FB7AC78" w:rsidR="008D0254" w:rsidRDefault="008D0254" w:rsidP="008D0254">
      <w:pPr>
        <w:spacing w:line="276" w:lineRule="auto"/>
        <w:rPr>
          <w:rFonts w:eastAsia="Times New Roman"/>
          <w:sz w:val="18"/>
          <w:szCs w:val="18"/>
          <w:lang w:val="en-GB"/>
        </w:rPr>
      </w:pPr>
    </w:p>
    <w:p w14:paraId="74606CDB" w14:textId="323CF1BD" w:rsidR="008D0254" w:rsidRDefault="008D0254" w:rsidP="008D0254">
      <w:pPr>
        <w:spacing w:line="276" w:lineRule="auto"/>
        <w:rPr>
          <w:rFonts w:eastAsia="Times New Roman"/>
          <w:sz w:val="18"/>
          <w:szCs w:val="18"/>
          <w:lang w:val="en-GB"/>
        </w:rPr>
      </w:pPr>
    </w:p>
    <w:p w14:paraId="6712B3F4" w14:textId="538E7EBE" w:rsidR="008D0254" w:rsidRDefault="008D0254" w:rsidP="008D0254">
      <w:pPr>
        <w:spacing w:line="276" w:lineRule="auto"/>
        <w:rPr>
          <w:rFonts w:eastAsia="Times New Roman"/>
          <w:sz w:val="18"/>
          <w:szCs w:val="18"/>
          <w:lang w:val="en-GB"/>
        </w:rPr>
      </w:pPr>
    </w:p>
    <w:p w14:paraId="1CA11678" w14:textId="1D304DFC" w:rsidR="008D0254" w:rsidRDefault="008D0254" w:rsidP="008D0254">
      <w:pPr>
        <w:spacing w:line="276" w:lineRule="auto"/>
        <w:rPr>
          <w:rFonts w:eastAsia="Times New Roman"/>
          <w:sz w:val="18"/>
          <w:szCs w:val="18"/>
          <w:lang w:val="en-GB"/>
        </w:rPr>
      </w:pPr>
      <w:r>
        <w:rPr>
          <w:rFonts w:eastAsia="Times New Roman"/>
          <w:noProof/>
          <w:sz w:val="18"/>
          <w:szCs w:val="18"/>
          <w:lang w:val="en-GB"/>
        </w:rPr>
        <w:drawing>
          <wp:inline distT="0" distB="0" distL="0" distR="0" wp14:anchorId="612C8EF7" wp14:editId="12A692F0">
            <wp:extent cx="3994150" cy="2844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7468" t="23886" r="21362" b="13535"/>
                    <a:stretch/>
                  </pic:blipFill>
                  <pic:spPr bwMode="auto">
                    <a:xfrm>
                      <a:off x="0" y="0"/>
                      <a:ext cx="3994150" cy="2844800"/>
                    </a:xfrm>
                    <a:prstGeom prst="rect">
                      <a:avLst/>
                    </a:prstGeom>
                    <a:ln>
                      <a:noFill/>
                    </a:ln>
                    <a:extLst>
                      <a:ext uri="{53640926-AAD7-44D8-BBD7-CCE9431645EC}">
                        <a14:shadowObscured xmlns:a14="http://schemas.microsoft.com/office/drawing/2010/main"/>
                      </a:ext>
                    </a:extLst>
                  </pic:spPr>
                </pic:pic>
              </a:graphicData>
            </a:graphic>
          </wp:inline>
        </w:drawing>
      </w:r>
    </w:p>
    <w:p w14:paraId="3EE27A30" w14:textId="1176527D" w:rsidR="008D0254" w:rsidRDefault="008D0254" w:rsidP="008D0254">
      <w:pPr>
        <w:spacing w:line="276" w:lineRule="auto"/>
        <w:rPr>
          <w:rFonts w:eastAsia="Times New Roman"/>
          <w:sz w:val="18"/>
          <w:szCs w:val="18"/>
          <w:lang w:val="en-GB"/>
        </w:rPr>
      </w:pPr>
    </w:p>
    <w:p w14:paraId="784F7331" w14:textId="082F598F" w:rsidR="0060120D" w:rsidRDefault="008D0254" w:rsidP="00103F12">
      <w:pPr>
        <w:spacing w:line="276" w:lineRule="auto"/>
        <w:rPr>
          <w:i/>
          <w:color w:val="222222"/>
          <w:sz w:val="24"/>
          <w:szCs w:val="24"/>
        </w:rPr>
      </w:pPr>
      <w:bookmarkStart w:id="0" w:name="_Hlk129167667"/>
      <w:r w:rsidRPr="008D0254">
        <w:rPr>
          <w:b/>
          <w:bCs/>
          <w:i/>
          <w:color w:val="222222"/>
          <w:sz w:val="24"/>
          <w:szCs w:val="24"/>
        </w:rPr>
        <w:t xml:space="preserve">Figure </w:t>
      </w:r>
      <w:r w:rsidR="00103F12">
        <w:rPr>
          <w:b/>
          <w:bCs/>
          <w:i/>
          <w:color w:val="222222"/>
          <w:sz w:val="24"/>
          <w:szCs w:val="24"/>
        </w:rPr>
        <w:t xml:space="preserve">2 </w:t>
      </w:r>
      <w:r w:rsidR="00103F12" w:rsidRPr="00103F12">
        <w:rPr>
          <w:b/>
          <w:bCs/>
          <w:i/>
          <w:color w:val="222222"/>
          <w:sz w:val="24"/>
          <w:szCs w:val="24"/>
        </w:rPr>
        <w:t>—</w:t>
      </w:r>
      <w:r w:rsidR="00103F12">
        <w:rPr>
          <w:b/>
          <w:bCs/>
          <w:i/>
          <w:color w:val="222222"/>
          <w:sz w:val="24"/>
          <w:szCs w:val="24"/>
        </w:rPr>
        <w:t xml:space="preserve"> </w:t>
      </w:r>
      <w:r w:rsidR="00103F12" w:rsidRPr="00103F12">
        <w:rPr>
          <w:b/>
          <w:bCs/>
          <w:i/>
          <w:color w:val="222222"/>
          <w:sz w:val="24"/>
          <w:szCs w:val="24"/>
        </w:rPr>
        <w:t>figure supplement 1</w:t>
      </w:r>
      <w:r w:rsidR="00103F12">
        <w:rPr>
          <w:b/>
          <w:bCs/>
          <w:i/>
          <w:color w:val="222222"/>
          <w:sz w:val="24"/>
          <w:szCs w:val="24"/>
        </w:rPr>
        <w:t>:</w:t>
      </w:r>
      <w:r>
        <w:rPr>
          <w:i/>
          <w:color w:val="222222"/>
          <w:sz w:val="24"/>
          <w:szCs w:val="24"/>
        </w:rPr>
        <w:t xml:space="preserve"> </w:t>
      </w:r>
      <w:r w:rsidRPr="00103F12">
        <w:rPr>
          <w:b/>
          <w:bCs/>
          <w:i/>
          <w:color w:val="222222"/>
          <w:sz w:val="24"/>
          <w:szCs w:val="24"/>
        </w:rPr>
        <w:t>atrophy maps</w:t>
      </w:r>
      <w:r>
        <w:rPr>
          <w:i/>
          <w:color w:val="222222"/>
          <w:sz w:val="24"/>
          <w:szCs w:val="24"/>
        </w:rPr>
        <w:t xml:space="preserve">. </w:t>
      </w:r>
      <w:r w:rsidR="00103F12" w:rsidRPr="006457B6">
        <w:rPr>
          <w:b/>
          <w:bCs/>
          <w:i/>
          <w:iCs/>
          <w:sz w:val="24"/>
          <w:szCs w:val="24"/>
        </w:rPr>
        <w:t>Voxel-based morphometry analysis</w:t>
      </w:r>
      <w:r w:rsidR="00103F12">
        <w:rPr>
          <w:b/>
          <w:bCs/>
          <w:i/>
          <w:iCs/>
          <w:sz w:val="24"/>
          <w:szCs w:val="24"/>
        </w:rPr>
        <w:t xml:space="preserve">. </w:t>
      </w:r>
      <w:r w:rsidR="00103F12" w:rsidRPr="00103F12">
        <w:rPr>
          <w:i/>
          <w:iCs/>
          <w:sz w:val="24"/>
          <w:szCs w:val="24"/>
        </w:rPr>
        <w:t xml:space="preserve">The atrophy pattern of participants with AD and </w:t>
      </w:r>
      <w:proofErr w:type="spellStart"/>
      <w:r w:rsidR="00103F12" w:rsidRPr="00103F12">
        <w:rPr>
          <w:i/>
          <w:iCs/>
          <w:sz w:val="24"/>
          <w:szCs w:val="24"/>
        </w:rPr>
        <w:t>bvFTD</w:t>
      </w:r>
      <w:proofErr w:type="spellEnd"/>
      <w:r w:rsidR="00103F12" w:rsidRPr="00103F12">
        <w:rPr>
          <w:i/>
          <w:iCs/>
          <w:sz w:val="24"/>
          <w:szCs w:val="24"/>
        </w:rPr>
        <w:t xml:space="preserve"> was calculated by comparing their grey matter W-maps with those of controls using two-sample t-tests in SPM12. The alpha level was set at p &lt; .001, cluster-corrected for multiple comparisons. Localization was derived from the AAL atlas.</w:t>
      </w:r>
      <w:r w:rsidR="00103F12">
        <w:rPr>
          <w:sz w:val="24"/>
          <w:szCs w:val="24"/>
        </w:rPr>
        <w:t xml:space="preserve"> </w:t>
      </w:r>
      <w:r>
        <w:rPr>
          <w:i/>
          <w:color w:val="222222"/>
          <w:sz w:val="24"/>
          <w:szCs w:val="24"/>
        </w:rPr>
        <w:t xml:space="preserve">The brain renders of atrophy maps of AD (upper panel) and </w:t>
      </w:r>
      <w:proofErr w:type="spellStart"/>
      <w:r>
        <w:rPr>
          <w:i/>
          <w:color w:val="222222"/>
          <w:sz w:val="24"/>
          <w:szCs w:val="24"/>
        </w:rPr>
        <w:t>bvFTD</w:t>
      </w:r>
      <w:proofErr w:type="spellEnd"/>
      <w:r>
        <w:rPr>
          <w:i/>
          <w:color w:val="222222"/>
          <w:sz w:val="24"/>
          <w:szCs w:val="24"/>
        </w:rPr>
        <w:t xml:space="preserve"> (lower panel) compared to CNT</w:t>
      </w:r>
      <w:r w:rsidR="0060120D">
        <w:rPr>
          <w:i/>
          <w:color w:val="222222"/>
          <w:sz w:val="24"/>
          <w:szCs w:val="24"/>
        </w:rPr>
        <w:t>.</w:t>
      </w:r>
      <w:r w:rsidR="00103F12">
        <w:rPr>
          <w:i/>
          <w:color w:val="222222"/>
          <w:sz w:val="24"/>
          <w:szCs w:val="24"/>
        </w:rPr>
        <w:t xml:space="preserve"> </w:t>
      </w:r>
    </w:p>
    <w:p w14:paraId="1B8B8A22" w14:textId="77777777" w:rsidR="00A25896" w:rsidRDefault="00A25896" w:rsidP="00103F12">
      <w:pPr>
        <w:spacing w:line="276" w:lineRule="auto"/>
        <w:rPr>
          <w:b/>
          <w:bCs/>
          <w:i/>
          <w:iCs/>
          <w:sz w:val="24"/>
          <w:szCs w:val="24"/>
        </w:rPr>
      </w:pPr>
    </w:p>
    <w:bookmarkEnd w:id="0"/>
    <w:p w14:paraId="7D493852" w14:textId="77777777" w:rsidR="006457B6" w:rsidRPr="006457B6" w:rsidRDefault="006457B6" w:rsidP="0060120D">
      <w:pPr>
        <w:rPr>
          <w:rFonts w:eastAsiaTheme="minorHAnsi"/>
          <w:b/>
          <w:bCs/>
          <w:i/>
          <w:iCs/>
          <w:sz w:val="24"/>
          <w:szCs w:val="24"/>
        </w:rPr>
      </w:pPr>
    </w:p>
    <w:p w14:paraId="078911CA" w14:textId="6E20FFF4" w:rsidR="0060120D" w:rsidRDefault="0060120D" w:rsidP="0060120D">
      <w:pPr>
        <w:rPr>
          <w:sz w:val="24"/>
          <w:szCs w:val="24"/>
        </w:rPr>
      </w:pPr>
    </w:p>
    <w:tbl>
      <w:tblPr>
        <w:tblW w:w="8080" w:type="dxa"/>
        <w:tblCellMar>
          <w:left w:w="70" w:type="dxa"/>
          <w:right w:w="70" w:type="dxa"/>
        </w:tblCellMar>
        <w:tblLook w:val="04A0" w:firstRow="1" w:lastRow="0" w:firstColumn="1" w:lastColumn="0" w:noHBand="0" w:noVBand="1"/>
      </w:tblPr>
      <w:tblGrid>
        <w:gridCol w:w="1820"/>
        <w:gridCol w:w="960"/>
        <w:gridCol w:w="960"/>
        <w:gridCol w:w="840"/>
        <w:gridCol w:w="840"/>
        <w:gridCol w:w="840"/>
        <w:gridCol w:w="1820"/>
      </w:tblGrid>
      <w:tr w:rsidR="00A25896" w:rsidRPr="00A25896" w14:paraId="7F105AAE" w14:textId="77777777" w:rsidTr="00A25896">
        <w:trPr>
          <w:trHeight w:val="320"/>
        </w:trPr>
        <w:tc>
          <w:tcPr>
            <w:tcW w:w="18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98DB72A"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Number</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of</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voxels</w:t>
            </w:r>
            <w:proofErr w:type="spellEnd"/>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CB88DF7" w14:textId="77777777" w:rsidR="00A25896" w:rsidRPr="00A25896" w:rsidRDefault="00A25896" w:rsidP="00A25896">
            <w:pPr>
              <w:jc w:val="center"/>
              <w:rPr>
                <w:rFonts w:eastAsia="Times New Roman"/>
                <w:i/>
                <w:iCs/>
                <w:color w:val="000000"/>
                <w:sz w:val="24"/>
                <w:szCs w:val="24"/>
                <w:lang w:val="es-AR" w:eastAsia="es-AR"/>
              </w:rPr>
            </w:pPr>
            <w:r w:rsidRPr="00A25896">
              <w:rPr>
                <w:rFonts w:eastAsia="Times New Roman"/>
                <w:i/>
                <w:iCs/>
                <w:color w:val="000000"/>
                <w:sz w:val="24"/>
                <w:szCs w:val="24"/>
                <w:lang w:val="es-AR" w:eastAsia="es-AR"/>
              </w:rPr>
              <w:t>t</w:t>
            </w:r>
            <w:r w:rsidRPr="00A25896">
              <w:rPr>
                <w:rFonts w:eastAsia="Times New Roman"/>
                <w:color w:val="000000"/>
                <w:sz w:val="24"/>
                <w:szCs w:val="24"/>
                <w:lang w:val="es-AR" w:eastAsia="es-AR"/>
              </w:rPr>
              <w:t>-</w:t>
            </w:r>
            <w:proofErr w:type="spellStart"/>
            <w:r w:rsidRPr="00A25896">
              <w:rPr>
                <w:rFonts w:eastAsia="Times New Roman"/>
                <w:color w:val="000000"/>
                <w:sz w:val="24"/>
                <w:szCs w:val="24"/>
                <w:lang w:val="es-AR" w:eastAsia="es-AR"/>
              </w:rPr>
              <w:t>value</w:t>
            </w:r>
            <w:proofErr w:type="spellEnd"/>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2B100C" w14:textId="77777777" w:rsidR="00A25896" w:rsidRPr="00A25896" w:rsidRDefault="00A25896" w:rsidP="00A25896">
            <w:pPr>
              <w:jc w:val="center"/>
              <w:rPr>
                <w:rFonts w:eastAsia="Times New Roman"/>
                <w:i/>
                <w:iCs/>
                <w:color w:val="000000"/>
                <w:sz w:val="24"/>
                <w:szCs w:val="24"/>
                <w:lang w:val="es-AR" w:eastAsia="es-AR"/>
              </w:rPr>
            </w:pPr>
            <w:r w:rsidRPr="00A25896">
              <w:rPr>
                <w:rFonts w:eastAsia="Times New Roman"/>
                <w:i/>
                <w:iCs/>
                <w:color w:val="000000"/>
                <w:sz w:val="24"/>
                <w:szCs w:val="24"/>
                <w:lang w:val="es-AR" w:eastAsia="es-AR"/>
              </w:rPr>
              <w:t>p</w:t>
            </w:r>
            <w:r w:rsidRPr="00A25896">
              <w:rPr>
                <w:rFonts w:eastAsia="Times New Roman"/>
                <w:color w:val="000000"/>
                <w:sz w:val="24"/>
                <w:szCs w:val="24"/>
                <w:lang w:val="es-AR" w:eastAsia="es-AR"/>
              </w:rPr>
              <w:t>-</w:t>
            </w:r>
            <w:proofErr w:type="spellStart"/>
            <w:r w:rsidRPr="00A25896">
              <w:rPr>
                <w:rFonts w:eastAsia="Times New Roman"/>
                <w:color w:val="000000"/>
                <w:sz w:val="24"/>
                <w:szCs w:val="24"/>
                <w:lang w:val="es-AR" w:eastAsia="es-AR"/>
              </w:rPr>
              <w:t>value</w:t>
            </w:r>
            <w:proofErr w:type="spellEnd"/>
          </w:p>
        </w:tc>
        <w:tc>
          <w:tcPr>
            <w:tcW w:w="252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2139BF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xml:space="preserve">MNI </w:t>
            </w:r>
            <w:proofErr w:type="spellStart"/>
            <w:r w:rsidRPr="00A25896">
              <w:rPr>
                <w:rFonts w:eastAsia="Times New Roman"/>
                <w:color w:val="000000"/>
                <w:sz w:val="24"/>
                <w:szCs w:val="24"/>
                <w:lang w:val="es-AR" w:eastAsia="es-AR"/>
              </w:rPr>
              <w:t>coordinates</w:t>
            </w:r>
            <w:proofErr w:type="spellEnd"/>
          </w:p>
        </w:tc>
        <w:tc>
          <w:tcPr>
            <w:tcW w:w="18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531319"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Brain</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area</w:t>
            </w:r>
            <w:proofErr w:type="spellEnd"/>
            <w:r w:rsidRPr="00A25896">
              <w:rPr>
                <w:rFonts w:eastAsia="Times New Roman"/>
                <w:color w:val="000000"/>
                <w:sz w:val="24"/>
                <w:szCs w:val="24"/>
                <w:lang w:val="es-AR" w:eastAsia="es-AR"/>
              </w:rPr>
              <w:t xml:space="preserve"> (AAL)</w:t>
            </w:r>
          </w:p>
        </w:tc>
      </w:tr>
      <w:tr w:rsidR="00A25896" w:rsidRPr="00A25896" w14:paraId="7F23D659" w14:textId="77777777" w:rsidTr="00A25896">
        <w:trPr>
          <w:trHeight w:val="320"/>
        </w:trPr>
        <w:tc>
          <w:tcPr>
            <w:tcW w:w="1820" w:type="dxa"/>
            <w:vMerge/>
            <w:tcBorders>
              <w:top w:val="single" w:sz="8" w:space="0" w:color="auto"/>
              <w:left w:val="single" w:sz="8" w:space="0" w:color="auto"/>
              <w:bottom w:val="single" w:sz="8" w:space="0" w:color="000000"/>
              <w:right w:val="single" w:sz="8" w:space="0" w:color="auto"/>
            </w:tcBorders>
            <w:vAlign w:val="center"/>
            <w:hideMark/>
          </w:tcPr>
          <w:p w14:paraId="3173B2AF" w14:textId="77777777" w:rsidR="00A25896" w:rsidRPr="00A25896" w:rsidRDefault="00A25896" w:rsidP="00A25896">
            <w:pPr>
              <w:rPr>
                <w:rFonts w:eastAsia="Times New Roman"/>
                <w:color w:val="000000"/>
                <w:sz w:val="24"/>
                <w:szCs w:val="24"/>
                <w:lang w:val="es-AR" w:eastAsia="es-A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E9AA596" w14:textId="77777777" w:rsidR="00A25896" w:rsidRPr="00A25896" w:rsidRDefault="00A25896" w:rsidP="00A25896">
            <w:pPr>
              <w:rPr>
                <w:rFonts w:eastAsia="Times New Roman"/>
                <w:i/>
                <w:iCs/>
                <w:color w:val="000000"/>
                <w:sz w:val="24"/>
                <w:szCs w:val="24"/>
                <w:lang w:val="es-AR" w:eastAsia="es-A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DCF464E" w14:textId="77777777" w:rsidR="00A25896" w:rsidRPr="00A25896" w:rsidRDefault="00A25896" w:rsidP="00A25896">
            <w:pPr>
              <w:rPr>
                <w:rFonts w:eastAsia="Times New Roman"/>
                <w:i/>
                <w:iCs/>
                <w:color w:val="000000"/>
                <w:sz w:val="24"/>
                <w:szCs w:val="24"/>
                <w:lang w:val="es-AR" w:eastAsia="es-AR"/>
              </w:rPr>
            </w:pPr>
          </w:p>
        </w:tc>
        <w:tc>
          <w:tcPr>
            <w:tcW w:w="840" w:type="dxa"/>
            <w:tcBorders>
              <w:top w:val="nil"/>
              <w:left w:val="nil"/>
              <w:bottom w:val="single" w:sz="8" w:space="0" w:color="auto"/>
              <w:right w:val="single" w:sz="8" w:space="0" w:color="auto"/>
            </w:tcBorders>
            <w:shd w:val="clear" w:color="auto" w:fill="auto"/>
            <w:noWrap/>
            <w:vAlign w:val="center"/>
            <w:hideMark/>
          </w:tcPr>
          <w:p w14:paraId="23C8FDDF"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x</w:t>
            </w:r>
          </w:p>
        </w:tc>
        <w:tc>
          <w:tcPr>
            <w:tcW w:w="840" w:type="dxa"/>
            <w:tcBorders>
              <w:top w:val="nil"/>
              <w:left w:val="nil"/>
              <w:bottom w:val="single" w:sz="8" w:space="0" w:color="auto"/>
              <w:right w:val="single" w:sz="8" w:space="0" w:color="auto"/>
            </w:tcBorders>
            <w:shd w:val="clear" w:color="auto" w:fill="auto"/>
            <w:noWrap/>
            <w:vAlign w:val="center"/>
            <w:hideMark/>
          </w:tcPr>
          <w:p w14:paraId="70C01E3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y</w:t>
            </w:r>
          </w:p>
        </w:tc>
        <w:tc>
          <w:tcPr>
            <w:tcW w:w="840" w:type="dxa"/>
            <w:tcBorders>
              <w:top w:val="nil"/>
              <w:left w:val="nil"/>
              <w:bottom w:val="single" w:sz="8" w:space="0" w:color="auto"/>
              <w:right w:val="single" w:sz="8" w:space="0" w:color="auto"/>
            </w:tcBorders>
            <w:shd w:val="clear" w:color="auto" w:fill="auto"/>
            <w:noWrap/>
            <w:vAlign w:val="center"/>
            <w:hideMark/>
          </w:tcPr>
          <w:p w14:paraId="155310E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z</w:t>
            </w:r>
          </w:p>
        </w:tc>
        <w:tc>
          <w:tcPr>
            <w:tcW w:w="1820" w:type="dxa"/>
            <w:vMerge/>
            <w:tcBorders>
              <w:top w:val="single" w:sz="8" w:space="0" w:color="auto"/>
              <w:left w:val="single" w:sz="8" w:space="0" w:color="auto"/>
              <w:bottom w:val="single" w:sz="8" w:space="0" w:color="000000"/>
              <w:right w:val="single" w:sz="8" w:space="0" w:color="auto"/>
            </w:tcBorders>
            <w:vAlign w:val="center"/>
            <w:hideMark/>
          </w:tcPr>
          <w:p w14:paraId="2EBC0BF7" w14:textId="77777777" w:rsidR="00A25896" w:rsidRPr="00A25896" w:rsidRDefault="00A25896" w:rsidP="00A25896">
            <w:pPr>
              <w:rPr>
                <w:rFonts w:eastAsia="Times New Roman"/>
                <w:color w:val="000000"/>
                <w:sz w:val="24"/>
                <w:szCs w:val="24"/>
                <w:lang w:val="es-AR" w:eastAsia="es-AR"/>
              </w:rPr>
            </w:pPr>
          </w:p>
        </w:tc>
      </w:tr>
      <w:tr w:rsidR="00A25896" w:rsidRPr="00A25896" w14:paraId="176ECB0E"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1CE30973"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160672</w:t>
            </w:r>
          </w:p>
        </w:tc>
        <w:tc>
          <w:tcPr>
            <w:tcW w:w="960" w:type="dxa"/>
            <w:tcBorders>
              <w:top w:val="nil"/>
              <w:left w:val="nil"/>
              <w:bottom w:val="single" w:sz="8" w:space="0" w:color="auto"/>
              <w:right w:val="single" w:sz="8" w:space="0" w:color="auto"/>
            </w:tcBorders>
            <w:shd w:val="clear" w:color="auto" w:fill="auto"/>
            <w:noWrap/>
            <w:vAlign w:val="center"/>
            <w:hideMark/>
          </w:tcPr>
          <w:p w14:paraId="4CEE30A8"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10,6</w:t>
            </w:r>
          </w:p>
        </w:tc>
        <w:tc>
          <w:tcPr>
            <w:tcW w:w="960" w:type="dxa"/>
            <w:tcBorders>
              <w:top w:val="nil"/>
              <w:left w:val="nil"/>
              <w:bottom w:val="single" w:sz="8" w:space="0" w:color="auto"/>
              <w:right w:val="single" w:sz="8" w:space="0" w:color="auto"/>
            </w:tcBorders>
            <w:shd w:val="clear" w:color="auto" w:fill="auto"/>
            <w:noWrap/>
            <w:vAlign w:val="center"/>
            <w:hideMark/>
          </w:tcPr>
          <w:p w14:paraId="68CD797E"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40" w:type="dxa"/>
            <w:tcBorders>
              <w:top w:val="nil"/>
              <w:left w:val="nil"/>
              <w:bottom w:val="single" w:sz="8" w:space="0" w:color="auto"/>
              <w:right w:val="single" w:sz="8" w:space="0" w:color="auto"/>
            </w:tcBorders>
            <w:shd w:val="clear" w:color="auto" w:fill="auto"/>
            <w:noWrap/>
            <w:vAlign w:val="center"/>
            <w:hideMark/>
          </w:tcPr>
          <w:p w14:paraId="2DBAB62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-30</w:t>
            </w:r>
          </w:p>
        </w:tc>
        <w:tc>
          <w:tcPr>
            <w:tcW w:w="840" w:type="dxa"/>
            <w:tcBorders>
              <w:top w:val="nil"/>
              <w:left w:val="nil"/>
              <w:bottom w:val="single" w:sz="8" w:space="0" w:color="auto"/>
              <w:right w:val="single" w:sz="8" w:space="0" w:color="auto"/>
            </w:tcBorders>
            <w:shd w:val="clear" w:color="auto" w:fill="auto"/>
            <w:noWrap/>
            <w:vAlign w:val="center"/>
            <w:hideMark/>
          </w:tcPr>
          <w:p w14:paraId="6EEAFF22"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-12</w:t>
            </w:r>
          </w:p>
        </w:tc>
        <w:tc>
          <w:tcPr>
            <w:tcW w:w="840" w:type="dxa"/>
            <w:tcBorders>
              <w:top w:val="nil"/>
              <w:left w:val="nil"/>
              <w:bottom w:val="single" w:sz="8" w:space="0" w:color="auto"/>
              <w:right w:val="single" w:sz="8" w:space="0" w:color="auto"/>
            </w:tcBorders>
            <w:shd w:val="clear" w:color="auto" w:fill="auto"/>
            <w:noWrap/>
            <w:vAlign w:val="center"/>
            <w:hideMark/>
          </w:tcPr>
          <w:p w14:paraId="484ABD0D"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-15</w:t>
            </w:r>
          </w:p>
        </w:tc>
        <w:tc>
          <w:tcPr>
            <w:tcW w:w="1820" w:type="dxa"/>
            <w:tcBorders>
              <w:top w:val="nil"/>
              <w:left w:val="nil"/>
              <w:bottom w:val="single" w:sz="8" w:space="0" w:color="auto"/>
              <w:right w:val="single" w:sz="8" w:space="0" w:color="auto"/>
            </w:tcBorders>
            <w:shd w:val="clear" w:color="auto" w:fill="auto"/>
            <w:noWrap/>
            <w:vAlign w:val="center"/>
            <w:hideMark/>
          </w:tcPr>
          <w:p w14:paraId="764385BE"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Hippocampus</w:t>
            </w:r>
            <w:proofErr w:type="spellEnd"/>
            <w:r w:rsidRPr="00A25896">
              <w:rPr>
                <w:rFonts w:eastAsia="Times New Roman"/>
                <w:color w:val="000000"/>
                <w:sz w:val="24"/>
                <w:szCs w:val="24"/>
                <w:lang w:val="es-AR" w:eastAsia="es-AR"/>
              </w:rPr>
              <w:t xml:space="preserve"> L</w:t>
            </w:r>
          </w:p>
        </w:tc>
      </w:tr>
      <w:tr w:rsidR="00A25896" w:rsidRPr="00A25896" w14:paraId="09E6866B"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1070837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477072F4"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10,3</w:t>
            </w:r>
          </w:p>
        </w:tc>
        <w:tc>
          <w:tcPr>
            <w:tcW w:w="960" w:type="dxa"/>
            <w:tcBorders>
              <w:top w:val="nil"/>
              <w:left w:val="nil"/>
              <w:bottom w:val="single" w:sz="8" w:space="0" w:color="auto"/>
              <w:right w:val="single" w:sz="8" w:space="0" w:color="auto"/>
            </w:tcBorders>
            <w:shd w:val="clear" w:color="auto" w:fill="auto"/>
            <w:noWrap/>
            <w:vAlign w:val="center"/>
            <w:hideMark/>
          </w:tcPr>
          <w:p w14:paraId="3FF6C4BF"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&lt;.002</w:t>
            </w:r>
          </w:p>
        </w:tc>
        <w:tc>
          <w:tcPr>
            <w:tcW w:w="840" w:type="dxa"/>
            <w:tcBorders>
              <w:top w:val="nil"/>
              <w:left w:val="nil"/>
              <w:bottom w:val="single" w:sz="8" w:space="0" w:color="auto"/>
              <w:right w:val="single" w:sz="8" w:space="0" w:color="auto"/>
            </w:tcBorders>
            <w:shd w:val="clear" w:color="auto" w:fill="auto"/>
            <w:noWrap/>
            <w:vAlign w:val="center"/>
            <w:hideMark/>
          </w:tcPr>
          <w:p w14:paraId="78E69F83"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-19,5</w:t>
            </w:r>
          </w:p>
        </w:tc>
        <w:tc>
          <w:tcPr>
            <w:tcW w:w="840" w:type="dxa"/>
            <w:tcBorders>
              <w:top w:val="nil"/>
              <w:left w:val="nil"/>
              <w:bottom w:val="single" w:sz="8" w:space="0" w:color="auto"/>
              <w:right w:val="single" w:sz="8" w:space="0" w:color="auto"/>
            </w:tcBorders>
            <w:shd w:val="clear" w:color="auto" w:fill="auto"/>
            <w:noWrap/>
            <w:vAlign w:val="center"/>
            <w:hideMark/>
          </w:tcPr>
          <w:p w14:paraId="4282536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-6</w:t>
            </w:r>
          </w:p>
        </w:tc>
        <w:tc>
          <w:tcPr>
            <w:tcW w:w="840" w:type="dxa"/>
            <w:tcBorders>
              <w:top w:val="nil"/>
              <w:left w:val="nil"/>
              <w:bottom w:val="single" w:sz="8" w:space="0" w:color="auto"/>
              <w:right w:val="single" w:sz="8" w:space="0" w:color="auto"/>
            </w:tcBorders>
            <w:shd w:val="clear" w:color="auto" w:fill="auto"/>
            <w:noWrap/>
            <w:vAlign w:val="center"/>
            <w:hideMark/>
          </w:tcPr>
          <w:p w14:paraId="1CC6AF8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-18</w:t>
            </w:r>
          </w:p>
        </w:tc>
        <w:tc>
          <w:tcPr>
            <w:tcW w:w="1820" w:type="dxa"/>
            <w:tcBorders>
              <w:top w:val="nil"/>
              <w:left w:val="nil"/>
              <w:bottom w:val="single" w:sz="8" w:space="0" w:color="auto"/>
              <w:right w:val="single" w:sz="8" w:space="0" w:color="auto"/>
            </w:tcBorders>
            <w:shd w:val="clear" w:color="auto" w:fill="auto"/>
            <w:noWrap/>
            <w:vAlign w:val="center"/>
            <w:hideMark/>
          </w:tcPr>
          <w:p w14:paraId="0D477880"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Amygdala</w:t>
            </w:r>
            <w:proofErr w:type="spellEnd"/>
            <w:r w:rsidRPr="00A25896">
              <w:rPr>
                <w:rFonts w:eastAsia="Times New Roman"/>
                <w:color w:val="000000"/>
                <w:sz w:val="24"/>
                <w:szCs w:val="24"/>
                <w:lang w:val="es-AR" w:eastAsia="es-AR"/>
              </w:rPr>
              <w:t xml:space="preserve"> L</w:t>
            </w:r>
          </w:p>
        </w:tc>
      </w:tr>
      <w:tr w:rsidR="00A25896" w:rsidRPr="00A25896" w14:paraId="680E5066" w14:textId="77777777" w:rsidTr="00A25896">
        <w:trPr>
          <w:trHeight w:val="320"/>
        </w:trPr>
        <w:tc>
          <w:tcPr>
            <w:tcW w:w="1820" w:type="dxa"/>
            <w:tcBorders>
              <w:top w:val="nil"/>
              <w:left w:val="single" w:sz="8" w:space="0" w:color="auto"/>
              <w:bottom w:val="single" w:sz="8" w:space="0" w:color="auto"/>
              <w:right w:val="single" w:sz="8" w:space="0" w:color="auto"/>
            </w:tcBorders>
            <w:shd w:val="clear" w:color="auto" w:fill="auto"/>
            <w:noWrap/>
            <w:vAlign w:val="center"/>
            <w:hideMark/>
          </w:tcPr>
          <w:p w14:paraId="6BBF680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29068E04"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10,1</w:t>
            </w:r>
          </w:p>
        </w:tc>
        <w:tc>
          <w:tcPr>
            <w:tcW w:w="960" w:type="dxa"/>
            <w:tcBorders>
              <w:top w:val="nil"/>
              <w:left w:val="nil"/>
              <w:bottom w:val="single" w:sz="8" w:space="0" w:color="auto"/>
              <w:right w:val="single" w:sz="8" w:space="0" w:color="auto"/>
            </w:tcBorders>
            <w:shd w:val="clear" w:color="auto" w:fill="auto"/>
            <w:noWrap/>
            <w:vAlign w:val="center"/>
            <w:hideMark/>
          </w:tcPr>
          <w:p w14:paraId="7B82EF37"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&lt;.003</w:t>
            </w:r>
          </w:p>
        </w:tc>
        <w:tc>
          <w:tcPr>
            <w:tcW w:w="840" w:type="dxa"/>
            <w:tcBorders>
              <w:top w:val="nil"/>
              <w:left w:val="nil"/>
              <w:bottom w:val="single" w:sz="8" w:space="0" w:color="auto"/>
              <w:right w:val="single" w:sz="8" w:space="0" w:color="auto"/>
            </w:tcBorders>
            <w:shd w:val="clear" w:color="auto" w:fill="auto"/>
            <w:noWrap/>
            <w:vAlign w:val="center"/>
            <w:hideMark/>
          </w:tcPr>
          <w:p w14:paraId="692000EC"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30</w:t>
            </w:r>
          </w:p>
        </w:tc>
        <w:tc>
          <w:tcPr>
            <w:tcW w:w="840" w:type="dxa"/>
            <w:tcBorders>
              <w:top w:val="nil"/>
              <w:left w:val="nil"/>
              <w:bottom w:val="single" w:sz="8" w:space="0" w:color="auto"/>
              <w:right w:val="single" w:sz="8" w:space="0" w:color="auto"/>
            </w:tcBorders>
            <w:shd w:val="clear" w:color="auto" w:fill="auto"/>
            <w:noWrap/>
            <w:vAlign w:val="center"/>
            <w:hideMark/>
          </w:tcPr>
          <w:p w14:paraId="0BD045F7"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-10,5</w:t>
            </w:r>
          </w:p>
        </w:tc>
        <w:tc>
          <w:tcPr>
            <w:tcW w:w="840" w:type="dxa"/>
            <w:tcBorders>
              <w:top w:val="nil"/>
              <w:left w:val="nil"/>
              <w:bottom w:val="single" w:sz="8" w:space="0" w:color="auto"/>
              <w:right w:val="single" w:sz="8" w:space="0" w:color="auto"/>
            </w:tcBorders>
            <w:shd w:val="clear" w:color="auto" w:fill="auto"/>
            <w:noWrap/>
            <w:vAlign w:val="center"/>
            <w:hideMark/>
          </w:tcPr>
          <w:p w14:paraId="5018BB3E"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-16,5</w:t>
            </w:r>
          </w:p>
        </w:tc>
        <w:tc>
          <w:tcPr>
            <w:tcW w:w="1820" w:type="dxa"/>
            <w:tcBorders>
              <w:top w:val="nil"/>
              <w:left w:val="nil"/>
              <w:bottom w:val="single" w:sz="8" w:space="0" w:color="auto"/>
              <w:right w:val="single" w:sz="8" w:space="0" w:color="auto"/>
            </w:tcBorders>
            <w:shd w:val="clear" w:color="auto" w:fill="auto"/>
            <w:noWrap/>
            <w:vAlign w:val="center"/>
            <w:hideMark/>
          </w:tcPr>
          <w:p w14:paraId="5FD4214C"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Hippocampus</w:t>
            </w:r>
            <w:proofErr w:type="spellEnd"/>
            <w:r w:rsidRPr="00A25896">
              <w:rPr>
                <w:rFonts w:eastAsia="Times New Roman"/>
                <w:color w:val="000000"/>
                <w:sz w:val="24"/>
                <w:szCs w:val="24"/>
                <w:lang w:val="es-AR" w:eastAsia="es-AR"/>
              </w:rPr>
              <w:t xml:space="preserve"> R</w:t>
            </w:r>
          </w:p>
        </w:tc>
      </w:tr>
    </w:tbl>
    <w:p w14:paraId="67136204" w14:textId="77777777" w:rsidR="0060120D" w:rsidRPr="0060120D" w:rsidRDefault="0060120D" w:rsidP="0060120D">
      <w:pPr>
        <w:rPr>
          <w:rFonts w:eastAsiaTheme="minorHAnsi"/>
          <w:sz w:val="24"/>
          <w:szCs w:val="24"/>
        </w:rPr>
      </w:pPr>
    </w:p>
    <w:p w14:paraId="7D028FDB" w14:textId="536F5B9A" w:rsidR="006457B6" w:rsidRDefault="00A25896" w:rsidP="006457B6">
      <w:pPr>
        <w:spacing w:line="276" w:lineRule="auto"/>
        <w:rPr>
          <w:sz w:val="24"/>
          <w:szCs w:val="24"/>
        </w:rPr>
      </w:pPr>
      <w:bookmarkStart w:id="1" w:name="_Hlk129167865"/>
      <w:r>
        <w:rPr>
          <w:b/>
          <w:bCs/>
          <w:i/>
          <w:color w:val="222222"/>
          <w:sz w:val="24"/>
          <w:szCs w:val="24"/>
        </w:rPr>
        <w:t>Supplementary file 2a</w:t>
      </w:r>
      <w:r w:rsidR="006457B6" w:rsidRPr="008D0254">
        <w:rPr>
          <w:b/>
          <w:bCs/>
          <w:i/>
          <w:color w:val="222222"/>
          <w:sz w:val="24"/>
          <w:szCs w:val="24"/>
        </w:rPr>
        <w:t>:</w:t>
      </w:r>
      <w:r w:rsidR="006457B6">
        <w:rPr>
          <w:b/>
          <w:bCs/>
          <w:i/>
          <w:color w:val="222222"/>
          <w:sz w:val="24"/>
          <w:szCs w:val="24"/>
        </w:rPr>
        <w:t xml:space="preserve"> </w:t>
      </w:r>
      <w:r w:rsidR="006457B6">
        <w:rPr>
          <w:i/>
          <w:color w:val="222222"/>
          <w:sz w:val="24"/>
          <w:szCs w:val="24"/>
        </w:rPr>
        <w:t xml:space="preserve"> </w:t>
      </w:r>
      <w:r w:rsidR="006457B6" w:rsidRPr="0060120D">
        <w:rPr>
          <w:sz w:val="24"/>
          <w:szCs w:val="24"/>
        </w:rPr>
        <w:t>Gray matter atrophy areas of participants with AD (p &lt; .001, FWE-cluster-corrected for multiple comparisons).</w:t>
      </w:r>
    </w:p>
    <w:p w14:paraId="721A17C1" w14:textId="409F1E49" w:rsidR="00A25896" w:rsidRDefault="00A25896" w:rsidP="006457B6">
      <w:pPr>
        <w:spacing w:line="276" w:lineRule="auto"/>
        <w:rPr>
          <w:i/>
          <w:color w:val="222222"/>
          <w:sz w:val="24"/>
          <w:szCs w:val="24"/>
        </w:rPr>
      </w:pPr>
    </w:p>
    <w:p w14:paraId="3359B7B4" w14:textId="57C04144" w:rsidR="00A25896" w:rsidRDefault="00A25896" w:rsidP="006457B6">
      <w:pPr>
        <w:spacing w:line="276" w:lineRule="auto"/>
        <w:rPr>
          <w:i/>
          <w:color w:val="222222"/>
          <w:sz w:val="24"/>
          <w:szCs w:val="24"/>
        </w:rPr>
      </w:pPr>
    </w:p>
    <w:p w14:paraId="0594C01F" w14:textId="6A50DBD2" w:rsidR="00A25896" w:rsidRDefault="00A25896" w:rsidP="006457B6">
      <w:pPr>
        <w:spacing w:line="276" w:lineRule="auto"/>
        <w:rPr>
          <w:i/>
          <w:color w:val="222222"/>
          <w:sz w:val="24"/>
          <w:szCs w:val="24"/>
        </w:rPr>
      </w:pPr>
    </w:p>
    <w:p w14:paraId="3B0DF536" w14:textId="636B5F96" w:rsidR="00A25896" w:rsidRDefault="00A25896" w:rsidP="006457B6">
      <w:pPr>
        <w:spacing w:line="276" w:lineRule="auto"/>
        <w:rPr>
          <w:i/>
          <w:color w:val="222222"/>
          <w:sz w:val="24"/>
          <w:szCs w:val="24"/>
        </w:rPr>
      </w:pPr>
    </w:p>
    <w:p w14:paraId="293ED888" w14:textId="508B24ED" w:rsidR="00A25896" w:rsidRDefault="00A25896" w:rsidP="006457B6">
      <w:pPr>
        <w:spacing w:line="276" w:lineRule="auto"/>
        <w:rPr>
          <w:i/>
          <w:color w:val="222222"/>
          <w:sz w:val="24"/>
          <w:szCs w:val="24"/>
        </w:rPr>
      </w:pPr>
    </w:p>
    <w:p w14:paraId="051472C4" w14:textId="35AE6785" w:rsidR="00A25896" w:rsidRDefault="00A25896" w:rsidP="006457B6">
      <w:pPr>
        <w:spacing w:line="276" w:lineRule="auto"/>
        <w:rPr>
          <w:i/>
          <w:color w:val="222222"/>
          <w:sz w:val="24"/>
          <w:szCs w:val="24"/>
        </w:rPr>
      </w:pPr>
    </w:p>
    <w:p w14:paraId="7EC624B1" w14:textId="3575E41E" w:rsidR="00A25896" w:rsidRDefault="00A25896" w:rsidP="006457B6">
      <w:pPr>
        <w:spacing w:line="276" w:lineRule="auto"/>
        <w:rPr>
          <w:i/>
          <w:color w:val="222222"/>
          <w:sz w:val="24"/>
          <w:szCs w:val="24"/>
        </w:rPr>
      </w:pPr>
    </w:p>
    <w:p w14:paraId="06BD3609" w14:textId="77777777" w:rsidR="00A25896" w:rsidRDefault="00A25896" w:rsidP="006457B6">
      <w:pPr>
        <w:spacing w:line="276" w:lineRule="auto"/>
        <w:rPr>
          <w:i/>
          <w:color w:val="222222"/>
          <w:sz w:val="24"/>
          <w:szCs w:val="24"/>
        </w:rPr>
      </w:pPr>
    </w:p>
    <w:tbl>
      <w:tblPr>
        <w:tblW w:w="8820" w:type="dxa"/>
        <w:tblCellMar>
          <w:left w:w="70" w:type="dxa"/>
          <w:right w:w="70" w:type="dxa"/>
        </w:tblCellMar>
        <w:tblLook w:val="04A0" w:firstRow="1" w:lastRow="0" w:firstColumn="1" w:lastColumn="0" w:noHBand="0" w:noVBand="1"/>
      </w:tblPr>
      <w:tblGrid>
        <w:gridCol w:w="1820"/>
        <w:gridCol w:w="960"/>
        <w:gridCol w:w="960"/>
        <w:gridCol w:w="857"/>
        <w:gridCol w:w="856"/>
        <w:gridCol w:w="727"/>
        <w:gridCol w:w="2640"/>
      </w:tblGrid>
      <w:tr w:rsidR="00A25896" w:rsidRPr="00A25896" w14:paraId="72F7C364" w14:textId="77777777" w:rsidTr="00A25896">
        <w:trPr>
          <w:trHeight w:val="320"/>
        </w:trPr>
        <w:tc>
          <w:tcPr>
            <w:tcW w:w="18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bookmarkEnd w:id="1"/>
          <w:p w14:paraId="073CFFBC"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lastRenderedPageBreak/>
              <w:t>Number</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of</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voxels</w:t>
            </w:r>
            <w:proofErr w:type="spellEnd"/>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2B8878" w14:textId="77777777" w:rsidR="00A25896" w:rsidRPr="00A25896" w:rsidRDefault="00A25896" w:rsidP="00A25896">
            <w:pPr>
              <w:jc w:val="center"/>
              <w:rPr>
                <w:rFonts w:eastAsia="Times New Roman"/>
                <w:i/>
                <w:iCs/>
                <w:color w:val="000000"/>
                <w:sz w:val="24"/>
                <w:szCs w:val="24"/>
                <w:lang w:val="es-AR" w:eastAsia="es-AR"/>
              </w:rPr>
            </w:pPr>
            <w:r w:rsidRPr="00A25896">
              <w:rPr>
                <w:rFonts w:eastAsia="Times New Roman"/>
                <w:i/>
                <w:iCs/>
                <w:color w:val="000000"/>
                <w:sz w:val="24"/>
                <w:szCs w:val="24"/>
                <w:lang w:val="es-AR" w:eastAsia="es-AR"/>
              </w:rPr>
              <w:t>t</w:t>
            </w:r>
            <w:r w:rsidRPr="00A25896">
              <w:rPr>
                <w:rFonts w:eastAsia="Times New Roman"/>
                <w:color w:val="000000"/>
                <w:sz w:val="24"/>
                <w:szCs w:val="24"/>
                <w:lang w:val="es-AR" w:eastAsia="es-AR"/>
              </w:rPr>
              <w:t>-</w:t>
            </w:r>
            <w:proofErr w:type="spellStart"/>
            <w:r w:rsidRPr="00A25896">
              <w:rPr>
                <w:rFonts w:eastAsia="Times New Roman"/>
                <w:color w:val="000000"/>
                <w:sz w:val="24"/>
                <w:szCs w:val="24"/>
                <w:lang w:val="es-AR" w:eastAsia="es-AR"/>
              </w:rPr>
              <w:t>value</w:t>
            </w:r>
            <w:proofErr w:type="spellEnd"/>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1F2DC7" w14:textId="77777777" w:rsidR="00A25896" w:rsidRPr="00A25896" w:rsidRDefault="00A25896" w:rsidP="00A25896">
            <w:pPr>
              <w:jc w:val="center"/>
              <w:rPr>
                <w:rFonts w:eastAsia="Times New Roman"/>
                <w:i/>
                <w:iCs/>
                <w:color w:val="000000"/>
                <w:sz w:val="24"/>
                <w:szCs w:val="24"/>
                <w:lang w:val="es-AR" w:eastAsia="es-AR"/>
              </w:rPr>
            </w:pPr>
            <w:r w:rsidRPr="00A25896">
              <w:rPr>
                <w:rFonts w:eastAsia="Times New Roman"/>
                <w:i/>
                <w:iCs/>
                <w:color w:val="000000"/>
                <w:sz w:val="24"/>
                <w:szCs w:val="24"/>
                <w:lang w:val="es-AR" w:eastAsia="es-AR"/>
              </w:rPr>
              <w:t>p</w:t>
            </w:r>
            <w:r w:rsidRPr="00A25896">
              <w:rPr>
                <w:rFonts w:eastAsia="Times New Roman"/>
                <w:color w:val="000000"/>
                <w:sz w:val="24"/>
                <w:szCs w:val="24"/>
                <w:lang w:val="es-AR" w:eastAsia="es-AR"/>
              </w:rPr>
              <w:t>-</w:t>
            </w:r>
            <w:proofErr w:type="spellStart"/>
            <w:r w:rsidRPr="00A25896">
              <w:rPr>
                <w:rFonts w:eastAsia="Times New Roman"/>
                <w:color w:val="000000"/>
                <w:sz w:val="24"/>
                <w:szCs w:val="24"/>
                <w:lang w:val="es-AR" w:eastAsia="es-AR"/>
              </w:rPr>
              <w:t>value</w:t>
            </w:r>
            <w:proofErr w:type="spellEnd"/>
          </w:p>
        </w:tc>
        <w:tc>
          <w:tcPr>
            <w:tcW w:w="244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E2BD80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xml:space="preserve">MNI </w:t>
            </w:r>
            <w:proofErr w:type="spellStart"/>
            <w:r w:rsidRPr="00A25896">
              <w:rPr>
                <w:rFonts w:eastAsia="Times New Roman"/>
                <w:color w:val="000000"/>
                <w:sz w:val="24"/>
                <w:szCs w:val="24"/>
                <w:lang w:val="es-AR" w:eastAsia="es-AR"/>
              </w:rPr>
              <w:t>coordinates</w:t>
            </w:r>
            <w:proofErr w:type="spellEnd"/>
          </w:p>
        </w:tc>
        <w:tc>
          <w:tcPr>
            <w:tcW w:w="2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0B48E1"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Brain</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area</w:t>
            </w:r>
            <w:proofErr w:type="spellEnd"/>
            <w:r w:rsidRPr="00A25896">
              <w:rPr>
                <w:rFonts w:eastAsia="Times New Roman"/>
                <w:color w:val="000000"/>
                <w:sz w:val="24"/>
                <w:szCs w:val="24"/>
                <w:lang w:val="es-AR" w:eastAsia="es-AR"/>
              </w:rPr>
              <w:t xml:space="preserve"> (AAL)</w:t>
            </w:r>
          </w:p>
        </w:tc>
      </w:tr>
      <w:tr w:rsidR="00A25896" w:rsidRPr="00A25896" w14:paraId="2380920C" w14:textId="77777777" w:rsidTr="00A25896">
        <w:trPr>
          <w:trHeight w:val="320"/>
        </w:trPr>
        <w:tc>
          <w:tcPr>
            <w:tcW w:w="1820" w:type="dxa"/>
            <w:vMerge/>
            <w:tcBorders>
              <w:top w:val="single" w:sz="8" w:space="0" w:color="auto"/>
              <w:left w:val="single" w:sz="8" w:space="0" w:color="auto"/>
              <w:bottom w:val="single" w:sz="8" w:space="0" w:color="000000"/>
              <w:right w:val="single" w:sz="8" w:space="0" w:color="auto"/>
            </w:tcBorders>
            <w:vAlign w:val="center"/>
            <w:hideMark/>
          </w:tcPr>
          <w:p w14:paraId="260FC37F" w14:textId="77777777" w:rsidR="00A25896" w:rsidRPr="00A25896" w:rsidRDefault="00A25896" w:rsidP="00A25896">
            <w:pPr>
              <w:rPr>
                <w:rFonts w:eastAsia="Times New Roman"/>
                <w:color w:val="000000"/>
                <w:sz w:val="24"/>
                <w:szCs w:val="24"/>
                <w:lang w:val="es-AR" w:eastAsia="es-A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5CBB5D4" w14:textId="77777777" w:rsidR="00A25896" w:rsidRPr="00A25896" w:rsidRDefault="00A25896" w:rsidP="00A25896">
            <w:pPr>
              <w:rPr>
                <w:rFonts w:eastAsia="Times New Roman"/>
                <w:i/>
                <w:iCs/>
                <w:color w:val="000000"/>
                <w:sz w:val="24"/>
                <w:szCs w:val="24"/>
                <w:lang w:val="es-AR" w:eastAsia="es-A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30B65ED" w14:textId="77777777" w:rsidR="00A25896" w:rsidRPr="00A25896" w:rsidRDefault="00A25896" w:rsidP="00A25896">
            <w:pPr>
              <w:rPr>
                <w:rFonts w:eastAsia="Times New Roman"/>
                <w:i/>
                <w:iCs/>
                <w:color w:val="000000"/>
                <w:sz w:val="24"/>
                <w:szCs w:val="24"/>
                <w:lang w:val="es-AR" w:eastAsia="es-AR"/>
              </w:rPr>
            </w:pPr>
          </w:p>
        </w:tc>
        <w:tc>
          <w:tcPr>
            <w:tcW w:w="857" w:type="dxa"/>
            <w:tcBorders>
              <w:top w:val="nil"/>
              <w:left w:val="nil"/>
              <w:bottom w:val="single" w:sz="8" w:space="0" w:color="auto"/>
              <w:right w:val="single" w:sz="8" w:space="0" w:color="auto"/>
            </w:tcBorders>
            <w:shd w:val="clear" w:color="auto" w:fill="auto"/>
            <w:noWrap/>
            <w:vAlign w:val="center"/>
            <w:hideMark/>
          </w:tcPr>
          <w:p w14:paraId="5751FBC1"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x</w:t>
            </w:r>
          </w:p>
        </w:tc>
        <w:tc>
          <w:tcPr>
            <w:tcW w:w="856" w:type="dxa"/>
            <w:tcBorders>
              <w:top w:val="nil"/>
              <w:left w:val="nil"/>
              <w:bottom w:val="single" w:sz="8" w:space="0" w:color="auto"/>
              <w:right w:val="single" w:sz="8" w:space="0" w:color="auto"/>
            </w:tcBorders>
            <w:shd w:val="clear" w:color="auto" w:fill="auto"/>
            <w:noWrap/>
            <w:vAlign w:val="center"/>
            <w:hideMark/>
          </w:tcPr>
          <w:p w14:paraId="7F33FFF7"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y</w:t>
            </w:r>
          </w:p>
        </w:tc>
        <w:tc>
          <w:tcPr>
            <w:tcW w:w="727" w:type="dxa"/>
            <w:tcBorders>
              <w:top w:val="nil"/>
              <w:left w:val="nil"/>
              <w:bottom w:val="single" w:sz="8" w:space="0" w:color="auto"/>
              <w:right w:val="single" w:sz="8" w:space="0" w:color="auto"/>
            </w:tcBorders>
            <w:shd w:val="clear" w:color="auto" w:fill="auto"/>
            <w:noWrap/>
            <w:vAlign w:val="center"/>
            <w:hideMark/>
          </w:tcPr>
          <w:p w14:paraId="08EF934E"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z</w:t>
            </w:r>
          </w:p>
        </w:tc>
        <w:tc>
          <w:tcPr>
            <w:tcW w:w="2640" w:type="dxa"/>
            <w:vMerge/>
            <w:tcBorders>
              <w:top w:val="single" w:sz="8" w:space="0" w:color="auto"/>
              <w:left w:val="single" w:sz="8" w:space="0" w:color="auto"/>
              <w:bottom w:val="single" w:sz="8" w:space="0" w:color="000000"/>
              <w:right w:val="single" w:sz="8" w:space="0" w:color="auto"/>
            </w:tcBorders>
            <w:vAlign w:val="center"/>
            <w:hideMark/>
          </w:tcPr>
          <w:p w14:paraId="69F2D274" w14:textId="77777777" w:rsidR="00A25896" w:rsidRPr="00A25896" w:rsidRDefault="00A25896" w:rsidP="00A25896">
            <w:pPr>
              <w:rPr>
                <w:rFonts w:eastAsia="Times New Roman"/>
                <w:color w:val="000000"/>
                <w:sz w:val="24"/>
                <w:szCs w:val="24"/>
                <w:lang w:val="es-AR" w:eastAsia="es-AR"/>
              </w:rPr>
            </w:pPr>
          </w:p>
        </w:tc>
      </w:tr>
      <w:tr w:rsidR="00A25896" w:rsidRPr="00A25896" w14:paraId="7EA01478"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166F8B0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18409</w:t>
            </w:r>
          </w:p>
        </w:tc>
        <w:tc>
          <w:tcPr>
            <w:tcW w:w="960" w:type="dxa"/>
            <w:tcBorders>
              <w:top w:val="nil"/>
              <w:left w:val="nil"/>
              <w:bottom w:val="single" w:sz="8" w:space="0" w:color="auto"/>
              <w:right w:val="single" w:sz="8" w:space="0" w:color="auto"/>
            </w:tcBorders>
            <w:shd w:val="clear" w:color="auto" w:fill="auto"/>
            <w:noWrap/>
            <w:vAlign w:val="center"/>
            <w:hideMark/>
          </w:tcPr>
          <w:p w14:paraId="5035A658"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5,0</w:t>
            </w:r>
          </w:p>
        </w:tc>
        <w:tc>
          <w:tcPr>
            <w:tcW w:w="960" w:type="dxa"/>
            <w:tcBorders>
              <w:top w:val="nil"/>
              <w:left w:val="nil"/>
              <w:bottom w:val="single" w:sz="8" w:space="0" w:color="auto"/>
              <w:right w:val="single" w:sz="8" w:space="0" w:color="auto"/>
            </w:tcBorders>
            <w:shd w:val="clear" w:color="auto" w:fill="auto"/>
            <w:noWrap/>
            <w:vAlign w:val="center"/>
            <w:hideMark/>
          </w:tcPr>
          <w:p w14:paraId="353B622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4231200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49,5</w:t>
            </w:r>
          </w:p>
        </w:tc>
        <w:tc>
          <w:tcPr>
            <w:tcW w:w="856" w:type="dxa"/>
            <w:tcBorders>
              <w:top w:val="nil"/>
              <w:left w:val="nil"/>
              <w:bottom w:val="single" w:sz="8" w:space="0" w:color="auto"/>
              <w:right w:val="single" w:sz="8" w:space="0" w:color="auto"/>
            </w:tcBorders>
            <w:shd w:val="clear" w:color="auto" w:fill="auto"/>
            <w:noWrap/>
            <w:vAlign w:val="center"/>
            <w:hideMark/>
          </w:tcPr>
          <w:p w14:paraId="71A6664F"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-13,5</w:t>
            </w:r>
          </w:p>
        </w:tc>
        <w:tc>
          <w:tcPr>
            <w:tcW w:w="727" w:type="dxa"/>
            <w:tcBorders>
              <w:top w:val="nil"/>
              <w:left w:val="nil"/>
              <w:bottom w:val="single" w:sz="8" w:space="0" w:color="auto"/>
              <w:right w:val="single" w:sz="8" w:space="0" w:color="auto"/>
            </w:tcBorders>
            <w:shd w:val="clear" w:color="auto" w:fill="auto"/>
            <w:noWrap/>
            <w:vAlign w:val="center"/>
            <w:hideMark/>
          </w:tcPr>
          <w:p w14:paraId="17AFE6A1"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-21</w:t>
            </w:r>
          </w:p>
        </w:tc>
        <w:tc>
          <w:tcPr>
            <w:tcW w:w="2640" w:type="dxa"/>
            <w:tcBorders>
              <w:top w:val="nil"/>
              <w:left w:val="nil"/>
              <w:bottom w:val="single" w:sz="8" w:space="0" w:color="auto"/>
              <w:right w:val="single" w:sz="8" w:space="0" w:color="auto"/>
            </w:tcBorders>
            <w:shd w:val="clear" w:color="auto" w:fill="auto"/>
            <w:noWrap/>
            <w:vAlign w:val="center"/>
            <w:hideMark/>
          </w:tcPr>
          <w:p w14:paraId="522F60C4"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Temporal Lobe R</w:t>
            </w:r>
          </w:p>
        </w:tc>
      </w:tr>
      <w:tr w:rsidR="00A25896" w:rsidRPr="00A25896" w14:paraId="392D9E9C"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5E3E348E"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13731A42"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4,9</w:t>
            </w:r>
          </w:p>
        </w:tc>
        <w:tc>
          <w:tcPr>
            <w:tcW w:w="960" w:type="dxa"/>
            <w:tcBorders>
              <w:top w:val="nil"/>
              <w:left w:val="nil"/>
              <w:bottom w:val="single" w:sz="8" w:space="0" w:color="auto"/>
              <w:right w:val="single" w:sz="8" w:space="0" w:color="auto"/>
            </w:tcBorders>
            <w:shd w:val="clear" w:color="auto" w:fill="auto"/>
            <w:noWrap/>
            <w:vAlign w:val="center"/>
            <w:hideMark/>
          </w:tcPr>
          <w:p w14:paraId="41C31451"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73EF460F"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43,5</w:t>
            </w:r>
          </w:p>
        </w:tc>
        <w:tc>
          <w:tcPr>
            <w:tcW w:w="856" w:type="dxa"/>
            <w:tcBorders>
              <w:top w:val="nil"/>
              <w:left w:val="nil"/>
              <w:bottom w:val="single" w:sz="8" w:space="0" w:color="auto"/>
              <w:right w:val="single" w:sz="8" w:space="0" w:color="auto"/>
            </w:tcBorders>
            <w:shd w:val="clear" w:color="auto" w:fill="auto"/>
            <w:noWrap/>
            <w:vAlign w:val="center"/>
            <w:hideMark/>
          </w:tcPr>
          <w:p w14:paraId="3D5F971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6</w:t>
            </w:r>
          </w:p>
        </w:tc>
        <w:tc>
          <w:tcPr>
            <w:tcW w:w="727" w:type="dxa"/>
            <w:tcBorders>
              <w:top w:val="nil"/>
              <w:left w:val="nil"/>
              <w:bottom w:val="single" w:sz="8" w:space="0" w:color="auto"/>
              <w:right w:val="single" w:sz="8" w:space="0" w:color="auto"/>
            </w:tcBorders>
            <w:shd w:val="clear" w:color="auto" w:fill="auto"/>
            <w:noWrap/>
            <w:vAlign w:val="center"/>
            <w:hideMark/>
          </w:tcPr>
          <w:p w14:paraId="1734786B"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-27</w:t>
            </w:r>
          </w:p>
        </w:tc>
        <w:tc>
          <w:tcPr>
            <w:tcW w:w="2640" w:type="dxa"/>
            <w:tcBorders>
              <w:top w:val="nil"/>
              <w:left w:val="nil"/>
              <w:bottom w:val="single" w:sz="8" w:space="0" w:color="auto"/>
              <w:right w:val="single" w:sz="8" w:space="0" w:color="auto"/>
            </w:tcBorders>
            <w:shd w:val="clear" w:color="auto" w:fill="auto"/>
            <w:noWrap/>
            <w:vAlign w:val="center"/>
            <w:hideMark/>
          </w:tcPr>
          <w:p w14:paraId="52FC6EA5"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Mid</w:t>
            </w:r>
            <w:proofErr w:type="spellEnd"/>
            <w:r w:rsidRPr="00A25896">
              <w:rPr>
                <w:rFonts w:eastAsia="Times New Roman"/>
                <w:color w:val="000000"/>
                <w:sz w:val="24"/>
                <w:szCs w:val="24"/>
                <w:lang w:val="es-AR" w:eastAsia="es-AR"/>
              </w:rPr>
              <w:t xml:space="preserve"> Temporal Pole R </w:t>
            </w:r>
          </w:p>
        </w:tc>
      </w:tr>
      <w:tr w:rsidR="00A25896" w:rsidRPr="00A25896" w14:paraId="6358B700"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262AAB61"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4DFD6082"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4,8</w:t>
            </w:r>
          </w:p>
        </w:tc>
        <w:tc>
          <w:tcPr>
            <w:tcW w:w="960" w:type="dxa"/>
            <w:tcBorders>
              <w:top w:val="nil"/>
              <w:left w:val="nil"/>
              <w:bottom w:val="single" w:sz="8" w:space="0" w:color="auto"/>
              <w:right w:val="single" w:sz="8" w:space="0" w:color="auto"/>
            </w:tcBorders>
            <w:shd w:val="clear" w:color="auto" w:fill="auto"/>
            <w:noWrap/>
            <w:vAlign w:val="center"/>
            <w:hideMark/>
          </w:tcPr>
          <w:p w14:paraId="0C6C44E1"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309B239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46,5</w:t>
            </w:r>
          </w:p>
        </w:tc>
        <w:tc>
          <w:tcPr>
            <w:tcW w:w="856" w:type="dxa"/>
            <w:tcBorders>
              <w:top w:val="nil"/>
              <w:left w:val="nil"/>
              <w:bottom w:val="single" w:sz="8" w:space="0" w:color="auto"/>
              <w:right w:val="single" w:sz="8" w:space="0" w:color="auto"/>
            </w:tcBorders>
            <w:shd w:val="clear" w:color="auto" w:fill="auto"/>
            <w:noWrap/>
            <w:vAlign w:val="center"/>
            <w:hideMark/>
          </w:tcPr>
          <w:p w14:paraId="4AB00B27"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-4,5</w:t>
            </w:r>
          </w:p>
        </w:tc>
        <w:tc>
          <w:tcPr>
            <w:tcW w:w="727" w:type="dxa"/>
            <w:tcBorders>
              <w:top w:val="nil"/>
              <w:left w:val="nil"/>
              <w:bottom w:val="single" w:sz="8" w:space="0" w:color="auto"/>
              <w:right w:val="single" w:sz="8" w:space="0" w:color="auto"/>
            </w:tcBorders>
            <w:shd w:val="clear" w:color="auto" w:fill="auto"/>
            <w:noWrap/>
            <w:vAlign w:val="center"/>
            <w:hideMark/>
          </w:tcPr>
          <w:p w14:paraId="5EA8A7B7"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-27</w:t>
            </w:r>
          </w:p>
        </w:tc>
        <w:tc>
          <w:tcPr>
            <w:tcW w:w="2640" w:type="dxa"/>
            <w:tcBorders>
              <w:top w:val="nil"/>
              <w:left w:val="nil"/>
              <w:bottom w:val="single" w:sz="8" w:space="0" w:color="auto"/>
              <w:right w:val="single" w:sz="8" w:space="0" w:color="auto"/>
            </w:tcBorders>
            <w:shd w:val="clear" w:color="auto" w:fill="auto"/>
            <w:noWrap/>
            <w:vAlign w:val="center"/>
            <w:hideMark/>
          </w:tcPr>
          <w:p w14:paraId="0736FB70"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Mid</w:t>
            </w:r>
            <w:proofErr w:type="spellEnd"/>
            <w:r w:rsidRPr="00A25896">
              <w:rPr>
                <w:rFonts w:eastAsia="Times New Roman"/>
                <w:color w:val="000000"/>
                <w:sz w:val="24"/>
                <w:szCs w:val="24"/>
                <w:lang w:val="es-AR" w:eastAsia="es-AR"/>
              </w:rPr>
              <w:t xml:space="preserve"> Temporal Lobe R</w:t>
            </w:r>
          </w:p>
        </w:tc>
      </w:tr>
      <w:tr w:rsidR="00A25896" w:rsidRPr="00A25896" w14:paraId="5A29ADE5"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5D71677F"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1341</w:t>
            </w:r>
          </w:p>
        </w:tc>
        <w:tc>
          <w:tcPr>
            <w:tcW w:w="960" w:type="dxa"/>
            <w:tcBorders>
              <w:top w:val="nil"/>
              <w:left w:val="nil"/>
              <w:bottom w:val="single" w:sz="8" w:space="0" w:color="auto"/>
              <w:right w:val="single" w:sz="8" w:space="0" w:color="auto"/>
            </w:tcBorders>
            <w:shd w:val="clear" w:color="auto" w:fill="auto"/>
            <w:noWrap/>
            <w:vAlign w:val="center"/>
            <w:hideMark/>
          </w:tcPr>
          <w:p w14:paraId="629C4D93"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4,4</w:t>
            </w:r>
          </w:p>
        </w:tc>
        <w:tc>
          <w:tcPr>
            <w:tcW w:w="960" w:type="dxa"/>
            <w:tcBorders>
              <w:top w:val="nil"/>
              <w:left w:val="nil"/>
              <w:bottom w:val="single" w:sz="8" w:space="0" w:color="auto"/>
              <w:right w:val="single" w:sz="8" w:space="0" w:color="auto"/>
            </w:tcBorders>
            <w:shd w:val="clear" w:color="auto" w:fill="auto"/>
            <w:noWrap/>
            <w:vAlign w:val="center"/>
            <w:hideMark/>
          </w:tcPr>
          <w:p w14:paraId="2158E37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6A1ADE4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-36</w:t>
            </w:r>
          </w:p>
        </w:tc>
        <w:tc>
          <w:tcPr>
            <w:tcW w:w="856" w:type="dxa"/>
            <w:tcBorders>
              <w:top w:val="nil"/>
              <w:left w:val="nil"/>
              <w:bottom w:val="single" w:sz="8" w:space="0" w:color="auto"/>
              <w:right w:val="single" w:sz="8" w:space="0" w:color="auto"/>
            </w:tcBorders>
            <w:shd w:val="clear" w:color="auto" w:fill="auto"/>
            <w:noWrap/>
            <w:vAlign w:val="center"/>
            <w:hideMark/>
          </w:tcPr>
          <w:p w14:paraId="23CE8E1B"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19,5</w:t>
            </w:r>
          </w:p>
        </w:tc>
        <w:tc>
          <w:tcPr>
            <w:tcW w:w="727" w:type="dxa"/>
            <w:tcBorders>
              <w:top w:val="nil"/>
              <w:left w:val="nil"/>
              <w:bottom w:val="single" w:sz="8" w:space="0" w:color="auto"/>
              <w:right w:val="single" w:sz="8" w:space="0" w:color="auto"/>
            </w:tcBorders>
            <w:shd w:val="clear" w:color="auto" w:fill="auto"/>
            <w:noWrap/>
            <w:vAlign w:val="center"/>
            <w:hideMark/>
          </w:tcPr>
          <w:p w14:paraId="462E77C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16,5</w:t>
            </w:r>
          </w:p>
        </w:tc>
        <w:tc>
          <w:tcPr>
            <w:tcW w:w="2640" w:type="dxa"/>
            <w:tcBorders>
              <w:top w:val="nil"/>
              <w:left w:val="nil"/>
              <w:bottom w:val="single" w:sz="8" w:space="0" w:color="auto"/>
              <w:right w:val="single" w:sz="8" w:space="0" w:color="auto"/>
            </w:tcBorders>
            <w:shd w:val="clear" w:color="auto" w:fill="auto"/>
            <w:noWrap/>
            <w:vAlign w:val="center"/>
            <w:hideMark/>
          </w:tcPr>
          <w:p w14:paraId="7FB4E7B3"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Inf</w:t>
            </w:r>
            <w:proofErr w:type="spellEnd"/>
            <w:r w:rsidRPr="00A25896">
              <w:rPr>
                <w:rFonts w:eastAsia="Times New Roman"/>
                <w:color w:val="000000"/>
                <w:sz w:val="24"/>
                <w:szCs w:val="24"/>
                <w:lang w:val="es-AR" w:eastAsia="es-AR"/>
              </w:rPr>
              <w:t xml:space="preserve"> Frontal L</w:t>
            </w:r>
          </w:p>
        </w:tc>
      </w:tr>
      <w:tr w:rsidR="00A25896" w:rsidRPr="00A25896" w14:paraId="2E442C87"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0C010B6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1F1E2BE8"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4,0</w:t>
            </w:r>
          </w:p>
        </w:tc>
        <w:tc>
          <w:tcPr>
            <w:tcW w:w="960" w:type="dxa"/>
            <w:tcBorders>
              <w:top w:val="nil"/>
              <w:left w:val="nil"/>
              <w:bottom w:val="single" w:sz="8" w:space="0" w:color="auto"/>
              <w:right w:val="single" w:sz="8" w:space="0" w:color="auto"/>
            </w:tcBorders>
            <w:shd w:val="clear" w:color="auto" w:fill="auto"/>
            <w:noWrap/>
            <w:vAlign w:val="center"/>
            <w:hideMark/>
          </w:tcPr>
          <w:p w14:paraId="6387287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532743A0"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-34,5</w:t>
            </w:r>
          </w:p>
        </w:tc>
        <w:tc>
          <w:tcPr>
            <w:tcW w:w="856" w:type="dxa"/>
            <w:tcBorders>
              <w:top w:val="nil"/>
              <w:left w:val="nil"/>
              <w:bottom w:val="single" w:sz="8" w:space="0" w:color="auto"/>
              <w:right w:val="single" w:sz="8" w:space="0" w:color="auto"/>
            </w:tcBorders>
            <w:shd w:val="clear" w:color="auto" w:fill="auto"/>
            <w:noWrap/>
            <w:vAlign w:val="center"/>
            <w:hideMark/>
          </w:tcPr>
          <w:p w14:paraId="245A4365"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15</w:t>
            </w:r>
          </w:p>
        </w:tc>
        <w:tc>
          <w:tcPr>
            <w:tcW w:w="727" w:type="dxa"/>
            <w:tcBorders>
              <w:top w:val="nil"/>
              <w:left w:val="nil"/>
              <w:bottom w:val="single" w:sz="8" w:space="0" w:color="auto"/>
              <w:right w:val="single" w:sz="8" w:space="0" w:color="auto"/>
            </w:tcBorders>
            <w:shd w:val="clear" w:color="auto" w:fill="auto"/>
            <w:noWrap/>
            <w:vAlign w:val="center"/>
            <w:hideMark/>
          </w:tcPr>
          <w:p w14:paraId="35D82D3E"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6</w:t>
            </w:r>
          </w:p>
        </w:tc>
        <w:tc>
          <w:tcPr>
            <w:tcW w:w="2640" w:type="dxa"/>
            <w:tcBorders>
              <w:top w:val="nil"/>
              <w:left w:val="nil"/>
              <w:bottom w:val="single" w:sz="8" w:space="0" w:color="auto"/>
              <w:right w:val="single" w:sz="8" w:space="0" w:color="auto"/>
            </w:tcBorders>
            <w:shd w:val="clear" w:color="auto" w:fill="auto"/>
            <w:noWrap/>
            <w:vAlign w:val="center"/>
            <w:hideMark/>
          </w:tcPr>
          <w:p w14:paraId="414C7C2A"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Insula</w:t>
            </w:r>
            <w:proofErr w:type="spellEnd"/>
            <w:r w:rsidRPr="00A25896">
              <w:rPr>
                <w:rFonts w:eastAsia="Times New Roman"/>
                <w:color w:val="000000"/>
                <w:sz w:val="24"/>
                <w:szCs w:val="24"/>
                <w:lang w:val="es-AR" w:eastAsia="es-AR"/>
              </w:rPr>
              <w:t xml:space="preserve"> L </w:t>
            </w:r>
          </w:p>
        </w:tc>
      </w:tr>
      <w:tr w:rsidR="00A25896" w:rsidRPr="00A25896" w14:paraId="5AE8FB7A"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086D05A5"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597E532C"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3,4</w:t>
            </w:r>
          </w:p>
        </w:tc>
        <w:tc>
          <w:tcPr>
            <w:tcW w:w="960" w:type="dxa"/>
            <w:tcBorders>
              <w:top w:val="nil"/>
              <w:left w:val="nil"/>
              <w:bottom w:val="single" w:sz="8" w:space="0" w:color="auto"/>
              <w:right w:val="single" w:sz="8" w:space="0" w:color="auto"/>
            </w:tcBorders>
            <w:shd w:val="clear" w:color="auto" w:fill="auto"/>
            <w:noWrap/>
            <w:vAlign w:val="center"/>
            <w:hideMark/>
          </w:tcPr>
          <w:p w14:paraId="5E499CB8"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490E219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-24</w:t>
            </w:r>
          </w:p>
        </w:tc>
        <w:tc>
          <w:tcPr>
            <w:tcW w:w="856" w:type="dxa"/>
            <w:tcBorders>
              <w:top w:val="nil"/>
              <w:left w:val="nil"/>
              <w:bottom w:val="single" w:sz="8" w:space="0" w:color="auto"/>
              <w:right w:val="single" w:sz="8" w:space="0" w:color="auto"/>
            </w:tcBorders>
            <w:shd w:val="clear" w:color="auto" w:fill="auto"/>
            <w:noWrap/>
            <w:vAlign w:val="center"/>
            <w:hideMark/>
          </w:tcPr>
          <w:p w14:paraId="3E2BD3DB"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21</w:t>
            </w:r>
          </w:p>
        </w:tc>
        <w:tc>
          <w:tcPr>
            <w:tcW w:w="727" w:type="dxa"/>
            <w:tcBorders>
              <w:top w:val="nil"/>
              <w:left w:val="nil"/>
              <w:bottom w:val="single" w:sz="8" w:space="0" w:color="auto"/>
              <w:right w:val="single" w:sz="8" w:space="0" w:color="auto"/>
            </w:tcBorders>
            <w:shd w:val="clear" w:color="auto" w:fill="auto"/>
            <w:noWrap/>
            <w:vAlign w:val="center"/>
            <w:hideMark/>
          </w:tcPr>
          <w:p w14:paraId="326B5A44"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-1,5</w:t>
            </w:r>
          </w:p>
        </w:tc>
        <w:tc>
          <w:tcPr>
            <w:tcW w:w="2640" w:type="dxa"/>
            <w:tcBorders>
              <w:top w:val="nil"/>
              <w:left w:val="nil"/>
              <w:bottom w:val="single" w:sz="8" w:space="0" w:color="auto"/>
              <w:right w:val="single" w:sz="8" w:space="0" w:color="auto"/>
            </w:tcBorders>
            <w:shd w:val="clear" w:color="auto" w:fill="auto"/>
            <w:noWrap/>
            <w:vAlign w:val="center"/>
            <w:hideMark/>
          </w:tcPr>
          <w:p w14:paraId="5B72B725"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Frontal Lobe L</w:t>
            </w:r>
          </w:p>
        </w:tc>
      </w:tr>
      <w:tr w:rsidR="00A25896" w:rsidRPr="00A25896" w14:paraId="5B1CCA77" w14:textId="77777777" w:rsidTr="00A25896">
        <w:trPr>
          <w:trHeight w:val="320"/>
        </w:trPr>
        <w:tc>
          <w:tcPr>
            <w:tcW w:w="1820" w:type="dxa"/>
            <w:tcBorders>
              <w:top w:val="nil"/>
              <w:left w:val="single" w:sz="8" w:space="0" w:color="auto"/>
              <w:bottom w:val="nil"/>
              <w:right w:val="single" w:sz="8" w:space="0" w:color="auto"/>
            </w:tcBorders>
            <w:shd w:val="clear" w:color="auto" w:fill="auto"/>
            <w:noWrap/>
            <w:vAlign w:val="center"/>
            <w:hideMark/>
          </w:tcPr>
          <w:p w14:paraId="37046CE2"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2959</w:t>
            </w:r>
          </w:p>
        </w:tc>
        <w:tc>
          <w:tcPr>
            <w:tcW w:w="960" w:type="dxa"/>
            <w:tcBorders>
              <w:top w:val="nil"/>
              <w:left w:val="nil"/>
              <w:bottom w:val="single" w:sz="8" w:space="0" w:color="auto"/>
              <w:right w:val="single" w:sz="8" w:space="0" w:color="auto"/>
            </w:tcBorders>
            <w:shd w:val="clear" w:color="auto" w:fill="auto"/>
            <w:noWrap/>
            <w:vAlign w:val="center"/>
            <w:hideMark/>
          </w:tcPr>
          <w:p w14:paraId="3FD1F3B7"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4,2</w:t>
            </w:r>
          </w:p>
        </w:tc>
        <w:tc>
          <w:tcPr>
            <w:tcW w:w="960" w:type="dxa"/>
            <w:tcBorders>
              <w:top w:val="nil"/>
              <w:left w:val="nil"/>
              <w:bottom w:val="single" w:sz="8" w:space="0" w:color="auto"/>
              <w:right w:val="single" w:sz="8" w:space="0" w:color="auto"/>
            </w:tcBorders>
            <w:shd w:val="clear" w:color="auto" w:fill="auto"/>
            <w:noWrap/>
            <w:vAlign w:val="center"/>
            <w:hideMark/>
          </w:tcPr>
          <w:p w14:paraId="747F969C"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5DC1C46C"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-31,5</w:t>
            </w:r>
          </w:p>
        </w:tc>
        <w:tc>
          <w:tcPr>
            <w:tcW w:w="856" w:type="dxa"/>
            <w:tcBorders>
              <w:top w:val="nil"/>
              <w:left w:val="nil"/>
              <w:bottom w:val="single" w:sz="8" w:space="0" w:color="auto"/>
              <w:right w:val="single" w:sz="8" w:space="0" w:color="auto"/>
            </w:tcBorders>
            <w:shd w:val="clear" w:color="auto" w:fill="auto"/>
            <w:noWrap/>
            <w:vAlign w:val="center"/>
            <w:hideMark/>
          </w:tcPr>
          <w:p w14:paraId="6D9956D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-4,5</w:t>
            </w:r>
          </w:p>
        </w:tc>
        <w:tc>
          <w:tcPr>
            <w:tcW w:w="727" w:type="dxa"/>
            <w:tcBorders>
              <w:top w:val="nil"/>
              <w:left w:val="nil"/>
              <w:bottom w:val="single" w:sz="8" w:space="0" w:color="auto"/>
              <w:right w:val="single" w:sz="8" w:space="0" w:color="auto"/>
            </w:tcBorders>
            <w:shd w:val="clear" w:color="auto" w:fill="auto"/>
            <w:noWrap/>
            <w:vAlign w:val="center"/>
            <w:hideMark/>
          </w:tcPr>
          <w:p w14:paraId="2EA5A716"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-18</w:t>
            </w:r>
          </w:p>
        </w:tc>
        <w:tc>
          <w:tcPr>
            <w:tcW w:w="2640" w:type="dxa"/>
            <w:tcBorders>
              <w:top w:val="nil"/>
              <w:left w:val="nil"/>
              <w:bottom w:val="single" w:sz="8" w:space="0" w:color="auto"/>
              <w:right w:val="single" w:sz="8" w:space="0" w:color="auto"/>
            </w:tcBorders>
            <w:shd w:val="clear" w:color="auto" w:fill="auto"/>
            <w:noWrap/>
            <w:vAlign w:val="center"/>
            <w:hideMark/>
          </w:tcPr>
          <w:p w14:paraId="2407D255"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Parahippocampa</w:t>
            </w:r>
            <w:proofErr w:type="spellEnd"/>
            <w:r w:rsidRPr="00A25896">
              <w:rPr>
                <w:rFonts w:eastAsia="Times New Roman"/>
                <w:color w:val="000000"/>
                <w:sz w:val="24"/>
                <w:szCs w:val="24"/>
                <w:lang w:val="es-AR" w:eastAsia="es-AR"/>
              </w:rPr>
              <w:t xml:space="preserve"> </w:t>
            </w:r>
            <w:proofErr w:type="spellStart"/>
            <w:r w:rsidRPr="00A25896">
              <w:rPr>
                <w:rFonts w:eastAsia="Times New Roman"/>
                <w:color w:val="000000"/>
                <w:sz w:val="24"/>
                <w:szCs w:val="24"/>
                <w:lang w:val="es-AR" w:eastAsia="es-AR"/>
              </w:rPr>
              <w:t>Gyrus</w:t>
            </w:r>
            <w:proofErr w:type="spellEnd"/>
            <w:r w:rsidRPr="00A25896">
              <w:rPr>
                <w:rFonts w:eastAsia="Times New Roman"/>
                <w:color w:val="000000"/>
                <w:sz w:val="24"/>
                <w:szCs w:val="24"/>
                <w:lang w:val="es-AR" w:eastAsia="es-AR"/>
              </w:rPr>
              <w:t xml:space="preserve"> L</w:t>
            </w:r>
          </w:p>
        </w:tc>
      </w:tr>
      <w:tr w:rsidR="00A25896" w:rsidRPr="00A25896" w14:paraId="3184EC70" w14:textId="77777777" w:rsidTr="00A25896">
        <w:trPr>
          <w:trHeight w:val="320"/>
        </w:trPr>
        <w:tc>
          <w:tcPr>
            <w:tcW w:w="1820" w:type="dxa"/>
            <w:tcBorders>
              <w:top w:val="nil"/>
              <w:left w:val="single" w:sz="8" w:space="0" w:color="auto"/>
              <w:bottom w:val="single" w:sz="8" w:space="0" w:color="auto"/>
              <w:right w:val="single" w:sz="8" w:space="0" w:color="auto"/>
            </w:tcBorders>
            <w:shd w:val="clear" w:color="auto" w:fill="auto"/>
            <w:noWrap/>
            <w:vAlign w:val="center"/>
            <w:hideMark/>
          </w:tcPr>
          <w:p w14:paraId="7A900AEC"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 </w:t>
            </w:r>
          </w:p>
        </w:tc>
        <w:tc>
          <w:tcPr>
            <w:tcW w:w="960" w:type="dxa"/>
            <w:tcBorders>
              <w:top w:val="nil"/>
              <w:left w:val="nil"/>
              <w:bottom w:val="single" w:sz="8" w:space="0" w:color="auto"/>
              <w:right w:val="single" w:sz="8" w:space="0" w:color="auto"/>
            </w:tcBorders>
            <w:shd w:val="clear" w:color="auto" w:fill="auto"/>
            <w:noWrap/>
            <w:vAlign w:val="center"/>
            <w:hideMark/>
          </w:tcPr>
          <w:p w14:paraId="02FFFBD2"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3,7</w:t>
            </w:r>
          </w:p>
        </w:tc>
        <w:tc>
          <w:tcPr>
            <w:tcW w:w="960" w:type="dxa"/>
            <w:tcBorders>
              <w:top w:val="nil"/>
              <w:left w:val="nil"/>
              <w:bottom w:val="single" w:sz="8" w:space="0" w:color="auto"/>
              <w:right w:val="single" w:sz="8" w:space="0" w:color="auto"/>
            </w:tcBorders>
            <w:shd w:val="clear" w:color="auto" w:fill="auto"/>
            <w:noWrap/>
            <w:vAlign w:val="center"/>
            <w:hideMark/>
          </w:tcPr>
          <w:p w14:paraId="316C52F9"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&lt;.001</w:t>
            </w:r>
          </w:p>
        </w:tc>
        <w:tc>
          <w:tcPr>
            <w:tcW w:w="857" w:type="dxa"/>
            <w:tcBorders>
              <w:top w:val="nil"/>
              <w:left w:val="nil"/>
              <w:bottom w:val="single" w:sz="8" w:space="0" w:color="auto"/>
              <w:right w:val="single" w:sz="8" w:space="0" w:color="auto"/>
            </w:tcBorders>
            <w:shd w:val="clear" w:color="auto" w:fill="auto"/>
            <w:noWrap/>
            <w:vAlign w:val="center"/>
            <w:hideMark/>
          </w:tcPr>
          <w:p w14:paraId="23B7F054"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-40,5</w:t>
            </w:r>
          </w:p>
        </w:tc>
        <w:tc>
          <w:tcPr>
            <w:tcW w:w="856" w:type="dxa"/>
            <w:tcBorders>
              <w:top w:val="nil"/>
              <w:left w:val="nil"/>
              <w:bottom w:val="single" w:sz="8" w:space="0" w:color="auto"/>
              <w:right w:val="single" w:sz="8" w:space="0" w:color="auto"/>
            </w:tcBorders>
            <w:shd w:val="clear" w:color="auto" w:fill="auto"/>
            <w:noWrap/>
            <w:vAlign w:val="center"/>
            <w:hideMark/>
          </w:tcPr>
          <w:p w14:paraId="628B9723"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0</w:t>
            </w:r>
          </w:p>
        </w:tc>
        <w:tc>
          <w:tcPr>
            <w:tcW w:w="727" w:type="dxa"/>
            <w:tcBorders>
              <w:top w:val="nil"/>
              <w:left w:val="nil"/>
              <w:bottom w:val="single" w:sz="8" w:space="0" w:color="auto"/>
              <w:right w:val="single" w:sz="8" w:space="0" w:color="auto"/>
            </w:tcBorders>
            <w:shd w:val="clear" w:color="auto" w:fill="auto"/>
            <w:noWrap/>
            <w:vAlign w:val="center"/>
            <w:hideMark/>
          </w:tcPr>
          <w:p w14:paraId="203204A4" w14:textId="77777777" w:rsidR="00A25896" w:rsidRPr="00A25896" w:rsidRDefault="00A25896" w:rsidP="00A25896">
            <w:pPr>
              <w:jc w:val="center"/>
              <w:rPr>
                <w:rFonts w:eastAsia="Times New Roman"/>
                <w:color w:val="000000"/>
                <w:sz w:val="24"/>
                <w:szCs w:val="24"/>
                <w:lang w:val="es-AR" w:eastAsia="es-AR"/>
              </w:rPr>
            </w:pPr>
            <w:r w:rsidRPr="00A25896">
              <w:rPr>
                <w:rFonts w:eastAsia="Times New Roman"/>
                <w:color w:val="000000"/>
                <w:sz w:val="24"/>
                <w:szCs w:val="24"/>
                <w:lang w:val="es-AR" w:eastAsia="es-AR"/>
              </w:rPr>
              <w:t>-30</w:t>
            </w:r>
          </w:p>
        </w:tc>
        <w:tc>
          <w:tcPr>
            <w:tcW w:w="2640" w:type="dxa"/>
            <w:tcBorders>
              <w:top w:val="nil"/>
              <w:left w:val="nil"/>
              <w:bottom w:val="single" w:sz="8" w:space="0" w:color="auto"/>
              <w:right w:val="single" w:sz="8" w:space="0" w:color="auto"/>
            </w:tcBorders>
            <w:shd w:val="clear" w:color="auto" w:fill="auto"/>
            <w:noWrap/>
            <w:vAlign w:val="center"/>
            <w:hideMark/>
          </w:tcPr>
          <w:p w14:paraId="39E8C2C6" w14:textId="77777777" w:rsidR="00A25896" w:rsidRPr="00A25896" w:rsidRDefault="00A25896" w:rsidP="00A25896">
            <w:pPr>
              <w:jc w:val="center"/>
              <w:rPr>
                <w:rFonts w:eastAsia="Times New Roman"/>
                <w:color w:val="000000"/>
                <w:sz w:val="24"/>
                <w:szCs w:val="24"/>
                <w:lang w:val="es-AR" w:eastAsia="es-AR"/>
              </w:rPr>
            </w:pPr>
            <w:proofErr w:type="spellStart"/>
            <w:r w:rsidRPr="00A25896">
              <w:rPr>
                <w:rFonts w:eastAsia="Times New Roman"/>
                <w:color w:val="000000"/>
                <w:sz w:val="24"/>
                <w:szCs w:val="24"/>
                <w:lang w:val="es-AR" w:eastAsia="es-AR"/>
              </w:rPr>
              <w:t>Mid</w:t>
            </w:r>
            <w:proofErr w:type="spellEnd"/>
            <w:r w:rsidRPr="00A25896">
              <w:rPr>
                <w:rFonts w:eastAsia="Times New Roman"/>
                <w:color w:val="000000"/>
                <w:sz w:val="24"/>
                <w:szCs w:val="24"/>
                <w:lang w:val="es-AR" w:eastAsia="es-AR"/>
              </w:rPr>
              <w:t xml:space="preserve"> Temporal L </w:t>
            </w:r>
          </w:p>
        </w:tc>
      </w:tr>
    </w:tbl>
    <w:p w14:paraId="3C84336D" w14:textId="36B5A401" w:rsidR="0060120D" w:rsidRPr="006457B6" w:rsidRDefault="0060120D" w:rsidP="0060120D">
      <w:pPr>
        <w:rPr>
          <w:sz w:val="24"/>
          <w:szCs w:val="24"/>
        </w:rPr>
      </w:pPr>
    </w:p>
    <w:p w14:paraId="22659DB4" w14:textId="51537922" w:rsidR="006457B6" w:rsidRPr="0060120D" w:rsidRDefault="00A25896" w:rsidP="006457B6">
      <w:pPr>
        <w:rPr>
          <w:sz w:val="24"/>
          <w:szCs w:val="24"/>
        </w:rPr>
      </w:pPr>
      <w:r>
        <w:rPr>
          <w:b/>
          <w:bCs/>
          <w:i/>
          <w:color w:val="222222"/>
          <w:sz w:val="24"/>
          <w:szCs w:val="24"/>
        </w:rPr>
        <w:t>Supplementary file 2b</w:t>
      </w:r>
      <w:r w:rsidR="006457B6" w:rsidRPr="008D0254">
        <w:rPr>
          <w:b/>
          <w:bCs/>
          <w:i/>
          <w:color w:val="222222"/>
          <w:sz w:val="24"/>
          <w:szCs w:val="24"/>
        </w:rPr>
        <w:t>:</w:t>
      </w:r>
      <w:r w:rsidR="006457B6">
        <w:rPr>
          <w:b/>
          <w:bCs/>
          <w:i/>
          <w:color w:val="222222"/>
          <w:sz w:val="24"/>
          <w:szCs w:val="24"/>
        </w:rPr>
        <w:t xml:space="preserve"> </w:t>
      </w:r>
      <w:r w:rsidR="006457B6">
        <w:rPr>
          <w:i/>
          <w:color w:val="222222"/>
          <w:sz w:val="24"/>
          <w:szCs w:val="24"/>
        </w:rPr>
        <w:t xml:space="preserve"> </w:t>
      </w:r>
      <w:r w:rsidR="006457B6" w:rsidRPr="0060120D">
        <w:rPr>
          <w:sz w:val="24"/>
          <w:szCs w:val="24"/>
        </w:rPr>
        <w:t xml:space="preserve">Gray matter atrophy areas of participants with </w:t>
      </w:r>
      <w:proofErr w:type="spellStart"/>
      <w:r w:rsidR="006457B6" w:rsidRPr="0060120D">
        <w:rPr>
          <w:sz w:val="24"/>
          <w:szCs w:val="24"/>
        </w:rPr>
        <w:t>bvFTD</w:t>
      </w:r>
      <w:proofErr w:type="spellEnd"/>
      <w:r w:rsidR="006457B6" w:rsidRPr="0060120D">
        <w:rPr>
          <w:sz w:val="24"/>
          <w:szCs w:val="24"/>
        </w:rPr>
        <w:t xml:space="preserve"> (p &lt; .001, FWE-cluster-corrected for multiple comparisons).</w:t>
      </w:r>
    </w:p>
    <w:p w14:paraId="4BEACABA" w14:textId="3DFCC4F3" w:rsidR="006457B6" w:rsidRDefault="006457B6" w:rsidP="006457B6">
      <w:pPr>
        <w:spacing w:line="276" w:lineRule="auto"/>
        <w:rPr>
          <w:i/>
          <w:color w:val="222222"/>
          <w:sz w:val="24"/>
          <w:szCs w:val="24"/>
        </w:rPr>
      </w:pPr>
    </w:p>
    <w:p w14:paraId="251C7AAA" w14:textId="509AA42C" w:rsidR="00537810" w:rsidRDefault="00537810" w:rsidP="006457B6">
      <w:pPr>
        <w:spacing w:line="276" w:lineRule="auto"/>
        <w:rPr>
          <w:i/>
          <w:color w:val="222222"/>
          <w:sz w:val="24"/>
          <w:szCs w:val="24"/>
        </w:rPr>
      </w:pPr>
    </w:p>
    <w:p w14:paraId="579912B6" w14:textId="266FAB15" w:rsidR="00537810" w:rsidRDefault="00537810" w:rsidP="006457B6">
      <w:pPr>
        <w:spacing w:line="276" w:lineRule="auto"/>
        <w:rPr>
          <w:i/>
          <w:color w:val="222222"/>
          <w:sz w:val="24"/>
          <w:szCs w:val="24"/>
        </w:rPr>
      </w:pPr>
    </w:p>
    <w:p w14:paraId="25030BBD" w14:textId="00E6139A" w:rsidR="00537810" w:rsidRDefault="00537810" w:rsidP="006457B6">
      <w:pPr>
        <w:spacing w:line="276" w:lineRule="auto"/>
        <w:rPr>
          <w:i/>
          <w:color w:val="222222"/>
          <w:sz w:val="24"/>
          <w:szCs w:val="24"/>
        </w:rPr>
      </w:pPr>
    </w:p>
    <w:p w14:paraId="158AA86E" w14:textId="036C4142" w:rsidR="00537810" w:rsidRDefault="00537810" w:rsidP="006457B6">
      <w:pPr>
        <w:spacing w:line="276" w:lineRule="auto"/>
        <w:rPr>
          <w:i/>
          <w:color w:val="222222"/>
          <w:sz w:val="24"/>
          <w:szCs w:val="24"/>
        </w:rPr>
      </w:pPr>
    </w:p>
    <w:p w14:paraId="6B102FEB" w14:textId="670B2FA2" w:rsidR="00537810" w:rsidRDefault="00537810" w:rsidP="006457B6">
      <w:pPr>
        <w:spacing w:line="276" w:lineRule="auto"/>
        <w:rPr>
          <w:i/>
          <w:color w:val="222222"/>
          <w:sz w:val="24"/>
          <w:szCs w:val="24"/>
        </w:rPr>
      </w:pPr>
    </w:p>
    <w:p w14:paraId="470AB080" w14:textId="42B7353A" w:rsidR="00936D2B" w:rsidRDefault="003D3F9E">
      <w:pPr>
        <w:rPr>
          <w:sz w:val="24"/>
          <w:szCs w:val="24"/>
          <w:lang w:val="en-GB"/>
        </w:rPr>
      </w:pPr>
      <w:r>
        <w:rPr>
          <w:noProof/>
          <w:sz w:val="24"/>
          <w:szCs w:val="24"/>
          <w:lang w:val="en-GB"/>
        </w:rPr>
        <w:drawing>
          <wp:inline distT="0" distB="0" distL="0" distR="0" wp14:anchorId="7AEB5CE5" wp14:editId="410A263E">
            <wp:extent cx="5612130" cy="149542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1495425"/>
                    </a:xfrm>
                    <a:prstGeom prst="rect">
                      <a:avLst/>
                    </a:prstGeom>
                  </pic:spPr>
                </pic:pic>
              </a:graphicData>
            </a:graphic>
          </wp:inline>
        </w:drawing>
      </w:r>
    </w:p>
    <w:p w14:paraId="0981C8C4" w14:textId="2D0AD037" w:rsidR="003D3F9E" w:rsidRDefault="005D12FA" w:rsidP="003D3F9E">
      <w:pPr>
        <w:spacing w:line="276" w:lineRule="auto"/>
        <w:rPr>
          <w:i/>
          <w:color w:val="222222"/>
          <w:sz w:val="24"/>
          <w:szCs w:val="24"/>
        </w:rPr>
      </w:pPr>
      <w:bookmarkStart w:id="2" w:name="_Hlk129167673"/>
      <w:r w:rsidRPr="008D0254">
        <w:rPr>
          <w:b/>
          <w:bCs/>
          <w:i/>
          <w:color w:val="222222"/>
          <w:sz w:val="24"/>
          <w:szCs w:val="24"/>
        </w:rPr>
        <w:t xml:space="preserve">Figure </w:t>
      </w:r>
      <w:r>
        <w:rPr>
          <w:b/>
          <w:bCs/>
          <w:i/>
          <w:color w:val="222222"/>
          <w:sz w:val="24"/>
          <w:szCs w:val="24"/>
        </w:rPr>
        <w:t xml:space="preserve">2 </w:t>
      </w:r>
      <w:r w:rsidRPr="00103F12">
        <w:rPr>
          <w:b/>
          <w:bCs/>
          <w:i/>
          <w:color w:val="222222"/>
          <w:sz w:val="24"/>
          <w:szCs w:val="24"/>
        </w:rPr>
        <w:t>—</w:t>
      </w:r>
      <w:r>
        <w:rPr>
          <w:b/>
          <w:bCs/>
          <w:i/>
          <w:color w:val="222222"/>
          <w:sz w:val="24"/>
          <w:szCs w:val="24"/>
        </w:rPr>
        <w:t xml:space="preserve"> </w:t>
      </w:r>
      <w:r w:rsidRPr="00103F12">
        <w:rPr>
          <w:b/>
          <w:bCs/>
          <w:i/>
          <w:color w:val="222222"/>
          <w:sz w:val="24"/>
          <w:szCs w:val="24"/>
        </w:rPr>
        <w:t xml:space="preserve">figure supplement </w:t>
      </w:r>
      <w:r>
        <w:rPr>
          <w:b/>
          <w:bCs/>
          <w:i/>
          <w:color w:val="222222"/>
          <w:sz w:val="24"/>
          <w:szCs w:val="24"/>
        </w:rPr>
        <w:t>2</w:t>
      </w:r>
      <w:r w:rsidR="003D3F9E" w:rsidRPr="003D3F9E">
        <w:rPr>
          <w:b/>
          <w:bCs/>
          <w:i/>
          <w:color w:val="222222"/>
          <w:sz w:val="24"/>
          <w:szCs w:val="24"/>
        </w:rPr>
        <w:t>: Correlations between disease-atrophy maps</w:t>
      </w:r>
      <w:r w:rsidR="003D3F9E">
        <w:rPr>
          <w:i/>
          <w:color w:val="222222"/>
          <w:sz w:val="24"/>
          <w:szCs w:val="24"/>
        </w:rPr>
        <w:t xml:space="preserve">. The correlation between the </w:t>
      </w:r>
      <w:r w:rsidR="003D3F9E" w:rsidRPr="007A4B25">
        <w:rPr>
          <w:i/>
          <w:color w:val="222222"/>
          <w:sz w:val="24"/>
          <w:szCs w:val="24"/>
        </w:rPr>
        <w:t xml:space="preserve">atrophy map of AD and FTD is high (R=0.75,p&lt;0.001), left panel; while the correlations between the FTD and AD maps and the PD maps are lower </w:t>
      </w:r>
      <w:r w:rsidR="003D3F9E" w:rsidRPr="003D3F9E">
        <w:rPr>
          <w:i/>
          <w:color w:val="222222"/>
          <w:sz w:val="24"/>
          <w:szCs w:val="24"/>
        </w:rPr>
        <w:t>(PD vs Ad; R=-0.03,p=0.76; PD vs FTD; R=-0.22, p=0.05)</w:t>
      </w:r>
      <w:r w:rsidR="003D3F9E" w:rsidRPr="007A4B25">
        <w:rPr>
          <w:i/>
          <w:color w:val="222222"/>
          <w:sz w:val="24"/>
          <w:szCs w:val="24"/>
        </w:rPr>
        <w:t>.</w:t>
      </w:r>
    </w:p>
    <w:bookmarkEnd w:id="2"/>
    <w:p w14:paraId="26307B92" w14:textId="2D0145EA" w:rsidR="00537810" w:rsidRDefault="00537810" w:rsidP="003D3F9E">
      <w:pPr>
        <w:spacing w:line="276" w:lineRule="auto"/>
        <w:rPr>
          <w:i/>
          <w:color w:val="222222"/>
          <w:sz w:val="24"/>
          <w:szCs w:val="24"/>
        </w:rPr>
      </w:pPr>
    </w:p>
    <w:p w14:paraId="24E3EC7D" w14:textId="56F44004" w:rsidR="00537810" w:rsidRDefault="00537810" w:rsidP="003D3F9E">
      <w:pPr>
        <w:spacing w:line="276" w:lineRule="auto"/>
        <w:rPr>
          <w:i/>
          <w:color w:val="222222"/>
          <w:sz w:val="24"/>
          <w:szCs w:val="24"/>
        </w:rPr>
      </w:pPr>
    </w:p>
    <w:p w14:paraId="7348B3AA" w14:textId="47217545" w:rsidR="00537810" w:rsidRDefault="00537810" w:rsidP="003D3F9E">
      <w:pPr>
        <w:spacing w:line="276" w:lineRule="auto"/>
        <w:rPr>
          <w:i/>
          <w:color w:val="222222"/>
          <w:sz w:val="24"/>
          <w:szCs w:val="24"/>
        </w:rPr>
      </w:pPr>
    </w:p>
    <w:p w14:paraId="699CC349" w14:textId="77777777" w:rsidR="00537810" w:rsidRDefault="00537810" w:rsidP="003D3F9E">
      <w:pPr>
        <w:spacing w:line="276" w:lineRule="auto"/>
        <w:rPr>
          <w:i/>
          <w:color w:val="222222"/>
          <w:sz w:val="24"/>
          <w:szCs w:val="24"/>
        </w:rPr>
      </w:pPr>
    </w:p>
    <w:p w14:paraId="5F4840F0" w14:textId="71F0282D" w:rsidR="003D3F9E" w:rsidRDefault="003D3F9E" w:rsidP="003D3F9E">
      <w:pPr>
        <w:spacing w:line="276" w:lineRule="auto"/>
        <w:rPr>
          <w:i/>
          <w:color w:val="222222"/>
          <w:sz w:val="24"/>
          <w:szCs w:val="24"/>
        </w:rPr>
      </w:pPr>
    </w:p>
    <w:p w14:paraId="25424341" w14:textId="37648D41" w:rsidR="003D3F9E" w:rsidRDefault="003D3F9E" w:rsidP="003D3F9E">
      <w:pPr>
        <w:spacing w:line="276" w:lineRule="auto"/>
        <w:rPr>
          <w:sz w:val="24"/>
          <w:szCs w:val="24"/>
          <w:lang w:val="en-GB"/>
        </w:rPr>
      </w:pPr>
      <w:r>
        <w:rPr>
          <w:noProof/>
          <w:sz w:val="24"/>
          <w:szCs w:val="24"/>
          <w:lang w:val="en-GB"/>
        </w:rPr>
        <w:lastRenderedPageBreak/>
        <w:drawing>
          <wp:inline distT="0" distB="0" distL="0" distR="0" wp14:anchorId="76F66578" wp14:editId="4ADCEA57">
            <wp:extent cx="5612130" cy="220599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2205990"/>
                    </a:xfrm>
                    <a:prstGeom prst="rect">
                      <a:avLst/>
                    </a:prstGeom>
                  </pic:spPr>
                </pic:pic>
              </a:graphicData>
            </a:graphic>
          </wp:inline>
        </w:drawing>
      </w:r>
    </w:p>
    <w:p w14:paraId="36536BA5" w14:textId="3743894C" w:rsidR="003D3F9E" w:rsidRPr="005D12FA" w:rsidRDefault="005D12FA" w:rsidP="003D3F9E">
      <w:pPr>
        <w:pStyle w:val="NormalWeb"/>
        <w:shd w:val="clear" w:color="auto" w:fill="FFFFFF"/>
        <w:spacing w:line="276" w:lineRule="auto"/>
        <w:rPr>
          <w:rFonts w:eastAsiaTheme="minorHAnsi"/>
          <w:i/>
          <w:color w:val="222222"/>
          <w:lang w:val="en-US" w:eastAsia="en-US"/>
        </w:rPr>
      </w:pPr>
      <w:bookmarkStart w:id="3" w:name="_Hlk129167680"/>
      <w:r w:rsidRPr="005D12FA">
        <w:rPr>
          <w:b/>
          <w:bCs/>
          <w:i/>
          <w:color w:val="222222"/>
          <w:lang w:val="en-GB"/>
        </w:rPr>
        <w:t xml:space="preserve">Figure 2 — figure supplement </w:t>
      </w:r>
      <w:r w:rsidRPr="005D12FA">
        <w:rPr>
          <w:b/>
          <w:bCs/>
          <w:i/>
          <w:color w:val="222222"/>
          <w:lang w:val="en-GB"/>
        </w:rPr>
        <w:t>3</w:t>
      </w:r>
      <w:r w:rsidR="003D3F9E" w:rsidRPr="005D12FA">
        <w:rPr>
          <w:rFonts w:eastAsiaTheme="minorHAnsi"/>
          <w:b/>
          <w:bCs/>
          <w:i/>
          <w:color w:val="222222"/>
          <w:lang w:val="en-US" w:eastAsia="en-US"/>
        </w:rPr>
        <w:t>:</w:t>
      </w:r>
      <w:r w:rsidR="003D3F9E" w:rsidRPr="005D12FA">
        <w:rPr>
          <w:rFonts w:eastAsiaTheme="minorHAnsi"/>
          <w:i/>
          <w:color w:val="222222"/>
          <w:lang w:val="en-US" w:eastAsia="en-US"/>
        </w:rPr>
        <w:t xml:space="preserve"> </w:t>
      </w:r>
      <w:r w:rsidR="003D3F9E" w:rsidRPr="005D12FA">
        <w:rPr>
          <w:rFonts w:eastAsiaTheme="minorHAnsi"/>
          <w:b/>
          <w:bCs/>
          <w:i/>
          <w:color w:val="222222"/>
          <w:lang w:val="en-US" w:eastAsia="en-US"/>
        </w:rPr>
        <w:t>Fitting the whole-brain model to the empirical data</w:t>
      </w:r>
      <w:r w:rsidR="003D3F9E" w:rsidRPr="005D12FA">
        <w:rPr>
          <w:rFonts w:eastAsiaTheme="minorHAnsi"/>
          <w:i/>
          <w:color w:val="222222"/>
          <w:lang w:val="en-US" w:eastAsia="en-US"/>
        </w:rPr>
        <w:t xml:space="preserve">. The violin plots display 1 - </w:t>
      </w:r>
      <w:proofErr w:type="spellStart"/>
      <w:r w:rsidR="003D3F9E" w:rsidRPr="005D12FA">
        <w:rPr>
          <w:rFonts w:eastAsiaTheme="minorHAnsi"/>
          <w:i/>
          <w:color w:val="222222"/>
          <w:lang w:val="en-US" w:eastAsia="en-US"/>
        </w:rPr>
        <w:t>GoF</w:t>
      </w:r>
      <w:proofErr w:type="spellEnd"/>
      <w:r w:rsidR="003D3F9E" w:rsidRPr="005D12FA">
        <w:rPr>
          <w:rFonts w:eastAsiaTheme="minorHAnsi"/>
          <w:i/>
          <w:color w:val="222222"/>
          <w:lang w:val="en-US" w:eastAsia="en-US"/>
        </w:rPr>
        <w:t xml:space="preserve"> values (300 independent realizations of parameter fitting) for CNT, AD and </w:t>
      </w:r>
      <w:proofErr w:type="spellStart"/>
      <w:r w:rsidR="003D3F9E" w:rsidRPr="005D12FA">
        <w:rPr>
          <w:rFonts w:eastAsiaTheme="minorHAnsi"/>
          <w:i/>
          <w:color w:val="222222"/>
          <w:lang w:val="en-US" w:eastAsia="en-US"/>
        </w:rPr>
        <w:t>bvFTD</w:t>
      </w:r>
      <w:proofErr w:type="spellEnd"/>
      <w:r w:rsidR="003D3F9E" w:rsidRPr="005D12FA">
        <w:rPr>
          <w:rFonts w:eastAsiaTheme="minorHAnsi"/>
          <w:i/>
          <w:color w:val="222222"/>
          <w:lang w:val="en-US" w:eastAsia="en-US"/>
        </w:rPr>
        <w:t xml:space="preserve"> using anatomical priors based on resting state networks (RSN), AD, </w:t>
      </w:r>
      <w:proofErr w:type="spellStart"/>
      <w:r w:rsidR="003D3F9E" w:rsidRPr="005D12FA">
        <w:rPr>
          <w:rFonts w:eastAsiaTheme="minorHAnsi"/>
          <w:i/>
          <w:color w:val="222222"/>
          <w:lang w:val="en-US" w:eastAsia="en-US"/>
        </w:rPr>
        <w:t>bvFTD</w:t>
      </w:r>
      <w:proofErr w:type="spellEnd"/>
      <w:r w:rsidR="003D3F9E" w:rsidRPr="005D12FA">
        <w:rPr>
          <w:rFonts w:eastAsiaTheme="minorHAnsi"/>
          <w:i/>
          <w:color w:val="222222"/>
          <w:lang w:val="en-US" w:eastAsia="en-US"/>
        </w:rPr>
        <w:t xml:space="preserve"> (separately), and Parkinson’s disease atrophy maps (PD), random assignment (Random), and equally sized groups of nodes defined by anatomical proximity (Equal) (* and ** indicate large [</w:t>
      </w:r>
      <m:oMath>
        <m:d>
          <m:dPr>
            <m:begChr m:val="|"/>
            <m:endChr m:val="|"/>
            <m:ctrlPr>
              <w:rPr>
                <w:rFonts w:ascii="Cambria Math" w:eastAsia="Cambria Math" w:hAnsi="Cambria Math"/>
                <w:i/>
                <w:color w:val="222222"/>
                <w:lang w:val="en-US" w:eastAsia="en-US"/>
              </w:rPr>
            </m:ctrlPr>
          </m:dPr>
          <m:e>
            <m:r>
              <w:rPr>
                <w:rFonts w:ascii="Cambria Math" w:eastAsia="Cambria Math" w:hAnsi="Cambria Math"/>
                <w:color w:val="222222"/>
                <w:lang w:val="en-US" w:eastAsia="en-US"/>
              </w:rPr>
              <m:t>d</m:t>
            </m:r>
          </m:e>
        </m:d>
      </m:oMath>
      <w:r w:rsidR="003D3F9E" w:rsidRPr="005D12FA">
        <w:rPr>
          <w:rFonts w:eastAsiaTheme="minorHAnsi"/>
          <w:i/>
          <w:color w:val="222222"/>
          <w:lang w:val="en-US" w:eastAsia="en-US"/>
        </w:rPr>
        <w:t>&gt;0.8] and very large [</w:t>
      </w:r>
      <m:oMath>
        <m:d>
          <m:dPr>
            <m:begChr m:val="|"/>
            <m:endChr m:val="|"/>
            <m:ctrlPr>
              <w:rPr>
                <w:rFonts w:ascii="Cambria Math" w:eastAsia="Cambria Math" w:hAnsi="Cambria Math"/>
                <w:i/>
                <w:color w:val="222222"/>
                <w:lang w:val="en-US" w:eastAsia="en-US"/>
              </w:rPr>
            </m:ctrlPr>
          </m:dPr>
          <m:e>
            <m:r>
              <w:rPr>
                <w:rFonts w:ascii="Cambria Math" w:eastAsia="Cambria Math" w:hAnsi="Cambria Math"/>
                <w:color w:val="222222"/>
                <w:lang w:val="en-US" w:eastAsia="en-US"/>
              </w:rPr>
              <m:t>d</m:t>
            </m:r>
          </m:e>
        </m:d>
      </m:oMath>
      <w:r w:rsidR="003D3F9E" w:rsidRPr="005D12FA">
        <w:rPr>
          <w:rFonts w:eastAsiaTheme="minorHAnsi"/>
          <w:i/>
          <w:color w:val="222222"/>
          <w:lang w:val="en-US" w:eastAsia="en-US"/>
        </w:rPr>
        <w:t>&gt;1.3] effect sizes according to Cohen’s d computed against the best fitting prior of each model)</w:t>
      </w:r>
    </w:p>
    <w:bookmarkEnd w:id="3"/>
    <w:p w14:paraId="278BB960" w14:textId="4E8A7FF2" w:rsidR="003D3F9E" w:rsidRDefault="003D3F9E" w:rsidP="003D3F9E">
      <w:pPr>
        <w:spacing w:line="276" w:lineRule="auto"/>
        <w:rPr>
          <w:sz w:val="24"/>
          <w:szCs w:val="24"/>
        </w:rPr>
      </w:pPr>
    </w:p>
    <w:p w14:paraId="325B3C7C" w14:textId="712C2527" w:rsidR="00537810" w:rsidRDefault="00537810" w:rsidP="003D3F9E">
      <w:pPr>
        <w:spacing w:line="276" w:lineRule="auto"/>
        <w:rPr>
          <w:sz w:val="24"/>
          <w:szCs w:val="24"/>
        </w:rPr>
      </w:pPr>
    </w:p>
    <w:p w14:paraId="459A4DA4" w14:textId="4BA16BD0" w:rsidR="00537810" w:rsidRDefault="00537810" w:rsidP="003D3F9E">
      <w:pPr>
        <w:spacing w:line="276" w:lineRule="auto"/>
        <w:rPr>
          <w:sz w:val="24"/>
          <w:szCs w:val="24"/>
        </w:rPr>
      </w:pPr>
    </w:p>
    <w:p w14:paraId="0AB1DF3C" w14:textId="361EBBA8" w:rsidR="00537810" w:rsidRDefault="00537810" w:rsidP="003D3F9E">
      <w:pPr>
        <w:spacing w:line="276" w:lineRule="auto"/>
        <w:rPr>
          <w:sz w:val="24"/>
          <w:szCs w:val="24"/>
        </w:rPr>
      </w:pPr>
    </w:p>
    <w:p w14:paraId="5411E0E4" w14:textId="4CED61E5" w:rsidR="00702306" w:rsidRDefault="00702306" w:rsidP="003D3F9E">
      <w:pPr>
        <w:spacing w:line="276" w:lineRule="auto"/>
        <w:rPr>
          <w:sz w:val="24"/>
          <w:szCs w:val="24"/>
        </w:rPr>
      </w:pPr>
    </w:p>
    <w:p w14:paraId="49D16A94" w14:textId="01F2882F" w:rsidR="00702306" w:rsidRDefault="00702306" w:rsidP="003D3F9E">
      <w:pPr>
        <w:spacing w:line="276" w:lineRule="auto"/>
        <w:rPr>
          <w:sz w:val="24"/>
          <w:szCs w:val="24"/>
        </w:rPr>
      </w:pPr>
    </w:p>
    <w:p w14:paraId="43FF624A" w14:textId="70069A06" w:rsidR="00537810" w:rsidRDefault="00537810" w:rsidP="00333000">
      <w:pPr>
        <w:spacing w:line="276" w:lineRule="auto"/>
        <w:jc w:val="center"/>
        <w:rPr>
          <w:sz w:val="24"/>
          <w:szCs w:val="24"/>
        </w:rPr>
      </w:pPr>
      <w:r>
        <w:rPr>
          <w:noProof/>
          <w:sz w:val="24"/>
          <w:szCs w:val="24"/>
        </w:rPr>
        <w:lastRenderedPageBreak/>
        <w:drawing>
          <wp:inline distT="0" distB="0" distL="0" distR="0" wp14:anchorId="493A03D1" wp14:editId="38B2757F">
            <wp:extent cx="4084727" cy="33751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4727" cy="3375131"/>
                    </a:xfrm>
                    <a:prstGeom prst="rect">
                      <a:avLst/>
                    </a:prstGeom>
                  </pic:spPr>
                </pic:pic>
              </a:graphicData>
            </a:graphic>
          </wp:inline>
        </w:drawing>
      </w:r>
    </w:p>
    <w:p w14:paraId="433F0338" w14:textId="53F05C6A" w:rsidR="00537810" w:rsidRDefault="00537810" w:rsidP="00FD686F">
      <w:pPr>
        <w:pStyle w:val="NormalWeb"/>
        <w:shd w:val="clear" w:color="auto" w:fill="FFFFFF"/>
        <w:spacing w:line="276" w:lineRule="auto"/>
        <w:rPr>
          <w:rFonts w:asciiTheme="minorHAnsi" w:hAnsiTheme="minorHAnsi" w:cstheme="minorHAnsi"/>
          <w:color w:val="222222"/>
          <w:lang w:val="en-GB"/>
        </w:rPr>
      </w:pPr>
      <w:r w:rsidRPr="00A23EE2">
        <w:rPr>
          <w:b/>
          <w:bCs/>
          <w:i/>
          <w:color w:val="222222"/>
          <w:lang w:val="en-GB"/>
        </w:rPr>
        <w:t xml:space="preserve">Figure </w:t>
      </w:r>
      <w:r w:rsidR="00A25896">
        <w:rPr>
          <w:b/>
          <w:bCs/>
          <w:i/>
          <w:color w:val="222222"/>
          <w:lang w:val="en-GB"/>
        </w:rPr>
        <w:t>5 – figure supplement 1</w:t>
      </w:r>
      <w:r w:rsidRPr="00A23EE2">
        <w:rPr>
          <w:b/>
          <w:bCs/>
          <w:i/>
          <w:color w:val="222222"/>
          <w:lang w:val="en-GB"/>
        </w:rPr>
        <w:t xml:space="preserve">: </w:t>
      </w:r>
      <w:r w:rsidRPr="00A23EE2">
        <w:rPr>
          <w:i/>
          <w:color w:val="222222"/>
          <w:lang w:val="en-GB"/>
        </w:rPr>
        <w:t xml:space="preserve"> </w:t>
      </w:r>
      <w:r w:rsidRPr="00A74531">
        <w:rPr>
          <w:b/>
          <w:bCs/>
          <w:i/>
          <w:color w:val="222222"/>
          <w:lang w:val="en-GB"/>
        </w:rPr>
        <w:t>Mapping 1-GOF in the latent space comparing with distance to CNT.</w:t>
      </w:r>
      <w:r>
        <w:rPr>
          <w:i/>
          <w:color w:val="222222"/>
          <w:lang w:val="en-GB"/>
        </w:rPr>
        <w:t xml:space="preserve"> </w:t>
      </w:r>
      <w:r>
        <w:rPr>
          <w:rFonts w:asciiTheme="minorHAnsi" w:hAnsiTheme="minorHAnsi" w:cstheme="minorHAnsi"/>
          <w:color w:val="222222"/>
          <w:lang w:val="en-GB"/>
        </w:rPr>
        <w:t xml:space="preserve">We </w:t>
      </w:r>
      <w:r w:rsidRPr="00A74531">
        <w:rPr>
          <w:rFonts w:asciiTheme="minorHAnsi" w:hAnsiTheme="minorHAnsi" w:cstheme="minorHAnsi"/>
          <w:i/>
          <w:iCs/>
          <w:color w:val="222222"/>
          <w:lang w:val="en-GB"/>
        </w:rPr>
        <w:t xml:space="preserve">systematically decoded points within a 20x20 grid in the latent space and compute the GOF between the decoded FCs and the controls’ FC. We display the GOF map together with the controls’ centre (blue circle), AD+ centre (red circle) and all the minimal distance of all the </w:t>
      </w:r>
      <w:r w:rsidRPr="00537810">
        <w:rPr>
          <w:rFonts w:asciiTheme="minorHAnsi" w:hAnsiTheme="minorHAnsi" w:cstheme="minorHAnsi"/>
          <w:i/>
          <w:iCs/>
          <w:color w:val="222222"/>
          <w:lang w:val="en-GB"/>
        </w:rPr>
        <w:t>possible perturbations of the AD+ condition (in the wave perturbative approach, black triangles).  As is noticeable, not equal distances representing equal GOF this is due to the two-dimensional nature of the latent space representation.</w:t>
      </w:r>
    </w:p>
    <w:p w14:paraId="39AE7F0A" w14:textId="636B6511" w:rsidR="00537810" w:rsidRDefault="00537810" w:rsidP="00537810">
      <w:pPr>
        <w:pStyle w:val="NormalWeb"/>
        <w:shd w:val="clear" w:color="auto" w:fill="FFFFFF"/>
        <w:rPr>
          <w:rFonts w:asciiTheme="minorHAnsi" w:hAnsiTheme="minorHAnsi" w:cstheme="minorHAnsi"/>
          <w:color w:val="222222"/>
          <w:lang w:val="en-GB"/>
        </w:rPr>
      </w:pPr>
    </w:p>
    <w:p w14:paraId="484FD516" w14:textId="77777777" w:rsidR="00537810" w:rsidRPr="00537810" w:rsidRDefault="00537810" w:rsidP="003D3F9E">
      <w:pPr>
        <w:spacing w:line="276" w:lineRule="auto"/>
        <w:rPr>
          <w:sz w:val="24"/>
          <w:szCs w:val="24"/>
          <w:lang w:val="en-GB"/>
        </w:rPr>
      </w:pPr>
    </w:p>
    <w:sectPr w:rsidR="00537810" w:rsidRPr="005378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43"/>
    <w:rsid w:val="00103F12"/>
    <w:rsid w:val="00213143"/>
    <w:rsid w:val="00333000"/>
    <w:rsid w:val="003D3F9E"/>
    <w:rsid w:val="00537810"/>
    <w:rsid w:val="005D12FA"/>
    <w:rsid w:val="0060120D"/>
    <w:rsid w:val="006457B6"/>
    <w:rsid w:val="006E4A76"/>
    <w:rsid w:val="00702306"/>
    <w:rsid w:val="008D0254"/>
    <w:rsid w:val="00936D2B"/>
    <w:rsid w:val="00A25896"/>
    <w:rsid w:val="00FD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C24D"/>
  <w15:chartTrackingRefBased/>
  <w15:docId w15:val="{868B0ED8-98D9-4F90-9F16-646EF441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54"/>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0254"/>
    <w:rPr>
      <w:color w:val="0000FF"/>
      <w:u w:val="single"/>
    </w:rPr>
  </w:style>
  <w:style w:type="paragraph" w:styleId="NormalWeb">
    <w:name w:val="Normal (Web)"/>
    <w:basedOn w:val="Normal"/>
    <w:uiPriority w:val="99"/>
    <w:unhideWhenUsed/>
    <w:rsid w:val="003D3F9E"/>
    <w:pPr>
      <w:spacing w:before="100" w:beforeAutospacing="1" w:after="100" w:afterAutospacing="1"/>
    </w:pPr>
    <w:rPr>
      <w:rFonts w:eastAsia="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19956">
      <w:bodyDiv w:val="1"/>
      <w:marLeft w:val="0"/>
      <w:marRight w:val="0"/>
      <w:marTop w:val="0"/>
      <w:marBottom w:val="0"/>
      <w:divBdr>
        <w:top w:val="none" w:sz="0" w:space="0" w:color="auto"/>
        <w:left w:val="none" w:sz="0" w:space="0" w:color="auto"/>
        <w:bottom w:val="none" w:sz="0" w:space="0" w:color="auto"/>
        <w:right w:val="none" w:sz="0" w:space="0" w:color="auto"/>
      </w:divBdr>
    </w:div>
    <w:div w:id="1111439735">
      <w:bodyDiv w:val="1"/>
      <w:marLeft w:val="0"/>
      <w:marRight w:val="0"/>
      <w:marTop w:val="0"/>
      <w:marBottom w:val="0"/>
      <w:divBdr>
        <w:top w:val="none" w:sz="0" w:space="0" w:color="auto"/>
        <w:left w:val="none" w:sz="0" w:space="0" w:color="auto"/>
        <w:bottom w:val="none" w:sz="0" w:space="0" w:color="auto"/>
        <w:right w:val="none" w:sz="0" w:space="0" w:color="auto"/>
      </w:divBdr>
    </w:div>
    <w:div w:id="15059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hyperlink" Target="mailto:yonatan.sanz@upf.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757</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Yonatan Sanz Perl</dc:creator>
  <cp:keywords/>
  <dc:description/>
  <cp:lastModifiedBy>Yonatan Sanz Perl</cp:lastModifiedBy>
  <cp:revision>12</cp:revision>
  <dcterms:created xsi:type="dcterms:W3CDTF">2023-02-08T15:20:00Z</dcterms:created>
  <dcterms:modified xsi:type="dcterms:W3CDTF">2023-03-08T14:57:00Z</dcterms:modified>
</cp:coreProperties>
</file>