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302D" w14:textId="100D389F" w:rsidR="00A733A0" w:rsidRPr="006F166E" w:rsidRDefault="005D7B28">
      <w:pPr>
        <w:rPr>
          <w:rFonts w:ascii="Arial" w:hAnsi="Arial" w:cs="Arial"/>
          <w:b/>
          <w:bCs/>
          <w:sz w:val="22"/>
          <w:szCs w:val="22"/>
        </w:rPr>
      </w:pPr>
      <w:r w:rsidRPr="006F166E">
        <w:rPr>
          <w:rFonts w:ascii="Arial" w:hAnsi="Arial" w:cs="Arial"/>
          <w:b/>
          <w:bCs/>
          <w:sz w:val="22"/>
          <w:szCs w:val="22"/>
        </w:rPr>
        <w:t>Supplementa</w:t>
      </w:r>
      <w:r w:rsidR="002042AB">
        <w:rPr>
          <w:rFonts w:ascii="Arial" w:hAnsi="Arial" w:cs="Arial"/>
          <w:b/>
          <w:bCs/>
          <w:sz w:val="22"/>
          <w:szCs w:val="22"/>
        </w:rPr>
        <w:t>ry</w:t>
      </w:r>
      <w:r w:rsidRPr="006F166E">
        <w:rPr>
          <w:rFonts w:ascii="Arial" w:hAnsi="Arial" w:cs="Arial"/>
          <w:b/>
          <w:bCs/>
          <w:sz w:val="22"/>
          <w:szCs w:val="22"/>
        </w:rPr>
        <w:t xml:space="preserve"> </w:t>
      </w:r>
      <w:r w:rsidR="002042AB">
        <w:rPr>
          <w:rFonts w:ascii="Arial" w:hAnsi="Arial" w:cs="Arial"/>
          <w:b/>
          <w:bCs/>
          <w:sz w:val="22"/>
          <w:szCs w:val="22"/>
        </w:rPr>
        <w:t>File</w:t>
      </w:r>
      <w:r w:rsidRPr="006F166E">
        <w:rPr>
          <w:rFonts w:ascii="Arial" w:hAnsi="Arial" w:cs="Arial"/>
          <w:b/>
          <w:bCs/>
          <w:sz w:val="22"/>
          <w:szCs w:val="22"/>
        </w:rPr>
        <w:t xml:space="preserve"> 2: Disease mutations in dynein and LIS1 shown in Video 2.</w:t>
      </w:r>
    </w:p>
    <w:p w14:paraId="3D793003" w14:textId="77777777" w:rsidR="006C6867" w:rsidRDefault="006C6867" w:rsidP="00123236">
      <w:pPr>
        <w:pStyle w:val="Bibliography"/>
        <w:rPr>
          <w:rFonts w:ascii="Arial" w:hAnsi="Arial" w:cs="Arial"/>
          <w:b/>
          <w:bCs/>
          <w:sz w:val="20"/>
          <w:szCs w:val="20"/>
          <w:u w:val="single"/>
        </w:rPr>
      </w:pPr>
    </w:p>
    <w:tbl>
      <w:tblPr>
        <w:tblStyle w:val="TableGrid"/>
        <w:tblpPr w:leftFromText="180" w:rightFromText="180" w:vertAnchor="page" w:horzAnchor="margin" w:tblpY="1842"/>
        <w:tblW w:w="9535" w:type="dxa"/>
        <w:tblLook w:val="04A0" w:firstRow="1" w:lastRow="0" w:firstColumn="1" w:lastColumn="0" w:noHBand="0" w:noVBand="1"/>
      </w:tblPr>
      <w:tblGrid>
        <w:gridCol w:w="3671"/>
        <w:gridCol w:w="1094"/>
        <w:gridCol w:w="1350"/>
        <w:gridCol w:w="3420"/>
      </w:tblGrid>
      <w:tr w:rsidR="001200DA" w:rsidRPr="00DE6390" w14:paraId="6EE414BC" w14:textId="77777777" w:rsidTr="001200DA">
        <w:tc>
          <w:tcPr>
            <w:tcW w:w="3671" w:type="dxa"/>
          </w:tcPr>
          <w:p w14:paraId="5FDCC8A5" w14:textId="77777777" w:rsidR="001200DA" w:rsidRPr="002C4421" w:rsidRDefault="001200DA" w:rsidP="001200DA">
            <w:pPr>
              <w:rPr>
                <w:rFonts w:ascii="Arial" w:hAnsi="Arial" w:cs="Arial"/>
                <w:b/>
                <w:bCs/>
                <w:sz w:val="18"/>
                <w:szCs w:val="18"/>
              </w:rPr>
            </w:pPr>
          </w:p>
        </w:tc>
        <w:tc>
          <w:tcPr>
            <w:tcW w:w="1094" w:type="dxa"/>
          </w:tcPr>
          <w:p w14:paraId="340A4CDD" w14:textId="77777777" w:rsidR="001200DA" w:rsidRPr="002C4421" w:rsidRDefault="001200DA" w:rsidP="001200DA">
            <w:pPr>
              <w:rPr>
                <w:rFonts w:ascii="Arial" w:hAnsi="Arial" w:cs="Arial"/>
                <w:b/>
                <w:bCs/>
                <w:sz w:val="18"/>
                <w:szCs w:val="18"/>
              </w:rPr>
            </w:pPr>
            <w:r w:rsidRPr="002C4421">
              <w:rPr>
                <w:rFonts w:ascii="Arial" w:hAnsi="Arial" w:cs="Arial"/>
                <w:b/>
                <w:bCs/>
                <w:sz w:val="18"/>
                <w:szCs w:val="18"/>
              </w:rPr>
              <w:t>Protein</w:t>
            </w:r>
          </w:p>
        </w:tc>
        <w:tc>
          <w:tcPr>
            <w:tcW w:w="1350" w:type="dxa"/>
          </w:tcPr>
          <w:p w14:paraId="0A339BD8" w14:textId="77777777" w:rsidR="001200DA" w:rsidRPr="002C4421" w:rsidRDefault="001200DA" w:rsidP="001200DA">
            <w:pPr>
              <w:rPr>
                <w:rFonts w:ascii="Arial" w:hAnsi="Arial" w:cs="Arial"/>
                <w:b/>
                <w:bCs/>
                <w:sz w:val="18"/>
                <w:szCs w:val="18"/>
              </w:rPr>
            </w:pPr>
            <w:r w:rsidRPr="002C4421">
              <w:rPr>
                <w:rFonts w:ascii="Arial" w:hAnsi="Arial" w:cs="Arial"/>
                <w:b/>
                <w:bCs/>
                <w:sz w:val="18"/>
                <w:szCs w:val="18"/>
              </w:rPr>
              <w:t>Mutation</w:t>
            </w:r>
          </w:p>
        </w:tc>
        <w:tc>
          <w:tcPr>
            <w:tcW w:w="3420" w:type="dxa"/>
          </w:tcPr>
          <w:p w14:paraId="78EE73F9" w14:textId="77777777" w:rsidR="001200DA" w:rsidRPr="002C4421" w:rsidRDefault="001200DA" w:rsidP="001200DA">
            <w:pPr>
              <w:rPr>
                <w:rFonts w:ascii="Arial" w:hAnsi="Arial" w:cs="Arial"/>
                <w:b/>
                <w:bCs/>
                <w:sz w:val="18"/>
                <w:szCs w:val="18"/>
              </w:rPr>
            </w:pPr>
            <w:r w:rsidRPr="002C4421">
              <w:rPr>
                <w:rFonts w:ascii="Arial" w:hAnsi="Arial" w:cs="Arial"/>
                <w:b/>
                <w:bCs/>
                <w:sz w:val="18"/>
                <w:szCs w:val="18"/>
              </w:rPr>
              <w:t>Reference</w:t>
            </w:r>
          </w:p>
        </w:tc>
      </w:tr>
      <w:tr w:rsidR="001200DA" w:rsidRPr="00DE6390" w14:paraId="0181D70F" w14:textId="77777777" w:rsidTr="001200DA">
        <w:tc>
          <w:tcPr>
            <w:tcW w:w="3671" w:type="dxa"/>
            <w:shd w:val="clear" w:color="auto" w:fill="000000" w:themeFill="text1"/>
          </w:tcPr>
          <w:p w14:paraId="3EFC651C" w14:textId="77777777" w:rsidR="001200DA" w:rsidRPr="002C4421" w:rsidRDefault="001200DA" w:rsidP="001200DA">
            <w:pPr>
              <w:rPr>
                <w:rFonts w:ascii="Arial" w:hAnsi="Arial" w:cs="Arial"/>
                <w:sz w:val="18"/>
                <w:szCs w:val="18"/>
              </w:rPr>
            </w:pPr>
            <w:r w:rsidRPr="002C4421">
              <w:rPr>
                <w:rFonts w:ascii="Arial" w:hAnsi="Arial" w:cs="Arial"/>
                <w:color w:val="FFFFFF" w:themeColor="background1"/>
                <w:sz w:val="18"/>
                <w:szCs w:val="18"/>
              </w:rPr>
              <w:t>Lissencephaly</w:t>
            </w:r>
          </w:p>
        </w:tc>
        <w:tc>
          <w:tcPr>
            <w:tcW w:w="1094" w:type="dxa"/>
          </w:tcPr>
          <w:p w14:paraId="73BFC3E7" w14:textId="77777777" w:rsidR="001200DA" w:rsidRPr="002C4421" w:rsidRDefault="001200DA" w:rsidP="001200DA">
            <w:pPr>
              <w:rPr>
                <w:rFonts w:ascii="Arial" w:hAnsi="Arial" w:cs="Arial"/>
                <w:sz w:val="18"/>
                <w:szCs w:val="18"/>
              </w:rPr>
            </w:pPr>
            <w:r w:rsidRPr="002C4421">
              <w:rPr>
                <w:rFonts w:ascii="Arial" w:hAnsi="Arial" w:cs="Arial"/>
                <w:sz w:val="18"/>
                <w:szCs w:val="18"/>
              </w:rPr>
              <w:t>LIS1</w:t>
            </w:r>
          </w:p>
        </w:tc>
        <w:tc>
          <w:tcPr>
            <w:tcW w:w="1350" w:type="dxa"/>
            <w:shd w:val="clear" w:color="auto" w:fill="000000" w:themeFill="text1"/>
          </w:tcPr>
          <w:p w14:paraId="1ECB61DE"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Arg20Ser</w:t>
            </w:r>
          </w:p>
        </w:tc>
        <w:tc>
          <w:tcPr>
            <w:tcW w:w="3420" w:type="dxa"/>
          </w:tcPr>
          <w:p w14:paraId="7B763951"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{"citationID":"5OMRCjHk","properties":{"formattedCitation":"(Uyanik et al., 2007)","plainCitation":"(Uyanik et al., 2007)","noteIndex":0},"citationItems":[{"id":4907,"uris":["http://zotero.org/users/local/CeO1fDrN/items/5TVEL23K"],"itemData":{"id":4907,"type":"article-journal","abstract":"BACKGROUND: Lissencephaly is a neuronal migration disorder leading to absent or reduced gyration and a broadened but poorly organized cortex. The most common form of lissencephaly is isolated, referred as classic or type 1 lissencephaly. Type 1 lissencephaly is mostly associated with a heterozygous deletion of the entire LIS1 gene, whereas intragenic heterozygous LIS1 mutations or hemizygous DCX mutations in males are less common.\nMETHODS: Eighteen unrelated patients with type 1 lissencephaly were clinically and genetically assessed. In addition, patients with subcortical band heterotopia (n = 1) or lissencephaly with cerebellar hypoplasia (n = 2) were included.\nRESULTS: Fourteen new and seven previously described LIS1 mutations were identified. We observed nine truncating mutations (nonsense, n = 2; frameshift, n = 7), six splice site mutations, five missense mutations, and one in-frame deletion. Somatic mosaicism was assumed in three patients with partial subcortical band heterotopia in the occipital-parietal lobes or mild pachygyria. We report three mutations in exon 11, including a frameshift which extends the LIS1 protein, leading to type 1 lissencephaly and illustrating the functional importance of the WD domains at the C terminus. Furthermore, we present two patients with novel LIS1 mutations in exon 10 associated with lissencephaly with cerebellar hypoplasia type a.\nCONCLUSION: In contrast to previous reports, our data suggest that neither type nor position of intragenic mutations in the LIS1 gene allows an unambiguous prediction of the phenotypic severity. Furthermore, patients presenting with mild cerebral malformations such as subcortical band heterotopia or cerebellar hypoplasia should be considered for genetic analysis of the LIS1 gene.","container-title":"Neurology","DOI":"10.1212/01.wnl.0000266629.98503.d0","ISSN":"1526-632X","issue":"5","journalAbbreviation":"Neurology","language":"eng","note":"PMID: 17664403","page":"442-447","source":"PubMed","title":"Location and type of mutation in the LIS1 gene do not predict phenotypic severity","volume":"69","author":[{"family":"Uyanik","given":"G."},{"family":"Morris-Rosendahl","given":"D. J."},{"family":"Stiegler","given":"J."},{"family":"Klapecki","given":"J."},{"family":"Gross","given":"C."},{"family":"Berman","given":"Y."},{"family":"Martin","given":"P."},{"family":"Dey","given":"L."},{"family":"Spranger","given":"S."},{"family":"Korenke","given":"G. C."},{"family":"Schreyer","given":"I."},{"family":"Hertzberg","given":"C."},{"family":"Neumann","given":"T. E."},{"family":"Burkart","given":"P."},{"family":"Spaich","given":"C."},{"family":"Meng","given":"M."},{"family":"Holthausen","given":"H."},{"family":"Adès","given":"L."},{"family":"Seidel","given":"J."},{"family":"Mangold","given":"E."},{"family":"Buyse","given":"G."},{"family":"Meinecke","given":"P."},{"family":"Schara","given":"U."},{"family":"Zeschnigk","given":"C."},{"family":"Muller","given":"D."},{"family":"Helland","given":"G."},{"family":"Schulze","given":"B."},{"family":"Wright","given":"M. L."},{"family":"Kortge-Jung","given":"S."},{"family":"Hehr","given":"A."},{"family":"Bogdahn","given":"U."},{"family":"Schuierer","given":"G."},{"family":"Kohlhase","given":"J."},{"family":"Aigner","given":"L."},{"family":"Wolff","given":"G."},{"family":"Hehr","given":"U."},{"family":"Winkler","given":"J."}],"issued":{"date-parts":[["2007",7,31]]}}}],"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(Uyanik et al., 2007)</w:t>
            </w:r>
            <w:r>
              <w:rPr>
                <w:rFonts w:ascii="Arial" w:hAnsi="Arial" w:cs="Arial"/>
                <w:sz w:val="18"/>
                <w:szCs w:val="18"/>
              </w:rPr>
              <w:fldChar w:fldCharType="end"/>
            </w:r>
          </w:p>
        </w:tc>
      </w:tr>
      <w:tr w:rsidR="001200DA" w:rsidRPr="00DE6390" w14:paraId="2F4FA312" w14:textId="77777777" w:rsidTr="001200DA">
        <w:tc>
          <w:tcPr>
            <w:tcW w:w="3671" w:type="dxa"/>
          </w:tcPr>
          <w:p w14:paraId="6D240D06" w14:textId="77777777" w:rsidR="001200DA" w:rsidRPr="002C4421" w:rsidRDefault="001200DA" w:rsidP="001200DA">
            <w:pPr>
              <w:rPr>
                <w:rFonts w:ascii="Arial" w:hAnsi="Arial" w:cs="Arial"/>
                <w:sz w:val="18"/>
                <w:szCs w:val="18"/>
              </w:rPr>
            </w:pPr>
          </w:p>
        </w:tc>
        <w:tc>
          <w:tcPr>
            <w:tcW w:w="1094" w:type="dxa"/>
          </w:tcPr>
          <w:p w14:paraId="1B149053" w14:textId="77777777" w:rsidR="001200DA" w:rsidRPr="002C4421" w:rsidRDefault="001200DA" w:rsidP="001200DA">
            <w:pPr>
              <w:rPr>
                <w:rFonts w:ascii="Arial" w:hAnsi="Arial" w:cs="Arial"/>
                <w:sz w:val="18"/>
                <w:szCs w:val="18"/>
              </w:rPr>
            </w:pPr>
          </w:p>
        </w:tc>
        <w:tc>
          <w:tcPr>
            <w:tcW w:w="1350" w:type="dxa"/>
            <w:shd w:val="clear" w:color="auto" w:fill="000000" w:themeFill="text1"/>
          </w:tcPr>
          <w:p w14:paraId="7EF189CE"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Ala210Pro</w:t>
            </w:r>
          </w:p>
        </w:tc>
        <w:tc>
          <w:tcPr>
            <w:tcW w:w="3420" w:type="dxa"/>
          </w:tcPr>
          <w:p w14:paraId="134092E2"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{"citationID":"aPrDGlw2","properties":{"formattedCitation":"(Gonz\\uc0\\u225{}lez-Mor\\uc0\\u243{}n et al., 2017)","plainCitation":"(González-Morón et al., 2017)","noteIndex":0},"citationItems":[{"id":4909,"uris":["http://zotero.org/users/local/CeO1fDrN/items/4RAC8T8I"],"itemData":{"id":4909,"type":"article-journal","abstract":"Neuronal migration disorders are a clinically and genetically heterogeneous group of malformations of cortical development, frequently responsible for severe disability. Despite the increasing knowledge of the molecular mechanisms underlying this group of diseases, their genetic diagnosis remains unattainable in a high proportion of cases. Here, we present the results of 38 patients with lissencephaly, periventricular heterotopia and subcortical band heterotopia from Argentina. We performed Sanger and Next Generation Sequencing (NGS) of DCX, FLNA and ARX and searched for copy number variations by MLPA in PAFAH1B1, DCX, POMT1, and POMGNT1. Additionally, somatic mosaicism at 5% or higher was investigated by means of targeted high coverage NGS of DCX, ARX, and PAFAH1B1. Our approach had a diagnostic yield of 36%. Pathogenic or likely pathogenic variants were identified in 14 patients, including 10 germline (five novel) and 4 somatic mutations in FLNA, DCX, ARX and PAFAH1B1 genes. This study represents the largest series of patients comprehensively characterized in our population. Our findings reinforce the importance of somatic mutations in the pathophysiology and diagnosis of neuronal migration disorders and contribute to expand their phenotype-genotype correlations.","container-title":"PloS One","DOI":"10.1371/journal.pone.0185103","ISSN":"1932-6203","issue":"9","journalAbbreviation":"PLoS One","language":"eng","note":"PMID: 28953922\nPMCID: PMC5617183","page":"e0185103","source":"PubMed","title":"Germline and somatic mutations in cortical malformations: Molecular defects in Argentinean patients with neuronal migration disorders","title-short":"Germline and somatic mutations in cortical malformations","volume":"12","author":[{"family":"González-Morón","given":"Dolores"},{"family":"Vishnopolska","given":"Sebastián"},{"family":"Consalvo","given":"Damián"},{"family":"Medina","given":"Nancy"},{"family":"Marti","given":"Marcelo"},{"family":"Córdoba","given":"Marta"},{"family":"Vazquez-Dusefante","given":"Cecilia"},{"family":"Claverie","given":"Santiago"},{"family":"Rodríguez-Quiroga","given":"Sergio Alejandro"},{"family":"Vega","given":"Patricia"},{"family":"Silva","given":"Walter"},{"family":"Kochen","given":"Silvia"},{"family":"Kauffman","given":"Marcelo Andrés"}],"issued":{"date-parts":[["2017"]]}}}],"schema":"https://github.com/citation-style-language/schema/raw/master/csl-citation.json"} </w:instrText>
            </w:r>
            <w:r>
              <w:rPr>
                <w:rFonts w:ascii="Arial" w:hAnsi="Arial" w:cs="Arial"/>
                <w:sz w:val="18"/>
                <w:szCs w:val="18"/>
              </w:rPr>
              <w:fldChar w:fldCharType="separate"/>
            </w:r>
            <w:r w:rsidRPr="001F6174">
              <w:rPr>
                <w:rFonts w:ascii="Arial" w:hAnsi="Arial" w:cs="Arial"/>
                <w:sz w:val="18"/>
              </w:rPr>
              <w:t>(González-Morón et al., 2017)</w:t>
            </w:r>
            <w:r>
              <w:rPr>
                <w:rFonts w:ascii="Arial" w:hAnsi="Arial" w:cs="Arial"/>
                <w:sz w:val="18"/>
                <w:szCs w:val="18"/>
              </w:rPr>
              <w:fldChar w:fldCharType="end"/>
            </w:r>
          </w:p>
        </w:tc>
      </w:tr>
      <w:tr w:rsidR="001200DA" w:rsidRPr="00DE6390" w14:paraId="3AD9CFAA" w14:textId="77777777" w:rsidTr="001200DA">
        <w:tc>
          <w:tcPr>
            <w:tcW w:w="3671" w:type="dxa"/>
          </w:tcPr>
          <w:p w14:paraId="1D2FC182" w14:textId="77777777" w:rsidR="001200DA" w:rsidRPr="002C4421" w:rsidRDefault="001200DA" w:rsidP="001200DA">
            <w:pPr>
              <w:rPr>
                <w:rFonts w:ascii="Arial" w:hAnsi="Arial" w:cs="Arial"/>
                <w:sz w:val="18"/>
                <w:szCs w:val="18"/>
              </w:rPr>
            </w:pPr>
          </w:p>
        </w:tc>
        <w:tc>
          <w:tcPr>
            <w:tcW w:w="1094" w:type="dxa"/>
          </w:tcPr>
          <w:p w14:paraId="4C1F5525" w14:textId="77777777" w:rsidR="001200DA" w:rsidRPr="002C4421" w:rsidRDefault="001200DA" w:rsidP="001200DA">
            <w:pPr>
              <w:rPr>
                <w:rFonts w:ascii="Arial" w:hAnsi="Arial" w:cs="Arial"/>
                <w:sz w:val="18"/>
                <w:szCs w:val="18"/>
              </w:rPr>
            </w:pPr>
          </w:p>
        </w:tc>
        <w:tc>
          <w:tcPr>
            <w:tcW w:w="1350" w:type="dxa"/>
            <w:shd w:val="clear" w:color="auto" w:fill="000000" w:themeFill="text1"/>
          </w:tcPr>
          <w:p w14:paraId="691239C4"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His277Pro</w:t>
            </w:r>
          </w:p>
        </w:tc>
        <w:tc>
          <w:tcPr>
            <w:tcW w:w="3420" w:type="dxa"/>
          </w:tcPr>
          <w:p w14:paraId="7B3EFF6C"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{"citationID":"PyFOMV1F","properties":{"formattedCitation":"(Torres et al., 2004)","plainCitation":"(Torres et al., 2004)","noteIndex":0},"citationItems":[{"id":4912,"uris":["http://zotero.org/users/local/CeO1fDrN/items/XYLGKV9B"],"itemData":{"id":4912,"type":"article-journal","abstract":"The authors describe clinical, neuroimaging and molecular findings in a group of 15 patients with classic lissencephaly (LIS) and subcortical band heterotopia (SBH). A 1385A--&gt;C mutation was found in the LIS1 gene in one patient with LIS more severe than expected for individuals with missense mutations in LIS1. The authors believe that the site of the mutation, present in a functionally critical region of the protein, could explain the unusual severe phenotype found in this patient.","container-title":"Neurology","DOI":"10.1212/01.wnl.0000113725.46254.fd","ISSN":"1526-632X","issue":"5","journalAbbreviation":"Neurology","language":"eng","note":"PMID: 15007136","page":"799-802","source":"PubMed","title":"Mutation screening in a cohort of patients with lissencephaly and subcortical band heterotopia","volume":"62","author":[{"family":"Torres","given":"F. R."},{"family":"Montenegro","given":"M. A."},{"family":"Marques-De-Faria","given":"A. P."},{"family":"Guerreiro","given":"M. M."},{"family":"Cendes","given":"F."},{"family":"Lopes-Cendes","given":"I."}],"issued":{"date-parts":[["2004",3,9]]}}}],"schema":"https://github.com/citation-style-language/schema/raw/master/csl-citation.json"}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(Torres et al., 2004)</w:t>
            </w:r>
            <w:r>
              <w:rPr>
                <w:rFonts w:ascii="Arial" w:hAnsi="Arial" w:cs="Arial"/>
                <w:sz w:val="18"/>
                <w:szCs w:val="18"/>
              </w:rPr>
              <w:fldChar w:fldCharType="end"/>
            </w:r>
          </w:p>
        </w:tc>
      </w:tr>
      <w:tr w:rsidR="001200DA" w:rsidRPr="00DE6390" w14:paraId="5E2809E4" w14:textId="77777777" w:rsidTr="001200DA">
        <w:tc>
          <w:tcPr>
            <w:tcW w:w="3671" w:type="dxa"/>
          </w:tcPr>
          <w:p w14:paraId="5100894B" w14:textId="77777777" w:rsidR="001200DA" w:rsidRPr="002C4421" w:rsidRDefault="001200DA" w:rsidP="001200DA">
            <w:pPr>
              <w:rPr>
                <w:rFonts w:ascii="Arial" w:hAnsi="Arial" w:cs="Arial"/>
                <w:sz w:val="18"/>
                <w:szCs w:val="18"/>
              </w:rPr>
            </w:pPr>
          </w:p>
        </w:tc>
        <w:tc>
          <w:tcPr>
            <w:tcW w:w="1094" w:type="dxa"/>
          </w:tcPr>
          <w:p w14:paraId="1C9FE89A" w14:textId="77777777" w:rsidR="001200DA" w:rsidRPr="002C4421" w:rsidRDefault="001200DA" w:rsidP="001200DA">
            <w:pPr>
              <w:rPr>
                <w:rFonts w:ascii="Arial" w:hAnsi="Arial" w:cs="Arial"/>
                <w:sz w:val="18"/>
                <w:szCs w:val="18"/>
              </w:rPr>
            </w:pPr>
          </w:p>
        </w:tc>
        <w:tc>
          <w:tcPr>
            <w:tcW w:w="1350" w:type="dxa"/>
            <w:shd w:val="clear" w:color="auto" w:fill="000000" w:themeFill="text1"/>
          </w:tcPr>
          <w:p w14:paraId="3DAB1411"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Arg342Pro</w:t>
            </w:r>
          </w:p>
        </w:tc>
        <w:tc>
          <w:tcPr>
            <w:tcW w:w="3420" w:type="dxa"/>
          </w:tcPr>
          <w:p w14:paraId="672DABE3"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{"citationID":"MW6vCNMU","properties":{"formattedCitation":"(Jamuar et al., 2014)","plainCitation":"(Jamuar et al., 2014)","noteIndex":0},"citationItems":[{"id":3966,"uris":["http://zotero.org/users/local/CeO1fDrN/items/T7VBAU2Q"],"itemData":{"id":3966,"type":"article-journal","abstract":"BACKGROUND:Although there is increasing recognition of the role of somatic mutations in genetic disorders, the prevalence of somatic mutations in neurodevelopmental disease and the optimal techniques to detect somatic mosaicism have not been systematically evaluated. METHODS:Using a customized panel of known and candidate genes associated with brain malformations, we applied targeted high-coverage sequencing (depth, $\\ge$200×) to leukocyte-derived DNA samples from 158 persons with brain malformations, including the double-cortex syndrome (subcortical band heterotopia, 30 persons), polymicrogyria with megalencephaly (20), periventricular nodular heterotopia (61), and pachygyria (47). We validated candidate mutations with the use of Sanger sequencing and, for variants present at unequal read depths, subcloning followed by colony sequencing. RESULTS:Validated, causal mutations were found in 27 persons (17%; range, 10 to 30% for each phenotype). Mutations were somatic in 8 of the 27 (30%), predominantly in persons with the double-cortex syndrome (in whom we found mutations in DCX and LIS1), persons with periventricular nodular heterotopia (FLNA), and persons with pachygyria (TUBB2B). Of the somatic mutations we detected, 5 (63%) were undetectable with the use of traditional Sanger sequencing but were validated through subcloning and subsequent sequencing of the subcloned DNA. We found potentially causal mutations in the candidate genes DYNC1H1, KIF5C, and other kinesin genes in persons with pachygyria. CONCLUSIONS:Targeted sequencing was found to be useful for detecting somatic mutations in patients with brain malformations. High-coverage sequencing panels provide an important complement to whole-exome and whole-genome sequencing in the evaluation of somatic mutations in neuropsychiatric disease. (Funded by the National Institute of Neurological Disorders and Stroke and others.).","container-title":"The New England journal of medicine","DOI":"10.1056/NEJMoa1314432","issue":"8","language":"English","note":"number: 8\nPMID: 25140959\nPMCID: PMC4274952","page":"733–743","title":"Somatic mutations in cerebral cortical malformations.","volume":"371","author":[{"family":"Jamuar","given":"Saumya S"},{"family":"Lam","given":"Anh-Thu N"},{"family":"Kircher","given":"Martin"},{"family":"D’Gama","given":"Alissa M"},{"family":"Wang","given":"Jian"},{"family":"Barry","given":"Brenda J"},{"family":"Zhang","given":"Xiaochang"},{"family":"Hill","given":"Robert Sean"},{"family":"Partlow","given":"Jennifer N"},{"family":"Rozzo","given":"Aldo"},{"family":"Servattalab","given":"Sarah"},{"family":"Mehta","given":"Bhaven K"},{"family":"Topcu","given":"Meral"},{"family":"Amrom","given":"Dina"},{"family":"Andermann","given":"Eva"},{"family":"Dan","given":"Bernard"},{"family":"Parrini","given":"Elena"},{"family":"Guerrini","given":"Renzo"},{"family":"Scheffer","given":"Ingrid E"},{"family":"Berkovic","given":"Samuel F"},{"family":"Leventer","given":"Richard J"},{"family":"Shen","given":"Yiping"},{"family":"Wu","given":"Bai Lin"},{"family":"Barkovich","given":"A James"},{"family":"Sahin","given":"Mustafa"},{"family":"Chang","given":"Bernard S"},{"family":"Bamshad","given":"Michael"},{"family":"Nickerson","given":"Deborah A"},{"family":"Shendure","given":"Jay"},{"family":"Poduri","given":"Annapurna"},{"family":"Yu","given":"Timothy W"},{"family":"Walsh","given":"Christopher A"}],"issued":{"date-parts":[["2014",8]]}}}],"schema":"https://github.com/citation-style-language/schema/raw/master/csl-citation.json"}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(Jamuar et al., 2014)</w:t>
            </w:r>
            <w:r>
              <w:rPr>
                <w:rFonts w:ascii="Arial" w:hAnsi="Arial" w:cs="Arial"/>
                <w:sz w:val="18"/>
                <w:szCs w:val="18"/>
              </w:rPr>
              <w:fldChar w:fldCharType="end"/>
            </w:r>
          </w:p>
        </w:tc>
      </w:tr>
      <w:tr w:rsidR="001200DA" w:rsidRPr="00DE6390" w14:paraId="6286A67F" w14:textId="77777777" w:rsidTr="001200DA">
        <w:tc>
          <w:tcPr>
            <w:tcW w:w="3671" w:type="dxa"/>
          </w:tcPr>
          <w:p w14:paraId="41105548" w14:textId="77777777" w:rsidR="001200DA" w:rsidRPr="002C4421" w:rsidRDefault="001200DA" w:rsidP="001200DA">
            <w:pPr>
              <w:rPr>
                <w:rFonts w:ascii="Arial" w:hAnsi="Arial" w:cs="Arial"/>
                <w:sz w:val="18"/>
                <w:szCs w:val="18"/>
              </w:rPr>
            </w:pPr>
          </w:p>
        </w:tc>
        <w:tc>
          <w:tcPr>
            <w:tcW w:w="1094" w:type="dxa"/>
          </w:tcPr>
          <w:p w14:paraId="2AA482C0" w14:textId="77777777" w:rsidR="001200DA" w:rsidRPr="002C4421" w:rsidRDefault="001200DA" w:rsidP="001200DA">
            <w:pPr>
              <w:rPr>
                <w:rFonts w:ascii="Arial" w:hAnsi="Arial" w:cs="Arial"/>
                <w:sz w:val="18"/>
                <w:szCs w:val="18"/>
              </w:rPr>
            </w:pPr>
          </w:p>
        </w:tc>
        <w:tc>
          <w:tcPr>
            <w:tcW w:w="1350" w:type="dxa"/>
            <w:shd w:val="clear" w:color="auto" w:fill="000000" w:themeFill="text1"/>
          </w:tcPr>
          <w:p w14:paraId="0438C031"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Asp387Asn</w:t>
            </w:r>
          </w:p>
        </w:tc>
        <w:tc>
          <w:tcPr>
            <w:tcW w:w="3420" w:type="dxa"/>
          </w:tcPr>
          <w:p w14:paraId="1031D35F"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{"citationID":"sK95WiHc","properties":{"formattedCitation":"(Saillour et al., 2009)","plainCitation":"(Saillour et al., 2009)","noteIndex":0},"citationItems":[{"id":4917,"uris":["http://zotero.org/users/local/CeO1fDrN/items/W4YPFIY7"],"itemData":{"id":4917,"type":"article-journal","abstract":"OBJECTIVE: With the largest data set of patients with LIS1-related lissencephaly, the major cause of posteriorly predominant lissencephaly related to either LIS1 mutation or intragenic deletion, described so far, we aimed to refine the spectrum of neurological and radiological features and to assess relationships with the genotype.\nDESIGN: Retrospective study. Subjects A total of 63 patients with posteriorly predominant lissencephaly.\nINTERVENTIONS: Of the 63 patients, 40 were found to carry either LIS1 point mutations (77.5%) or small genomic deletions (20%), and 1 carried a somatic nonsense mutation. On the basis of the severity of neuromotor impairment, epilepsy, and radiological findings, correlations with the location and type of mutation were examined.\nRESULTS: Most patients with LIS1 mutations demonstrated posterior agyria (grade 3a, 55.3%) with thin corpus callosum (50%) and prominent perivascular spaces (67.4%). By contrast, patients without LIS1 mutations tended to have less severe lissencephaly (grade 4a, 41.6%) and no additional brain abnormalities. The degree of neuromotor impairment was in accordance with the severity of lissencephaly, with a high incidence of tetraplegia (61.1%). Conversely, the severity of epilepsy was not determined with the same reliability because 82.9% had early onset of seizures and 48.7% had seizures more often than daily. In addition, neither the mutation type nor the location of the mutation were found to predict the severity of LIS1-related lissencephaly.\nCONCLUSION: Our results confirm the homogeneity profile of patients with LIS1-related lissencephaly who demonstrate in a large proportion Dobyns lissencephaly grade 3a, and the absence of correlation with LIS1 mutations.","container-title":"Archives of Neurology","DOI":"10.1001/archneurol.2009.149","ISSN":"1538-3687","issue":"8","journalAbbreviation":"Arch Neurol","language":"eng","note":"PMID: 19667223","page":"1007-1015","source":"PubMed","title":"LIS1-related isolated lissencephaly: spectrum of mutations and relationships with malformation severity","title-short":"LIS1-related isolated lissencephaly","volume":"66","author":[{"family":"Saillour","given":"Yoann"},{"family":"Carion","given":"Nathalie"},{"family":"Quelin","given":"Chloé"},{"family":"Leger","given":"Pierre-Louis"},{"family":"Boddaert","given":"Nathalie"},{"family":"Elie","given":"Caroline"},{"family":"Toutain","given":"Annick"},{"family":"Mercier","given":"Sandra"},{"family":"Barthez","given":"Marie Anne"},{"family":"Milh","given":"Mathieu"},{"family":"Joriot","given":"Sylvie"},{"family":"Portes","given":"Vincent","non-dropping-particle":"des"},{"family":"Philip","given":"Nicole"},{"family":"Broglin","given":"Dominique"},{"family":"Roubertie","given":"Agathe"},{"family":"Pitelet","given":"Gaelle"},{"family":"Moutard","given":"Marie Laure"},{"family":"Pinard","given":"Jean Marc"},{"family":"Cances","given":"Claude"},{"family":"Kaminska","given":"Anna"},{"family":"Chelly","given":"Jamel"},{"family":"Beldjord","given":"Chérif"},{"family":"Bahi-Buisson","given":"Nadia"}],"issued":{"date-parts":[["2009",8]]}}}],"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(Saillour et al., 2009)</w:t>
            </w:r>
            <w:r>
              <w:rPr>
                <w:rFonts w:ascii="Arial" w:hAnsi="Arial" w:cs="Arial"/>
                <w:sz w:val="18"/>
                <w:szCs w:val="18"/>
              </w:rPr>
              <w:fldChar w:fldCharType="end"/>
            </w:r>
          </w:p>
        </w:tc>
      </w:tr>
      <w:tr w:rsidR="001200DA" w:rsidRPr="00DE6390" w14:paraId="527DA2DC" w14:textId="77777777" w:rsidTr="001200DA">
        <w:tc>
          <w:tcPr>
            <w:tcW w:w="3671" w:type="dxa"/>
          </w:tcPr>
          <w:p w14:paraId="62AE3ECF" w14:textId="77777777" w:rsidR="001200DA" w:rsidRPr="002C4421" w:rsidRDefault="001200DA" w:rsidP="001200DA">
            <w:pPr>
              <w:rPr>
                <w:rFonts w:ascii="Arial" w:hAnsi="Arial" w:cs="Arial"/>
                <w:sz w:val="18"/>
                <w:szCs w:val="18"/>
              </w:rPr>
            </w:pPr>
          </w:p>
        </w:tc>
        <w:tc>
          <w:tcPr>
            <w:tcW w:w="1094" w:type="dxa"/>
          </w:tcPr>
          <w:p w14:paraId="51AC81E3" w14:textId="77777777" w:rsidR="001200DA" w:rsidRPr="002C4421" w:rsidRDefault="001200DA" w:rsidP="001200DA">
            <w:pPr>
              <w:rPr>
                <w:rFonts w:ascii="Arial" w:hAnsi="Arial" w:cs="Arial"/>
                <w:sz w:val="18"/>
                <w:szCs w:val="18"/>
              </w:rPr>
            </w:pPr>
          </w:p>
        </w:tc>
        <w:tc>
          <w:tcPr>
            <w:tcW w:w="1350" w:type="dxa"/>
            <w:shd w:val="clear" w:color="auto" w:fill="000000" w:themeFill="text1"/>
          </w:tcPr>
          <w:p w14:paraId="61FFB083"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His389Tyr</w:t>
            </w:r>
          </w:p>
        </w:tc>
        <w:tc>
          <w:tcPr>
            <w:tcW w:w="3420" w:type="dxa"/>
          </w:tcPr>
          <w:p w14:paraId="292383A2" w14:textId="77777777" w:rsidR="001200DA" w:rsidRPr="002C4421" w:rsidRDefault="001200DA" w:rsidP="001200DA">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{"citationID":"YAPjOjGf","properties":{"formattedCitation":"(Mineyko et al., 2010)","plainCitation":"(Mineyko et al., 2010)","noteIndex":0},"citationItems":[{"id":4920,"uris":["http://zotero.org/users/local/CeO1fDrN/items/49SZB7C9"],"itemData":{"id":4920,"type":"article-journal","abstract":"Mutations in the LIS1 gene result in isolated lissencephaly or subcortical band heterotopia. We report a 5-year-old male who presented with seizures and global developmental delay. Magnetic resonance imaging (MRI) demonstrated posteriorly predominant pachygyria and subcortical band heterotopia. His mother had a history of epilepsy, with onset in her teenage years. Her MRI revealed no abnormalities. Sequence analysis of the LIS1 gene identified a novel p.H389Y mutation in exon 11 (c.1165C&gt;T). The child's mother was found to have the identical mutation as her son, with the signal intensity of the mutant allele being much lower than the normal allele, suggesting somatic mosaicism. This patient is one of only a few reported with a missense mutation in LIS1 associated with subcortical band heterotopia, and this is the first report of a mosaic individual having an affected child.","container-title":"Journal of Child Neurology","DOI":"10.1177/0883073809343312","ISSN":"1708-8283","issue":"6","journalAbbreviation":"J Child Neurol","language":"eng","note":"PMID: 19808989","page":"738-741","source":"PubMed","title":"A novel missense mutation in LIS1 in a child with subcortical band heterotopia and pachygyria inherited from his mildly affected mother with somatic mosaicism","volume":"25","author":[{"family":"Mineyko","given":"Aleksandra"},{"family":"Doja","given":"Asif"},{"family":"Hurteau","given":"Julie"},{"family":"Dobyns","given":"William B."},{"family":"Das","given":"Soma"},{"family":"Boycott","given":"Kym M."}],"issued":{"date-parts":[["2010",6]]}}}],"schema":"https://github.com/citation-style-language/schema/raw/master/csl-citation.json"}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(Mineyko et al., 2010)</w:t>
            </w:r>
            <w:r>
              <w:rPr>
                <w:rFonts w:ascii="Arial" w:hAnsi="Arial" w:cs="Arial"/>
                <w:sz w:val="18"/>
                <w:szCs w:val="18"/>
              </w:rPr>
              <w:fldChar w:fldCharType="end"/>
            </w:r>
          </w:p>
        </w:tc>
      </w:tr>
      <w:tr w:rsidR="001200DA" w:rsidRPr="00DE6390" w14:paraId="3AE657E1" w14:textId="77777777" w:rsidTr="001200DA">
        <w:tc>
          <w:tcPr>
            <w:tcW w:w="3671" w:type="dxa"/>
            <w:shd w:val="clear" w:color="auto" w:fill="FFE11C"/>
          </w:tcPr>
          <w:p w14:paraId="38DDB6ED" w14:textId="77777777" w:rsidR="001200DA" w:rsidRPr="002C4421" w:rsidRDefault="001200DA" w:rsidP="001200DA">
            <w:pPr>
              <w:rPr>
                <w:rFonts w:ascii="Arial" w:hAnsi="Arial" w:cs="Arial"/>
                <w:sz w:val="18"/>
                <w:szCs w:val="18"/>
              </w:rPr>
            </w:pPr>
            <w:r w:rsidRPr="002C4421">
              <w:rPr>
                <w:rFonts w:ascii="Arial" w:hAnsi="Arial" w:cs="Arial"/>
                <w:sz w:val="18"/>
                <w:szCs w:val="18"/>
              </w:rPr>
              <w:t>Charcot-Marie-Tooth</w:t>
            </w:r>
          </w:p>
        </w:tc>
        <w:tc>
          <w:tcPr>
            <w:tcW w:w="1094" w:type="dxa"/>
          </w:tcPr>
          <w:p w14:paraId="2CBF763E" w14:textId="77777777" w:rsidR="001200DA" w:rsidRPr="002C4421" w:rsidRDefault="001200DA" w:rsidP="001200DA">
            <w:pPr>
              <w:rPr>
                <w:rFonts w:ascii="Arial" w:hAnsi="Arial" w:cs="Arial"/>
                <w:sz w:val="18"/>
                <w:szCs w:val="18"/>
              </w:rPr>
            </w:pPr>
            <w:r w:rsidRPr="002C4421">
              <w:rPr>
                <w:rFonts w:ascii="Arial" w:hAnsi="Arial" w:cs="Arial"/>
                <w:sz w:val="18"/>
                <w:szCs w:val="18"/>
              </w:rPr>
              <w:t>Dynein</w:t>
            </w:r>
          </w:p>
        </w:tc>
        <w:tc>
          <w:tcPr>
            <w:tcW w:w="1350" w:type="dxa"/>
            <w:shd w:val="clear" w:color="auto" w:fill="FFE11C"/>
          </w:tcPr>
          <w:p w14:paraId="482801B0" w14:textId="77777777" w:rsidR="001200DA" w:rsidRPr="002C4421" w:rsidRDefault="001200DA" w:rsidP="001200DA">
            <w:pPr>
              <w:rPr>
                <w:rFonts w:ascii="Arial" w:hAnsi="Arial" w:cs="Arial"/>
                <w:sz w:val="18"/>
                <w:szCs w:val="18"/>
              </w:rPr>
            </w:pPr>
            <w:r w:rsidRPr="002C4421">
              <w:rPr>
                <w:rFonts w:ascii="Arial" w:hAnsi="Arial" w:cs="Arial"/>
                <w:sz w:val="18"/>
                <w:szCs w:val="18"/>
              </w:rPr>
              <w:t>Val1750Met</w:t>
            </w:r>
          </w:p>
        </w:tc>
        <w:tc>
          <w:tcPr>
            <w:tcW w:w="3420" w:type="dxa"/>
          </w:tcPr>
          <w:p w14:paraId="41D59C9F"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{"citationID":"UvjZ0UCh","properties":{"formattedCitation":"(Amabile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0DE5FDBB" w14:textId="77777777" w:rsidTr="001200DA">
        <w:tc>
          <w:tcPr>
            <w:tcW w:w="3671" w:type="dxa"/>
          </w:tcPr>
          <w:p w14:paraId="31C61D98" w14:textId="77777777" w:rsidR="001200DA" w:rsidRPr="002C4421" w:rsidRDefault="001200DA" w:rsidP="001200DA">
            <w:pPr>
              <w:rPr>
                <w:rFonts w:ascii="Arial" w:hAnsi="Arial" w:cs="Arial"/>
                <w:sz w:val="18"/>
                <w:szCs w:val="18"/>
              </w:rPr>
            </w:pPr>
          </w:p>
        </w:tc>
        <w:tc>
          <w:tcPr>
            <w:tcW w:w="1094" w:type="dxa"/>
          </w:tcPr>
          <w:p w14:paraId="186A154E" w14:textId="77777777" w:rsidR="001200DA" w:rsidRPr="002C4421" w:rsidRDefault="001200DA" w:rsidP="001200DA">
            <w:pPr>
              <w:rPr>
                <w:rFonts w:ascii="Arial" w:hAnsi="Arial" w:cs="Arial"/>
                <w:sz w:val="18"/>
                <w:szCs w:val="18"/>
              </w:rPr>
            </w:pPr>
          </w:p>
        </w:tc>
        <w:tc>
          <w:tcPr>
            <w:tcW w:w="1350" w:type="dxa"/>
            <w:shd w:val="clear" w:color="auto" w:fill="FFE11C"/>
          </w:tcPr>
          <w:p w14:paraId="38C016F2" w14:textId="77777777" w:rsidR="001200DA" w:rsidRPr="002C4421" w:rsidRDefault="001200DA" w:rsidP="001200DA">
            <w:pPr>
              <w:rPr>
                <w:rFonts w:ascii="Arial" w:hAnsi="Arial" w:cs="Arial"/>
                <w:sz w:val="18"/>
                <w:szCs w:val="18"/>
              </w:rPr>
            </w:pPr>
            <w:r w:rsidRPr="002C4421">
              <w:rPr>
                <w:rFonts w:ascii="Arial" w:hAnsi="Arial" w:cs="Arial"/>
                <w:sz w:val="18"/>
                <w:szCs w:val="18"/>
              </w:rPr>
              <w:t>Gln1860Lys</w:t>
            </w:r>
          </w:p>
        </w:tc>
        <w:tc>
          <w:tcPr>
            <w:tcW w:w="3420" w:type="dxa"/>
          </w:tcPr>
          <w:p w14:paraId="3C3D11F0"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{"citationID":"MqRJ6Sqh","properties":{"formattedCitation":"(Amabile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6FFE39EF" w14:textId="77777777" w:rsidTr="001200DA">
        <w:tc>
          <w:tcPr>
            <w:tcW w:w="3671" w:type="dxa"/>
          </w:tcPr>
          <w:p w14:paraId="4B43A4BB" w14:textId="77777777" w:rsidR="001200DA" w:rsidRPr="002C4421" w:rsidRDefault="001200DA" w:rsidP="001200DA">
            <w:pPr>
              <w:rPr>
                <w:rFonts w:ascii="Arial" w:hAnsi="Arial" w:cs="Arial"/>
                <w:sz w:val="18"/>
                <w:szCs w:val="18"/>
              </w:rPr>
            </w:pPr>
          </w:p>
        </w:tc>
        <w:tc>
          <w:tcPr>
            <w:tcW w:w="1094" w:type="dxa"/>
          </w:tcPr>
          <w:p w14:paraId="7D1383CE" w14:textId="77777777" w:rsidR="001200DA" w:rsidRPr="002C4421" w:rsidRDefault="001200DA" w:rsidP="001200DA">
            <w:pPr>
              <w:rPr>
                <w:rFonts w:ascii="Arial" w:hAnsi="Arial" w:cs="Arial"/>
                <w:sz w:val="18"/>
                <w:szCs w:val="18"/>
              </w:rPr>
            </w:pPr>
          </w:p>
        </w:tc>
        <w:tc>
          <w:tcPr>
            <w:tcW w:w="1350" w:type="dxa"/>
            <w:shd w:val="clear" w:color="auto" w:fill="FFE11C"/>
          </w:tcPr>
          <w:p w14:paraId="70B468EC" w14:textId="77777777" w:rsidR="001200DA" w:rsidRPr="002C4421" w:rsidRDefault="001200DA" w:rsidP="001200DA">
            <w:pPr>
              <w:rPr>
                <w:rFonts w:ascii="Arial" w:hAnsi="Arial" w:cs="Arial"/>
                <w:sz w:val="18"/>
                <w:szCs w:val="18"/>
              </w:rPr>
            </w:pPr>
            <w:r w:rsidRPr="002C4421">
              <w:rPr>
                <w:rFonts w:ascii="Arial" w:hAnsi="Arial" w:cs="Arial"/>
                <w:sz w:val="18"/>
                <w:szCs w:val="18"/>
              </w:rPr>
              <w:t>Arg1887His</w:t>
            </w:r>
          </w:p>
        </w:tc>
        <w:tc>
          <w:tcPr>
            <w:tcW w:w="3420" w:type="dxa"/>
          </w:tcPr>
          <w:p w14:paraId="542A25F0"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{"citationID":"VBJ0taP3","properties":{"formattedCitation":"(Amabile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67729FFE" w14:textId="77777777" w:rsidTr="001200DA">
        <w:tc>
          <w:tcPr>
            <w:tcW w:w="3671" w:type="dxa"/>
          </w:tcPr>
          <w:p w14:paraId="07016630" w14:textId="77777777" w:rsidR="001200DA" w:rsidRPr="002C4421" w:rsidRDefault="001200DA" w:rsidP="001200DA">
            <w:pPr>
              <w:rPr>
                <w:rFonts w:ascii="Arial" w:hAnsi="Arial" w:cs="Arial"/>
                <w:sz w:val="18"/>
                <w:szCs w:val="18"/>
              </w:rPr>
            </w:pPr>
          </w:p>
        </w:tc>
        <w:tc>
          <w:tcPr>
            <w:tcW w:w="1094" w:type="dxa"/>
          </w:tcPr>
          <w:p w14:paraId="5BB9E354" w14:textId="77777777" w:rsidR="001200DA" w:rsidRPr="002C4421" w:rsidRDefault="001200DA" w:rsidP="001200DA">
            <w:pPr>
              <w:rPr>
                <w:rFonts w:ascii="Arial" w:hAnsi="Arial" w:cs="Arial"/>
                <w:sz w:val="18"/>
                <w:szCs w:val="18"/>
              </w:rPr>
            </w:pPr>
          </w:p>
        </w:tc>
        <w:tc>
          <w:tcPr>
            <w:tcW w:w="1350" w:type="dxa"/>
            <w:shd w:val="clear" w:color="auto" w:fill="FFE11C"/>
          </w:tcPr>
          <w:p w14:paraId="0552E795" w14:textId="77777777" w:rsidR="001200DA" w:rsidRPr="002C4421" w:rsidRDefault="001200DA" w:rsidP="001200DA">
            <w:pPr>
              <w:rPr>
                <w:rFonts w:ascii="Arial" w:hAnsi="Arial" w:cs="Arial"/>
                <w:sz w:val="18"/>
                <w:szCs w:val="18"/>
              </w:rPr>
            </w:pPr>
            <w:r w:rsidRPr="002C4421">
              <w:rPr>
                <w:rFonts w:ascii="Arial" w:hAnsi="Arial" w:cs="Arial"/>
                <w:sz w:val="18"/>
                <w:szCs w:val="18"/>
              </w:rPr>
              <w:t>Tyr2641Cys</w:t>
            </w:r>
          </w:p>
        </w:tc>
        <w:tc>
          <w:tcPr>
            <w:tcW w:w="3420" w:type="dxa"/>
          </w:tcPr>
          <w:p w14:paraId="588AFF57"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{"citationID":"gxtNzZxK","properties":{"formattedCitation":"(Antoniadi et al., 2015)","plainCitation":"(Antoniadi et al., 2015)","noteIndex":0},"citationItems":[{"id":4924,"uris":["http://zotero.org/users/local/CeO1fDrN/items/848PTFQH"],"itemData":{"id":4924,"type":"article-journal","abstract":"BACKGROUND: Inherited peripheral neuropathy (IPN) is a clinically and genetically heterogeneous group of disorders with more than 90 genes associated with the different subtypes. Sequential gene screening is gradually being replaced by next generation sequencing (NGS) applications.\nMETHODS: We designed and validated a targeted NGS panel assay including 56 genes associated with known causes of IPN. We report our findings following NGS panel testing of 448 patients with different types of clinically-suspected IPN.\nRESULTS: Genetic diagnosis was achieved in 137 patients (31%) and involved 195 pathogenic variants in 31 genes. 93 patients had pathogenic variants in genes where a resulting phenotype follows dominant inheritance, 32 in genes where this would follow recessive inheritance, and 12 presented with X-linked disease. Almost half of the diagnosed patients (64) had a pathogenic variant either in genes not previously available for routine diagnostic testing in a UK laboratory (50 patients) or in genes whose primary clinical association was not IPN (14). Seven patients had a pathogenic variant in a gene not hitherto indicated from their phenotype and three patients had more than one pathogenic variant, explaining their complex phenotype and providing information essential for accurate prediction of recurrence risks.\nCONCLUSIONS: Our results demonstrate that targeted gene panel testing is an unbiased approach which overcomes the limitations imposed by limited existing knowledge for rare genes, reveals high heterogeneity, and provides high diagnostic yield. It is therefore a highly efficient and cost effective tool for achieving a genetic diagnosis for IPN.","container-title":"BMC medical genetics","DOI":"10.1186/s12881-015-0224-8","ISSN":"1471-2350","journalAbbreviation":"BMC Med Genet","language":"eng","note":"PMID: 26392352\nPMCID: PMC4578331","page":"84","source":"PubMed","title":"Application of targeted multi-gene panel testing for the diagnosis of inherited peripheral neuropathy provides a high diagnostic yield with unexpected phenotype-genotype variability","volume":"16","author":[{"family":"Antoniadi","given":"Thalia"},{"family":"Buxton","given":"Chris"},{"family":"Dennis","given":"Gemma"},{"family":"Forrester","given":"Natalie"},{"family":"Smith","given":"Debbie"},{"family":"Lunt","given":"Peter"},{"family":"Burton-Jones","given":"Sarah"}],"issued":{"date-parts":[["2015",9,21]]}}}],"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(Antoniadi et al., 2015)</w:t>
            </w:r>
            <w:r>
              <w:rPr>
                <w:rFonts w:ascii="Arial" w:hAnsi="Arial" w:cs="Arial"/>
                <w:sz w:val="18"/>
                <w:szCs w:val="18"/>
              </w:rPr>
              <w:fldChar w:fldCharType="end"/>
            </w:r>
          </w:p>
        </w:tc>
      </w:tr>
      <w:tr w:rsidR="001200DA" w:rsidRPr="00DE6390" w14:paraId="00D143A5" w14:textId="77777777" w:rsidTr="001200DA">
        <w:tc>
          <w:tcPr>
            <w:tcW w:w="3671" w:type="dxa"/>
          </w:tcPr>
          <w:p w14:paraId="3370C8FD" w14:textId="77777777" w:rsidR="001200DA" w:rsidRPr="002C4421" w:rsidRDefault="001200DA" w:rsidP="001200DA">
            <w:pPr>
              <w:rPr>
                <w:rFonts w:ascii="Arial" w:hAnsi="Arial" w:cs="Arial"/>
                <w:sz w:val="18"/>
                <w:szCs w:val="18"/>
              </w:rPr>
            </w:pPr>
          </w:p>
        </w:tc>
        <w:tc>
          <w:tcPr>
            <w:tcW w:w="1094" w:type="dxa"/>
          </w:tcPr>
          <w:p w14:paraId="08DB531A" w14:textId="77777777" w:rsidR="001200DA" w:rsidRPr="002C4421" w:rsidRDefault="001200DA" w:rsidP="001200DA">
            <w:pPr>
              <w:rPr>
                <w:rFonts w:ascii="Arial" w:hAnsi="Arial" w:cs="Arial"/>
                <w:sz w:val="18"/>
                <w:szCs w:val="18"/>
              </w:rPr>
            </w:pPr>
          </w:p>
        </w:tc>
        <w:tc>
          <w:tcPr>
            <w:tcW w:w="1350" w:type="dxa"/>
            <w:shd w:val="clear" w:color="auto" w:fill="FFE11C"/>
          </w:tcPr>
          <w:p w14:paraId="610FC0F8" w14:textId="77777777" w:rsidR="001200DA" w:rsidRPr="002C4421" w:rsidRDefault="001200DA" w:rsidP="001200DA">
            <w:pPr>
              <w:rPr>
                <w:rFonts w:ascii="Arial" w:hAnsi="Arial" w:cs="Arial"/>
                <w:sz w:val="18"/>
                <w:szCs w:val="18"/>
              </w:rPr>
            </w:pPr>
            <w:r w:rsidRPr="002C4421">
              <w:rPr>
                <w:rFonts w:ascii="Arial" w:hAnsi="Arial" w:cs="Arial"/>
                <w:sz w:val="18"/>
                <w:szCs w:val="18"/>
              </w:rPr>
              <w:t>Glu2814Asp</w:t>
            </w:r>
          </w:p>
        </w:tc>
        <w:tc>
          <w:tcPr>
            <w:tcW w:w="3420" w:type="dxa"/>
          </w:tcPr>
          <w:p w14:paraId="346AD099"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{"citationID":"78bQW9PQ","properties":{"formattedCitation":"(Amabile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4DF251BE" w14:textId="77777777" w:rsidTr="001200DA">
        <w:tc>
          <w:tcPr>
            <w:tcW w:w="3671" w:type="dxa"/>
          </w:tcPr>
          <w:p w14:paraId="771CBE0C" w14:textId="77777777" w:rsidR="001200DA" w:rsidRPr="002C4421" w:rsidRDefault="001200DA" w:rsidP="001200DA">
            <w:pPr>
              <w:rPr>
                <w:rFonts w:ascii="Arial" w:hAnsi="Arial" w:cs="Arial"/>
                <w:sz w:val="18"/>
                <w:szCs w:val="18"/>
              </w:rPr>
            </w:pPr>
          </w:p>
        </w:tc>
        <w:tc>
          <w:tcPr>
            <w:tcW w:w="1094" w:type="dxa"/>
          </w:tcPr>
          <w:p w14:paraId="24B3B98A" w14:textId="77777777" w:rsidR="001200DA" w:rsidRPr="002C4421" w:rsidRDefault="001200DA" w:rsidP="001200DA">
            <w:pPr>
              <w:rPr>
                <w:rFonts w:ascii="Arial" w:hAnsi="Arial" w:cs="Arial"/>
                <w:sz w:val="18"/>
                <w:szCs w:val="18"/>
              </w:rPr>
            </w:pPr>
          </w:p>
        </w:tc>
        <w:tc>
          <w:tcPr>
            <w:tcW w:w="1350" w:type="dxa"/>
            <w:shd w:val="clear" w:color="auto" w:fill="FFE11C"/>
          </w:tcPr>
          <w:p w14:paraId="1DE1A6CC" w14:textId="77777777" w:rsidR="001200DA" w:rsidRPr="002C4421" w:rsidRDefault="001200DA" w:rsidP="001200DA">
            <w:pPr>
              <w:rPr>
                <w:rFonts w:ascii="Arial" w:hAnsi="Arial" w:cs="Arial"/>
                <w:sz w:val="18"/>
                <w:szCs w:val="18"/>
              </w:rPr>
            </w:pPr>
            <w:r w:rsidRPr="002C4421">
              <w:rPr>
                <w:rFonts w:ascii="Arial" w:hAnsi="Arial" w:cs="Arial"/>
                <w:sz w:val="18"/>
                <w:szCs w:val="18"/>
              </w:rPr>
              <w:t>Val3065Met</w:t>
            </w:r>
          </w:p>
        </w:tc>
        <w:tc>
          <w:tcPr>
            <w:tcW w:w="3420" w:type="dxa"/>
          </w:tcPr>
          <w:p w14:paraId="74C89468"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{"citationID":"BHotNcpq","properties":{"formattedCitation":"(Amabile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10C66AF7" w14:textId="77777777" w:rsidTr="001200DA">
        <w:tc>
          <w:tcPr>
            <w:tcW w:w="3671" w:type="dxa"/>
          </w:tcPr>
          <w:p w14:paraId="6436B885" w14:textId="77777777" w:rsidR="001200DA" w:rsidRPr="002C4421" w:rsidRDefault="001200DA" w:rsidP="001200DA">
            <w:pPr>
              <w:rPr>
                <w:rFonts w:ascii="Arial" w:hAnsi="Arial" w:cs="Arial"/>
                <w:sz w:val="18"/>
                <w:szCs w:val="18"/>
              </w:rPr>
            </w:pPr>
          </w:p>
        </w:tc>
        <w:tc>
          <w:tcPr>
            <w:tcW w:w="1094" w:type="dxa"/>
          </w:tcPr>
          <w:p w14:paraId="22519FA2" w14:textId="77777777" w:rsidR="001200DA" w:rsidRPr="002C4421" w:rsidRDefault="001200DA" w:rsidP="001200DA">
            <w:pPr>
              <w:rPr>
                <w:rFonts w:ascii="Arial" w:hAnsi="Arial" w:cs="Arial"/>
                <w:sz w:val="18"/>
                <w:szCs w:val="18"/>
              </w:rPr>
            </w:pPr>
          </w:p>
        </w:tc>
        <w:tc>
          <w:tcPr>
            <w:tcW w:w="1350" w:type="dxa"/>
            <w:shd w:val="clear" w:color="auto" w:fill="FFE11C"/>
          </w:tcPr>
          <w:p w14:paraId="3065D11C" w14:textId="77777777" w:rsidR="001200DA" w:rsidRPr="002C4421" w:rsidRDefault="001200DA" w:rsidP="001200DA">
            <w:pPr>
              <w:rPr>
                <w:rFonts w:ascii="Arial" w:hAnsi="Arial" w:cs="Arial"/>
                <w:sz w:val="18"/>
                <w:szCs w:val="18"/>
              </w:rPr>
            </w:pPr>
            <w:r w:rsidRPr="002C4421">
              <w:rPr>
                <w:rFonts w:ascii="Arial" w:hAnsi="Arial" w:cs="Arial"/>
                <w:sz w:val="18"/>
                <w:szCs w:val="18"/>
              </w:rPr>
              <w:t>Arg3989Cys</w:t>
            </w:r>
          </w:p>
        </w:tc>
        <w:tc>
          <w:tcPr>
            <w:tcW w:w="3420" w:type="dxa"/>
          </w:tcPr>
          <w:p w14:paraId="4D13EF0C"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{"citationID":"6MP9EILc","properties":{"formattedCitation":"(Amabile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3DDFF4FF" w14:textId="77777777" w:rsidTr="001200DA">
        <w:tc>
          <w:tcPr>
            <w:tcW w:w="3671" w:type="dxa"/>
          </w:tcPr>
          <w:p w14:paraId="270243C6" w14:textId="77777777" w:rsidR="001200DA" w:rsidRPr="002C4421" w:rsidRDefault="001200DA" w:rsidP="001200DA">
            <w:pPr>
              <w:rPr>
                <w:rFonts w:ascii="Arial" w:hAnsi="Arial" w:cs="Arial"/>
                <w:sz w:val="18"/>
                <w:szCs w:val="18"/>
              </w:rPr>
            </w:pPr>
          </w:p>
        </w:tc>
        <w:tc>
          <w:tcPr>
            <w:tcW w:w="1094" w:type="dxa"/>
          </w:tcPr>
          <w:p w14:paraId="1CEEC5B1" w14:textId="77777777" w:rsidR="001200DA" w:rsidRPr="002C4421" w:rsidRDefault="001200DA" w:rsidP="001200DA">
            <w:pPr>
              <w:rPr>
                <w:rFonts w:ascii="Arial" w:hAnsi="Arial" w:cs="Arial"/>
                <w:sz w:val="18"/>
                <w:szCs w:val="18"/>
              </w:rPr>
            </w:pPr>
          </w:p>
        </w:tc>
        <w:tc>
          <w:tcPr>
            <w:tcW w:w="1350" w:type="dxa"/>
            <w:shd w:val="clear" w:color="auto" w:fill="FFE11C"/>
          </w:tcPr>
          <w:p w14:paraId="0F22EB13" w14:textId="77777777" w:rsidR="001200DA" w:rsidRPr="002C4421" w:rsidRDefault="001200DA" w:rsidP="001200DA">
            <w:pPr>
              <w:rPr>
                <w:rFonts w:ascii="Arial" w:hAnsi="Arial" w:cs="Arial"/>
                <w:sz w:val="18"/>
                <w:szCs w:val="18"/>
              </w:rPr>
            </w:pPr>
            <w:r w:rsidRPr="002C4421">
              <w:rPr>
                <w:rFonts w:ascii="Arial" w:hAnsi="Arial" w:cs="Arial"/>
                <w:sz w:val="18"/>
                <w:szCs w:val="18"/>
              </w:rPr>
              <w:t>Thr4450Met</w:t>
            </w:r>
          </w:p>
        </w:tc>
        <w:tc>
          <w:tcPr>
            <w:tcW w:w="3420" w:type="dxa"/>
          </w:tcPr>
          <w:p w14:paraId="49A0EE3A"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{"citationID":"Rwk7EZNZ","properties":{"formattedCitation":"(Amabile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76425A96" w14:textId="77777777" w:rsidTr="001200DA">
        <w:tc>
          <w:tcPr>
            <w:tcW w:w="3671" w:type="dxa"/>
          </w:tcPr>
          <w:p w14:paraId="53C6B0E1" w14:textId="77777777" w:rsidR="001200DA" w:rsidRPr="002C4421" w:rsidRDefault="001200DA" w:rsidP="001200DA">
            <w:pPr>
              <w:rPr>
                <w:rFonts w:ascii="Arial" w:hAnsi="Arial" w:cs="Arial"/>
                <w:sz w:val="18"/>
                <w:szCs w:val="18"/>
              </w:rPr>
            </w:pPr>
          </w:p>
        </w:tc>
        <w:tc>
          <w:tcPr>
            <w:tcW w:w="1094" w:type="dxa"/>
          </w:tcPr>
          <w:p w14:paraId="087C8434" w14:textId="77777777" w:rsidR="001200DA" w:rsidRPr="002C4421" w:rsidRDefault="001200DA" w:rsidP="001200DA">
            <w:pPr>
              <w:rPr>
                <w:rFonts w:ascii="Arial" w:hAnsi="Arial" w:cs="Arial"/>
                <w:sz w:val="18"/>
                <w:szCs w:val="18"/>
              </w:rPr>
            </w:pPr>
          </w:p>
        </w:tc>
        <w:tc>
          <w:tcPr>
            <w:tcW w:w="1350" w:type="dxa"/>
            <w:shd w:val="clear" w:color="auto" w:fill="FFE11C"/>
          </w:tcPr>
          <w:p w14:paraId="2BE877EA" w14:textId="77777777" w:rsidR="001200DA" w:rsidRPr="002C4421" w:rsidRDefault="001200DA" w:rsidP="001200DA">
            <w:pPr>
              <w:rPr>
                <w:rFonts w:ascii="Arial" w:hAnsi="Arial" w:cs="Arial"/>
                <w:sz w:val="18"/>
                <w:szCs w:val="18"/>
              </w:rPr>
            </w:pPr>
            <w:r w:rsidRPr="002C4421">
              <w:rPr>
                <w:rFonts w:ascii="Arial" w:hAnsi="Arial" w:cs="Arial"/>
                <w:sz w:val="18"/>
                <w:szCs w:val="18"/>
              </w:rPr>
              <w:t>Leu4577Pro</w:t>
            </w:r>
          </w:p>
        </w:tc>
        <w:tc>
          <w:tcPr>
            <w:tcW w:w="3420" w:type="dxa"/>
          </w:tcPr>
          <w:p w14:paraId="104D0841"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{"citationID":"eWrSx2Fd","properties":{"formattedCitation":"(Amabile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256D2DD5" w14:textId="77777777" w:rsidTr="001200DA">
        <w:tc>
          <w:tcPr>
            <w:tcW w:w="3671" w:type="dxa"/>
            <w:shd w:val="clear" w:color="auto" w:fill="4B8354"/>
          </w:tcPr>
          <w:p w14:paraId="6A9A1670" w14:textId="77777777" w:rsidR="001200DA" w:rsidRPr="002C4421" w:rsidRDefault="001200DA" w:rsidP="001200DA">
            <w:pPr>
              <w:rPr>
                <w:rFonts w:ascii="Arial" w:hAnsi="Arial" w:cs="Arial"/>
                <w:sz w:val="18"/>
                <w:szCs w:val="18"/>
              </w:rPr>
            </w:pPr>
            <w:r w:rsidRPr="002C4421">
              <w:rPr>
                <w:rFonts w:ascii="Arial" w:hAnsi="Arial" w:cs="Arial"/>
                <w:color w:val="FFFFFF" w:themeColor="background1"/>
                <w:sz w:val="18"/>
                <w:szCs w:val="18"/>
              </w:rPr>
              <w:t>Spinal Muscular Atrophy</w:t>
            </w:r>
          </w:p>
        </w:tc>
        <w:tc>
          <w:tcPr>
            <w:tcW w:w="1094" w:type="dxa"/>
          </w:tcPr>
          <w:p w14:paraId="345BC0E6" w14:textId="77777777" w:rsidR="001200DA" w:rsidRPr="002C4421" w:rsidRDefault="001200DA" w:rsidP="001200DA">
            <w:pPr>
              <w:rPr>
                <w:rFonts w:ascii="Arial" w:hAnsi="Arial" w:cs="Arial"/>
                <w:sz w:val="18"/>
                <w:szCs w:val="18"/>
              </w:rPr>
            </w:pPr>
            <w:r w:rsidRPr="002C4421">
              <w:rPr>
                <w:rFonts w:ascii="Arial" w:hAnsi="Arial" w:cs="Arial"/>
                <w:sz w:val="18"/>
                <w:szCs w:val="18"/>
              </w:rPr>
              <w:t>Dynein</w:t>
            </w:r>
          </w:p>
        </w:tc>
        <w:tc>
          <w:tcPr>
            <w:tcW w:w="1350" w:type="dxa"/>
            <w:shd w:val="clear" w:color="auto" w:fill="4B8354"/>
          </w:tcPr>
          <w:p w14:paraId="3F03F4D9"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Glu2616Lys</w:t>
            </w:r>
          </w:p>
        </w:tc>
        <w:tc>
          <w:tcPr>
            <w:tcW w:w="3420" w:type="dxa"/>
          </w:tcPr>
          <w:p w14:paraId="15D4F2A4"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{"citationID":"GPVsOurW","properties":{"formattedCitation":"(Scoto et al., 2015)","plainCitation":"(Scoto et al., 2015)","noteIndex":0},"citationItems":[{"id":4927,"uris":["http://zotero.org/users/local/CeO1fDrN/items/993X9B66"],"itemData":{"id":4927,"type":"article-journal","abstract":"OBJECTIVE: To expand the clinical phenotype of autosomal dominant congenital spinal muscular atrophy with lower extremity predominance (SMA-LED) due to mutations in the dynein, cytoplasmic 1, heavy chain 1 (DYNC1H1) gene.\nMETHODS: Patients with a phenotype suggestive of a motor, non-length-dependent neuronopathy predominantly affecting the lower limbs were identified at participating neuromuscular centers and referred for targeted sequencing of DYNC1H1.\nRESULTS: We report a cohort of 30 cases of SMA-LED from 16 families, carrying mutations in the tail and motor domains of DYNC1H1, including 10 novel mutations. These patients are characterized by congenital or childhood-onset lower limb wasting and weakness frequently associated with cognitive impairment. The clinical severity is variable, ranging from generalized arthrogryposis and inability to ambulate to exclusive and mild lower limb weakness. In many individuals with cognitive impairment (9/30 had cognitive impairment) who underwent brain MRI, there was an underlying structural malformation resulting in polymicrogyric appearance. The lower limb muscle MRI shows a distinctive pattern suggestive of denervation characterized by sparing and relative hypertrophy of the adductor longus and semitendinosus muscles at the thigh level, and diffuse involvement with relative sparing of the anterior-medial muscles at the calf level. Proximal muscle histopathology did not always show classic neurogenic features.\nCONCLUSION: Our report expands the clinical spectrum of DYNC1H1-related SMA-LED to include generalized arthrogryposis. In addition, we report that the neurogenic peripheral pathology and the CNS neuronal migration defects are often associated, reinforcing the importance of DYNC1H1 in both central and peripheral neuronal functions.","container-title":"Neurology","DOI":"10.1212/WNL.0000000000001269","ISSN":"1526-632X","issue":"7","journalAbbreviation":"Neurology","language":"eng","note":"PMID: 25609763\nPMCID: PMC4336105","page":"668-679","source":"PubMed","title":"Novel mutations expand the clinical spectrum of DYNC1H1-associated spinal muscular atrophy","volume":"84","author":[{"family":"Scoto","given":"Mariacristina"},{"family":"Rossor","given":"Alexander M."},{"family":"Harms","given":"Matthew B."},{"family":"Cirak","given":"Sebahattin"},{"family":"Calissano","given":"Mattia"},{"family":"Robb","given":"Stephanie"},{"family":"Manzur","given":"Adnan Y."},{"family":"Martínez Arroyo","given":"Amaia"},{"family":"Rodriguez Sanz","given":"Aida"},{"family":"Mansour","given":"Sahar"},{"family":"Fallon","given":"Penny"},{"family":"Hadjikoumi","given":"Irene"},{"family":"Klein","given":"Andrea"},{"family":"Yang","given":"Michele"},{"family":"De Visser","given":"Marianne"},{"family":"Overweg-Plandsoen","given":"W. C. G. Truus"},{"family":"Baas","given":"Frank"},{"family":"Taylor","given":"J. Paul"},{"family":"Benatar","given":"Michael"},{"family":"Connolly","given":"Anne M."},{"family":"Al-Lozi","given":"Muhammad T."},{"family":"Nixon","given":"John"},{"family":"Goede","given":"Christian G. E. L.","non-dropping-particle":"de"},{"family":"Foley","given":"A. Reghan"},{"family":"Mcwilliam","given":"Catherine"},{"family":"Pitt","given":"Matthew"},{"family":"Sewry","given":"Caroline"},{"family":"Phadke","given":"Rahul"},{"family":"Hafezparast","given":"Majid"},{"family":"Chong","given":"W. K. Kling"},{"family":"Mercuri","given":"Eugenio"},{"family":"Baloh","given":"Robert H."},{"family":"Reilly","given":"Mary M."},{"family":"Muntoni","given":"Francesco"}],"issued":{"date-parts":[["2015",2,17]]}}}],"schema":"https://github.com/citation-style-language/schema/raw/master/csl-citation.json"}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(Scoto et al., 2015)</w:t>
            </w:r>
            <w:r>
              <w:rPr>
                <w:rFonts w:ascii="Arial" w:hAnsi="Arial" w:cs="Arial"/>
                <w:sz w:val="18"/>
                <w:szCs w:val="18"/>
              </w:rPr>
              <w:fldChar w:fldCharType="end"/>
            </w:r>
          </w:p>
        </w:tc>
      </w:tr>
      <w:tr w:rsidR="001200DA" w:rsidRPr="00DE6390" w14:paraId="6FCF69FC" w14:textId="77777777" w:rsidTr="001200DA">
        <w:tc>
          <w:tcPr>
            <w:tcW w:w="3671" w:type="dxa"/>
          </w:tcPr>
          <w:p w14:paraId="68841D51" w14:textId="77777777" w:rsidR="001200DA" w:rsidRPr="002C4421" w:rsidRDefault="001200DA" w:rsidP="001200DA">
            <w:pPr>
              <w:rPr>
                <w:rFonts w:ascii="Arial" w:hAnsi="Arial" w:cs="Arial"/>
                <w:sz w:val="18"/>
                <w:szCs w:val="18"/>
              </w:rPr>
            </w:pPr>
          </w:p>
        </w:tc>
        <w:tc>
          <w:tcPr>
            <w:tcW w:w="1094" w:type="dxa"/>
          </w:tcPr>
          <w:p w14:paraId="2F659D92" w14:textId="77777777" w:rsidR="001200DA" w:rsidRPr="002C4421" w:rsidRDefault="001200DA" w:rsidP="001200DA">
            <w:pPr>
              <w:rPr>
                <w:rFonts w:ascii="Arial" w:hAnsi="Arial" w:cs="Arial"/>
                <w:sz w:val="18"/>
                <w:szCs w:val="18"/>
              </w:rPr>
            </w:pPr>
          </w:p>
        </w:tc>
        <w:tc>
          <w:tcPr>
            <w:tcW w:w="1350" w:type="dxa"/>
            <w:shd w:val="clear" w:color="auto" w:fill="4B8354"/>
          </w:tcPr>
          <w:p w14:paraId="685AA827"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Glu3048Lys</w:t>
            </w:r>
          </w:p>
        </w:tc>
        <w:tc>
          <w:tcPr>
            <w:tcW w:w="3420" w:type="dxa"/>
          </w:tcPr>
          <w:p w14:paraId="78F1D042" w14:textId="77777777" w:rsidR="001200DA" w:rsidRPr="002C4421" w:rsidRDefault="001200DA" w:rsidP="001200DA">
            <w:pPr>
              <w:tabs>
                <w:tab w:val="left" w:pos="496"/>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{"citationID":"jaLjEGDX","properties":{"formattedCitation":"(Fiorillo et al., 2014)","plainCitation":"(Fiorillo et al., 2014)","noteIndex":0},"citationItems":[{"id":4930,"uris":["http://zotero.org/users/local/CeO1fDrN/items/VN5T6NSU"],"itemData":{"id":4930,"type":"article-journal","abstract":"DYNC1H1 encodes the heavy chain of cytoplasmic dynein 1, a motor protein complex implicated in retrograde axonal transport, neuronal migration, and other intracellular motility functions. Mutations in DYNC1H1 have been described in autosomal-dominant Charcot-Marie-Tooth type 2 and in families with distal spinal muscular atrophy (SMA) predominantly affecting the legs (SMA-LED). Recently, defects of cytoplasmic dynein 1 were also associated with a form of mental retardation and neuronal migration disorders. Here, we describe two unrelated patients presenting a combined phenotype of congenital motor neuron disease associated with focal areas of cortical malformation. In each patient, we identified a novel de novo mutation in DYNC1H1: c.3581A&gt;G (p.Gln1194Arg) in one case and c.9142G&gt;A (p.Glu3048Lys) in the other. The mutations lie in different domains of the dynein heavy chain, and are deleterious to protein function as indicated by assays for Golgi recovery after nocodazole washout in patient fibroblasts. Our results expand the set of pathological mutations in DYNC1H1, reinforce the role of cytoplasmic dynein in disorders of neuronal migration, and provide evidence for a syndrome including spinal nerve degeneration and brain developmental problems.","container-title":"Human Mutation","DOI":"10.1002/humu.22491","ISSN":"1098-1004","issue":"3","journalAbbreviation":"Hum Mutat","language":"eng","note":"PMID: 24307404\nPMCID: PMC4109683","page":"298-302","source":"PubMed","title":"Novel dynein DYNC1H1 neck and motor domain mutations link distal spinal muscular atrophy and abnormal cortical development","volume":"35","author":[{"family":"Fiorillo","given":"Chiara"},{"family":"Moro","given":"Francesca"},{"family":"Yi","given":"Julie"},{"family":"Weil","given":"Sarah"},{"family":"Brisca","given":"Giacomo"},{"family":"Astrea","given":"Guja"},{"family":"Severino","given":"Mariasavina"},{"family":"Romano","given":"Alessandro"},{"family":"Battini","given":"Roberta"},{"family":"Rossi","given":"Andrea"},{"family":"Minetti","given":"Carlo"},{"family":"Bruno","given":"Claudio"},{"family":"Santorelli","given":"Filippo M."},{"family":"Vallee","given":"Richard"}],"issued":{"date-parts":[["2014",3]]}}}],"schema":"https://github.com/citation-style-language/schema/raw/master/csl-citation.json"}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(Fiorillo et al., 2014)</w:t>
            </w:r>
            <w:r>
              <w:rPr>
                <w:rFonts w:ascii="Arial" w:hAnsi="Arial" w:cs="Arial"/>
                <w:sz w:val="18"/>
                <w:szCs w:val="18"/>
              </w:rPr>
              <w:fldChar w:fldCharType="end"/>
            </w:r>
          </w:p>
        </w:tc>
      </w:tr>
      <w:tr w:rsidR="001200DA" w:rsidRPr="00DE6390" w14:paraId="760C602E" w14:textId="77777777" w:rsidTr="001200DA">
        <w:tc>
          <w:tcPr>
            <w:tcW w:w="3671" w:type="dxa"/>
            <w:shd w:val="clear" w:color="auto" w:fill="EA9C75"/>
          </w:tcPr>
          <w:p w14:paraId="0321EC0D" w14:textId="77777777" w:rsidR="001200DA" w:rsidRPr="002C4421" w:rsidRDefault="001200DA" w:rsidP="001200DA">
            <w:pPr>
              <w:rPr>
                <w:rFonts w:ascii="Arial" w:hAnsi="Arial" w:cs="Arial"/>
                <w:sz w:val="18"/>
                <w:szCs w:val="18"/>
              </w:rPr>
            </w:pPr>
            <w:r w:rsidRPr="002C4421">
              <w:rPr>
                <w:rFonts w:ascii="Arial" w:hAnsi="Arial" w:cs="Arial"/>
                <w:sz w:val="18"/>
                <w:szCs w:val="18"/>
              </w:rPr>
              <w:t>Autism Spectrum Disorders</w:t>
            </w:r>
          </w:p>
        </w:tc>
        <w:tc>
          <w:tcPr>
            <w:tcW w:w="1094" w:type="dxa"/>
          </w:tcPr>
          <w:p w14:paraId="476959CE" w14:textId="77777777" w:rsidR="001200DA" w:rsidRPr="002C4421" w:rsidRDefault="001200DA" w:rsidP="001200DA">
            <w:pPr>
              <w:rPr>
                <w:rFonts w:ascii="Arial" w:hAnsi="Arial" w:cs="Arial"/>
                <w:sz w:val="18"/>
                <w:szCs w:val="18"/>
              </w:rPr>
            </w:pPr>
            <w:r w:rsidRPr="002C4421">
              <w:rPr>
                <w:rFonts w:ascii="Arial" w:hAnsi="Arial" w:cs="Arial"/>
                <w:sz w:val="18"/>
                <w:szCs w:val="18"/>
              </w:rPr>
              <w:t>Dynein</w:t>
            </w:r>
          </w:p>
        </w:tc>
        <w:tc>
          <w:tcPr>
            <w:tcW w:w="1350" w:type="dxa"/>
            <w:shd w:val="clear" w:color="auto" w:fill="EA9C75"/>
          </w:tcPr>
          <w:p w14:paraId="2FA71EB0" w14:textId="77777777" w:rsidR="001200DA" w:rsidRPr="002C4421" w:rsidRDefault="001200DA" w:rsidP="001200DA">
            <w:pPr>
              <w:rPr>
                <w:rFonts w:ascii="Arial" w:hAnsi="Arial" w:cs="Arial"/>
                <w:sz w:val="18"/>
                <w:szCs w:val="18"/>
              </w:rPr>
            </w:pPr>
            <w:r w:rsidRPr="002C4421">
              <w:rPr>
                <w:rFonts w:ascii="Arial" w:hAnsi="Arial" w:cs="Arial"/>
                <w:sz w:val="18"/>
                <w:szCs w:val="18"/>
              </w:rPr>
              <w:t>Ala2233Val</w:t>
            </w:r>
          </w:p>
        </w:tc>
        <w:tc>
          <w:tcPr>
            <w:tcW w:w="3420" w:type="dxa"/>
          </w:tcPr>
          <w:p w14:paraId="3951112B"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{"citationID":"8HIk7cFv","properties":{"formattedCitation":"(Amabile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0ABE14F8" w14:textId="77777777" w:rsidTr="001200DA">
        <w:tc>
          <w:tcPr>
            <w:tcW w:w="3671" w:type="dxa"/>
          </w:tcPr>
          <w:p w14:paraId="53D2C271" w14:textId="77777777" w:rsidR="001200DA" w:rsidRPr="002C4421" w:rsidRDefault="001200DA" w:rsidP="001200DA">
            <w:pPr>
              <w:rPr>
                <w:rFonts w:ascii="Arial" w:hAnsi="Arial" w:cs="Arial"/>
                <w:sz w:val="18"/>
                <w:szCs w:val="18"/>
              </w:rPr>
            </w:pPr>
          </w:p>
        </w:tc>
        <w:tc>
          <w:tcPr>
            <w:tcW w:w="1094" w:type="dxa"/>
          </w:tcPr>
          <w:p w14:paraId="577A3B19" w14:textId="77777777" w:rsidR="001200DA" w:rsidRPr="002C4421" w:rsidRDefault="001200DA" w:rsidP="001200DA">
            <w:pPr>
              <w:rPr>
                <w:rFonts w:ascii="Arial" w:hAnsi="Arial" w:cs="Arial"/>
                <w:sz w:val="18"/>
                <w:szCs w:val="18"/>
              </w:rPr>
            </w:pPr>
          </w:p>
        </w:tc>
        <w:tc>
          <w:tcPr>
            <w:tcW w:w="1350" w:type="dxa"/>
            <w:shd w:val="clear" w:color="auto" w:fill="EA9C75"/>
          </w:tcPr>
          <w:p w14:paraId="073A03F4" w14:textId="77777777" w:rsidR="001200DA" w:rsidRPr="002C4421" w:rsidRDefault="001200DA" w:rsidP="001200DA">
            <w:pPr>
              <w:rPr>
                <w:rFonts w:ascii="Arial" w:hAnsi="Arial" w:cs="Arial"/>
                <w:sz w:val="18"/>
                <w:szCs w:val="18"/>
              </w:rPr>
            </w:pPr>
            <w:r w:rsidRPr="002C4421">
              <w:rPr>
                <w:rFonts w:ascii="Arial" w:hAnsi="Arial" w:cs="Arial"/>
                <w:sz w:val="18"/>
                <w:szCs w:val="18"/>
              </w:rPr>
              <w:t>Asp2573Gly</w:t>
            </w:r>
          </w:p>
        </w:tc>
        <w:tc>
          <w:tcPr>
            <w:tcW w:w="3420" w:type="dxa"/>
          </w:tcPr>
          <w:p w14:paraId="57B66142"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{"citationID":"Owk2TdFo","properties":{"formattedCitation":"(Amabile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11E5DAD8" w14:textId="77777777" w:rsidTr="001200DA">
        <w:tc>
          <w:tcPr>
            <w:tcW w:w="3671" w:type="dxa"/>
          </w:tcPr>
          <w:p w14:paraId="39372877" w14:textId="77777777" w:rsidR="001200DA" w:rsidRPr="002C4421" w:rsidRDefault="001200DA" w:rsidP="001200DA">
            <w:pPr>
              <w:rPr>
                <w:rFonts w:ascii="Arial" w:hAnsi="Arial" w:cs="Arial"/>
                <w:sz w:val="18"/>
                <w:szCs w:val="18"/>
              </w:rPr>
            </w:pPr>
          </w:p>
        </w:tc>
        <w:tc>
          <w:tcPr>
            <w:tcW w:w="1094" w:type="dxa"/>
          </w:tcPr>
          <w:p w14:paraId="141823D1" w14:textId="77777777" w:rsidR="001200DA" w:rsidRPr="002C4421" w:rsidRDefault="001200DA" w:rsidP="001200DA">
            <w:pPr>
              <w:rPr>
                <w:rFonts w:ascii="Arial" w:hAnsi="Arial" w:cs="Arial"/>
                <w:sz w:val="18"/>
                <w:szCs w:val="18"/>
              </w:rPr>
            </w:pPr>
          </w:p>
        </w:tc>
        <w:tc>
          <w:tcPr>
            <w:tcW w:w="1350" w:type="dxa"/>
            <w:shd w:val="clear" w:color="auto" w:fill="EA9C75"/>
          </w:tcPr>
          <w:p w14:paraId="7D22C072" w14:textId="77777777" w:rsidR="001200DA" w:rsidRPr="002C4421" w:rsidRDefault="001200DA" w:rsidP="001200DA">
            <w:pPr>
              <w:rPr>
                <w:rFonts w:ascii="Arial" w:hAnsi="Arial" w:cs="Arial"/>
                <w:sz w:val="18"/>
                <w:szCs w:val="18"/>
              </w:rPr>
            </w:pPr>
            <w:r w:rsidRPr="002C4421">
              <w:rPr>
                <w:rFonts w:ascii="Arial" w:hAnsi="Arial" w:cs="Arial"/>
                <w:sz w:val="18"/>
                <w:szCs w:val="18"/>
              </w:rPr>
              <w:t>Glu3025Lys</w:t>
            </w:r>
          </w:p>
        </w:tc>
        <w:tc>
          <w:tcPr>
            <w:tcW w:w="3420" w:type="dxa"/>
          </w:tcPr>
          <w:p w14:paraId="393DC61B"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{"citationID":"C5I09QOJ","properties":{"formattedCitation":"(C Yuen et al., 2017)","plainCitation":"(C Yuen et al., 2017)","noteIndex":0},"citationItems":[{"id":4974,"uris":["http://zotero.org/users/local/CeO1fDrN/items/QFJLGZSL"],"itemData":{"id":4974,"type":"article-journal","abstract":"We are performing whole-genome sequencing of families with autism spectrum disorder (ASD) to build a resource (MSSNG) for subcategorizing the phenotypes and underlying genetic factors involved. Here we report sequencing of 5,205 samples from families with ASD, accompanied by clinical information, creating a database accessible on a cloud platform and through a controlled-access internet portal. We found an average of 73.8 de novo single nucleotide variants and 12.6 de novo insertions and deletions or copy number variations per ASD subject. We identified 18 new candidate ASD-risk genes and found that participants bearing mutations in susceptibility genes had significantly lower adaptive ability (P = 6 × 10-4). In 294 of 2,620 (11.2%) of ASD cases, a molecular basis could be determined and 7.2% of these carried copy number variations and/or chromosomal abnormalities, emphasizing the importance of detecting all forms of genetic variation as diagnostic and therapeutic targets in ASD.","container-title":"Nature Neuroscience","DOI":"10.1038/nn.4524","ISSN":"1546-1726","issue":"4","journalAbbreviation":"Nat Neurosci","language":"eng","note":"PMID: 28263302\nPMCID: PMC5501701","page":"602-611","source":"PubMed","title":"Whole genome sequencing resource identifies 18 new candidate genes for autism spectrum disorder","volume":"20","author":[{"family":"C Yuen","given":"Ryan K."},{"family":"Merico","given":"Daniele"},{"family":"Bookman","given":"Matt"},{"family":"L Howe","given":"Jennifer"},{"family":"Thiruvahindrapuram","given":"Bhooma"},{"family":"Patel","given":"Rohan V."},{"family":"Whitney","given":"Joe"},{"family":"Deflaux","given":"Nicole"},{"family":"Bingham","given":"Jonathan"},{"family":"Wang","given":"Zhuozhi"},{"family":"Pellecchia","given":"Giovanna"},{"family":"Buchanan","given":"Janet A."},{"family":"Walker","given":"Susan"},{"family":"Marshall","given":"Christian R."},{"family":"Uddin","given":"Mohammed"},{"family":"Zarrei","given":"Mehdi"},{"family":"Deneault","given":"Eric"},{"family":"D'Abate","given":"Lia"},{"family":"Chan","given":"Ada J. S."},{"family":"Koyanagi","given":"Stephanie"},{"family":"Paton","given":"Tara"},{"family":"Pereira","given":"Sergio L."},{"family":"Hoang","given":"Ny"},{"family":"Engchuan","given":"Worrawat"},{"family":"Higginbotham","given":"Edward J."},{"family":"Ho","given":"Karen"},{"family":"Lamoureux","given":"Sylvia"},{"family":"Li","given":"Weili"},{"family":"MacDonald","given":"Jeffrey R."},{"family":"Nalpathamkalam","given":"Thomas"},{"family":"Sung","given":"Wilson W. L."},{"family":"Tsoi","given":"Fiona J."},{"family":"Wei","given":"John"},{"family":"Xu","given":"Lizhen"},{"family":"Tasse","given":"Anne-Marie"},{"family":"Kirby","given":"Emily"},{"family":"Van Etten","given":"William"},{"family":"Twigger","given":"Simon"},{"family":"Roberts","given":"Wendy"},{"family":"Drmic","given":"Irene"},{"family":"Jilderda","given":"Sanne"},{"family":"Modi","given":"Bonnie MacKinnon"},{"family":"Kellam","given":"Barbara"},{"family":"Szego","given":"Michael"},{"family":"Cytrynbaum","given":"Cheryl"},{"family":"Weksberg","given":"Rosanna"},{"family":"Zwaigenbaum","given":"Lonnie"},{"family":"Woodbury-Smith","given":"Marc"},{"family":"Brian","given":"Jessica"},{"family":"Senman","given":"Lili"},{"family":"Iaboni","given":"Alana"},{"family":"Doyle-Thomas","given":"Krissy"},{"family":"Thompson","given":"Ann"},{"family":"Chrysler","given":"Christina"},{"family":"Leef","given":"Jonathan"},{"family":"Savion-Lemieux","given":"Tal"},{"family":"Smith","given":"Isabel M."},{"family":"Liu","given":"Xudong"},{"family":"Nicolson","given":"Rob"},{"family":"Seifer","given":"Vicki"},{"family":"Fedele","given":"Angie"},{"family":"Cook","given":"Edwin H."},{"family":"Dager","given":"Stephen"},{"family":"Estes","given":"Annette"},{"family":"Gallagher","given":"Louise"},{"family":"Malow","given":"Beth A."},{"family":"Parr","given":"Jeremy R."},{"family":"Spence","given":"Sarah J."},{"family":"Vorstman","given":"Jacob"},{"family":"Frey","given":"Brendan J."},{"family":"Robinson","given":"James T."},{"family":"Strug","given":"Lisa J."},{"family":"Fernandez","given":"Bridget A."},{"family":"Elsabbagh","given":"Mayada"},{"family":"Carter","given":"Melissa T."},{"family":"Hallmayer","given":"Joachim"},{"family":"Knoppers","given":"Bartha M."},{"family":"Anagnostou","given":"Evdokia"},{"family":"Szatmari","given":"Peter"},{"family":"Ring","given":"Robert H."},{"family":"Glazer","given":"David"},{"family":"Pletcher","given":"Mathew T."},{"family":"Scherer","given":"Stephen W."}],"issued":{"date-parts":[["2017",4]]}}}],"schema":"https://github.com/citation-style-language/schema/raw/master/csl-citation.json"}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(C Yuen et al., 2017)</w:t>
            </w:r>
            <w:r>
              <w:rPr>
                <w:rFonts w:ascii="Arial" w:hAnsi="Arial" w:cs="Arial"/>
                <w:sz w:val="18"/>
                <w:szCs w:val="18"/>
              </w:rPr>
              <w:fldChar w:fldCharType="end"/>
            </w:r>
          </w:p>
        </w:tc>
      </w:tr>
      <w:tr w:rsidR="001200DA" w:rsidRPr="00DE6390" w14:paraId="5DBBE4B3" w14:textId="77777777" w:rsidTr="001200DA">
        <w:tc>
          <w:tcPr>
            <w:tcW w:w="3671" w:type="dxa"/>
          </w:tcPr>
          <w:p w14:paraId="3A094C90" w14:textId="77777777" w:rsidR="001200DA" w:rsidRPr="002C4421" w:rsidRDefault="001200DA" w:rsidP="001200DA">
            <w:pPr>
              <w:rPr>
                <w:rFonts w:ascii="Arial" w:hAnsi="Arial" w:cs="Arial"/>
                <w:sz w:val="18"/>
                <w:szCs w:val="18"/>
              </w:rPr>
            </w:pPr>
          </w:p>
        </w:tc>
        <w:tc>
          <w:tcPr>
            <w:tcW w:w="1094" w:type="dxa"/>
          </w:tcPr>
          <w:p w14:paraId="11CAFDB7" w14:textId="77777777" w:rsidR="001200DA" w:rsidRPr="002C4421" w:rsidRDefault="001200DA" w:rsidP="001200DA">
            <w:pPr>
              <w:rPr>
                <w:rFonts w:ascii="Arial" w:hAnsi="Arial" w:cs="Arial"/>
                <w:sz w:val="18"/>
                <w:szCs w:val="18"/>
              </w:rPr>
            </w:pPr>
          </w:p>
        </w:tc>
        <w:tc>
          <w:tcPr>
            <w:tcW w:w="1350" w:type="dxa"/>
            <w:shd w:val="clear" w:color="auto" w:fill="EA9C75"/>
          </w:tcPr>
          <w:p w14:paraId="3374214F" w14:textId="77777777" w:rsidR="001200DA" w:rsidRPr="002C4421" w:rsidRDefault="001200DA" w:rsidP="001200DA">
            <w:pPr>
              <w:rPr>
                <w:rFonts w:ascii="Arial" w:hAnsi="Arial" w:cs="Arial"/>
                <w:sz w:val="18"/>
                <w:szCs w:val="18"/>
              </w:rPr>
            </w:pPr>
            <w:r w:rsidRPr="002C4421">
              <w:rPr>
                <w:rFonts w:ascii="Arial" w:hAnsi="Arial" w:cs="Arial"/>
                <w:sz w:val="18"/>
                <w:szCs w:val="18"/>
              </w:rPr>
              <w:t>Gly4072Ser</w:t>
            </w:r>
          </w:p>
        </w:tc>
        <w:tc>
          <w:tcPr>
            <w:tcW w:w="3420" w:type="dxa"/>
          </w:tcPr>
          <w:p w14:paraId="092EA6A6"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{"citationID":"23XuaLyZ","properties":{"formattedCitation":"(Iossifov et al., 2014)","plainCitation":"(Iossifov et al., 2014)","noteIndex":0},"citationItems":[{"id":4936,"uris":["http://zotero.org/users/local/CeO1fDrN/items/BN2X8443"],"itemData":{"id":4936,"type":"article-journal","abstract":"Whole exome sequencing has proven to be a powerful tool for understanding the genetic architecture of human disease. Here we apply it to more than 2,500 simplex families, each having a child with an autistic spectrum disorder. By comparing affected to unaffected siblings, we show that 13% of de novo missense mutations and 43% of de novo likely gene-disrupting (LGD) mutations contribute to 12% and 9% of diagnoses, respectively. Including copy number variants, coding de novo mutations contribute to about 30% of all simplex and 45% of female diagnoses. Almost all LGD mutations occur opposite wild-type alleles. LGD targets in affected females significantly overlap the targets in males of lower intelligence quotient (IQ), but neither overlaps significantly with targets in males of higher IQ. We estimate that LGD mutation in about 400 genes can contribute to the joint class of affected females and males of lower IQ, with an overlapping and similar number of genes vulnerable to contributory missense mutation. LGD targets in the joint class overlap with published targets for intellectual disability and schizophrenia, and are enriched for chromatin modifiers, FMRP-associated genes and embryonically expressed genes. Most of the significance for the latter comes from affected females.","container-title":"Nature","DOI":"10.1038/nature13908","ISSN":"1476-4687","issue":"7526","journalAbbreviation":"Nature","language":"eng","note":"PMID: 25363768\nPMCID: PMC4313871","page":"216-221","source":"PubMed","title":"The contribution of de novo coding mutations to autism spectrum disorder","volume":"515","author":[{"family":"Iossifov","given":"Ivan"},{"family":"O'Roak","given":"Brian J."},{"family":"Sanders","given":"Stephan J."},{"family":"Ronemus","given":"Michael"},{"family":"Krumm","given":"Niklas"},{"family":"Levy","given":"Dan"},{"family":"Stessman","given":"Holly A."},{"family":"Witherspoon","given":"Kali T."},{"family":"Vives","given":"Laura"},{"family":"Patterson","given":"Karynne E."},{"family":"Smith","given":"Joshua D."},{"family":"Paeper","given":"Bryan"},{"family":"Nickerson","given":"Deborah A."},{"family":"Dea","given":"Jeanselle"},{"family":"Dong","given":"Shan"},{"family":"Gonzalez","given":"Luis E."},{"family":"Mandell","given":"Jeffrey D."},{"family":"Mane","given":"Shrikant M."},{"family":"Murtha","given":"Michael T."},{"family":"Sullivan","given":"Catherine A."},{"family":"Walker","given":"Michael F."},{"family":"Waqar","given":"Zainulabedin"},{"family":"Wei","given":"Liping"},{"family":"Willsey","given":"A. Jeremy"},{"family":"Yamrom","given":"Boris"},{"family":"Lee","given":"Yoon-ha"},{"family":"Grabowska","given":"Ewa"},{"family":"Dalkic","given":"Ertugrul"},{"family":"Wang","given":"Zihua"},{"family":"Marks","given":"Steven"},{"family":"Andrews","given":"Peter"},{"family":"Leotta","given":"Anthony"},{"family":"Kendall","given":"Jude"},{"family":"Hakker","given":"Inessa"},{"family":"Rosenbaum","given":"Julie"},{"family":"Ma","given":"Beicong"},{"family":"Rodgers","given":"Linda"},{"family":"Troge","given":"Jennifer"},{"family":"Narzisi","given":"Giuseppe"},{"family":"Yoon","given":"Seungtai"},{"family":"Schatz","given":"Michael C."},{"family":"Ye","given":"Kenny"},{"family":"McCombie","given":"W. Richard"},{"family":"Shendure","given":"Jay"},{"family":"Eichler","given":"Evan E."},{"family":"State","given":"Matthew W."},{"family":"Wigler","given":"Michael"}],"issued":{"date-parts":[["2014",11,13]]}}}],"schema":"https://github.com/citation-style-language/schema/raw/master/csl-citation.json"}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(Iossifov et al., 2014)</w:t>
            </w:r>
            <w:r>
              <w:rPr>
                <w:rFonts w:ascii="Arial" w:hAnsi="Arial" w:cs="Arial"/>
                <w:sz w:val="18"/>
                <w:szCs w:val="18"/>
              </w:rPr>
              <w:fldChar w:fldCharType="end"/>
            </w:r>
          </w:p>
        </w:tc>
      </w:tr>
      <w:tr w:rsidR="001200DA" w:rsidRPr="00DE6390" w14:paraId="639F0CA9" w14:textId="77777777" w:rsidTr="001200DA">
        <w:tc>
          <w:tcPr>
            <w:tcW w:w="3671" w:type="dxa"/>
          </w:tcPr>
          <w:p w14:paraId="0C41A24A" w14:textId="77777777" w:rsidR="001200DA" w:rsidRPr="002C4421" w:rsidRDefault="001200DA" w:rsidP="001200DA">
            <w:pPr>
              <w:rPr>
                <w:rFonts w:ascii="Arial" w:hAnsi="Arial" w:cs="Arial"/>
                <w:sz w:val="18"/>
                <w:szCs w:val="18"/>
              </w:rPr>
            </w:pPr>
          </w:p>
        </w:tc>
        <w:tc>
          <w:tcPr>
            <w:tcW w:w="1094" w:type="dxa"/>
          </w:tcPr>
          <w:p w14:paraId="4CFB9CA4" w14:textId="77777777" w:rsidR="001200DA" w:rsidRPr="002C4421" w:rsidRDefault="001200DA" w:rsidP="001200DA">
            <w:pPr>
              <w:rPr>
                <w:rFonts w:ascii="Arial" w:hAnsi="Arial" w:cs="Arial"/>
                <w:sz w:val="18"/>
                <w:szCs w:val="18"/>
              </w:rPr>
            </w:pPr>
          </w:p>
        </w:tc>
        <w:tc>
          <w:tcPr>
            <w:tcW w:w="1350" w:type="dxa"/>
            <w:shd w:val="clear" w:color="auto" w:fill="EA9C75"/>
          </w:tcPr>
          <w:p w14:paraId="6BB51C69" w14:textId="77777777" w:rsidR="001200DA" w:rsidRPr="002C4421" w:rsidRDefault="001200DA" w:rsidP="001200DA">
            <w:pPr>
              <w:rPr>
                <w:rFonts w:ascii="Arial" w:hAnsi="Arial" w:cs="Arial"/>
                <w:sz w:val="18"/>
                <w:szCs w:val="18"/>
              </w:rPr>
            </w:pPr>
            <w:r w:rsidRPr="002C4421">
              <w:rPr>
                <w:rFonts w:ascii="Arial" w:hAnsi="Arial" w:cs="Arial"/>
                <w:sz w:val="18"/>
                <w:szCs w:val="18"/>
              </w:rPr>
              <w:t>Asn4266Ile</w:t>
            </w:r>
          </w:p>
        </w:tc>
        <w:tc>
          <w:tcPr>
            <w:tcW w:w="3420" w:type="dxa"/>
          </w:tcPr>
          <w:p w14:paraId="1E0FEA5F"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{"citationID":"4o9SPOUe","properties":{"formattedCitation":"(Amabile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3662D2EC" w14:textId="77777777" w:rsidTr="001200DA">
        <w:tc>
          <w:tcPr>
            <w:tcW w:w="3671" w:type="dxa"/>
            <w:shd w:val="clear" w:color="auto" w:fill="5083C7"/>
          </w:tcPr>
          <w:p w14:paraId="67B59A8A"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Malformations of cortical development</w:t>
            </w:r>
          </w:p>
        </w:tc>
        <w:tc>
          <w:tcPr>
            <w:tcW w:w="1094" w:type="dxa"/>
          </w:tcPr>
          <w:p w14:paraId="3CF69698" w14:textId="77777777" w:rsidR="001200DA" w:rsidRPr="002C4421" w:rsidRDefault="001200DA" w:rsidP="001200DA">
            <w:pPr>
              <w:rPr>
                <w:rFonts w:ascii="Arial" w:hAnsi="Arial" w:cs="Arial"/>
                <w:sz w:val="18"/>
                <w:szCs w:val="18"/>
              </w:rPr>
            </w:pPr>
            <w:r w:rsidRPr="002C4421">
              <w:rPr>
                <w:rFonts w:ascii="Arial" w:hAnsi="Arial" w:cs="Arial"/>
                <w:sz w:val="18"/>
                <w:szCs w:val="18"/>
              </w:rPr>
              <w:t>Dynein</w:t>
            </w:r>
          </w:p>
        </w:tc>
        <w:tc>
          <w:tcPr>
            <w:tcW w:w="1350" w:type="dxa"/>
            <w:shd w:val="clear" w:color="auto" w:fill="5083C7"/>
          </w:tcPr>
          <w:p w14:paraId="5AFC25BA"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Arg1962Cys</w:t>
            </w:r>
          </w:p>
        </w:tc>
        <w:tc>
          <w:tcPr>
            <w:tcW w:w="3420" w:type="dxa"/>
          </w:tcPr>
          <w:p w14:paraId="1640289D"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{"citationID":"muqTeg5g","properties":{"formattedCitation":"(Poirier et al., 2013)","plainCitation":"(Poirier et al., 2013)","noteIndex":0},"citationItems":[{"id":3904,"uris":["http://zotero.org/users/local/CeO1fDrN/items/IMWBXX7Z"],"itemData":{"id":3904,"type":"article-journal","abstract":"The genetic causes of malformations of cortical development (MCD) remain largely unknown. Here we report the discovery of multiple pathogenic missense mutations in TUBG1, DYNC1H1 and KIF2A, as well as a single germline mosaic mutation in KIF5C, in subjects with MCD. We found a frequent recurrence of mutations in DYNC1H1, implying that this gene is a major locus for unexplained MCD. We further show that the mutations in KIF5C, KIF2A and DYNC1H1 affect ATP hydrolysis, productive protein folding and microtubule binding, respectively. In addition, we show that suppression of mouse Tubg1 expression in vivo interferes with proper neuronal migration, whereas expression of altered γ-tubulin proteins in Saccharomyces cerevisiae disrupts normal microtubule behavior. Our data reinforce the importance of centrosomal and microtubule-related proteins in cortical development and strongly suggest that microtubule-dependent mitotic and postmitotic processes are major contributors to the pathogenesis of MCD.","container-title":"Nature genetics","DOI":"10.1038/ng.2613","issue":"6","language":"English","note":"number: 6\nPMID: 23603762\nPMCID: PMC3826256","page":"639–647","title":"Mutations in TUBG1, DYNC1H1, KIF5C and KIF2A cause malformations of cortical development and microcephaly.","volume":"45","author":[{"family":"Poirier","given":"Karine"},{"family":"Lebrun","given":"Nicolas"},{"family":"Broix","given":"Loic"},{"family":"Tian","given":"Guoling"},{"family":"Saillour","given":"Yoann"},{"family":"Boscheron","given":"Cécile"},{"family":"Parrini","given":"Elena"},{"family":"Valence","given":"Stephanie"},{"family":"Pierre","given":"Benjamin Saint"},{"family":"Oger","given":"Madison"},{"family":"Lacombe","given":"Didier"},{"family":"Geneviève","given":"David"},{"family":"Fontana","given":"Elena"},{"family":"Darra","given":"Franscesca"},{"family":"Cances","given":"Claude"},{"family":"Barth","given":"Magalie"},{"family":"Bonneau","given":"Dominique"},{"family":"Bernadina","given":"Bernardo Dalla"},{"family":"N'Guyen","given":"Sylvie"},{"family":"Gitiaux","given":"Cyril"},{"family":"Parent","given":"Philippe"},{"family":"Portes","given":"Vincent","non-dropping-particle":"des"},{"family":"Pedespan","given":"Jean Michel"},{"family":"Legrez","given":"Victoire"},{"family":"Castelnau-Ptakine","given":"Laetitia"},{"family":"Nitschke","given":"Patrick"},{"family":"Hieu","given":"Thierry"},{"family":"Masson","given":"Cecile"},{"family":"Zelenika","given":"Diana"},{"family":"Andrieux","given":"Annie"},{"family":"Francis","given":"Fiona"},{"family":"Guerrini","given":"Renzo"},{"family":"Cowan","given":"Nicholas J"},{"family":"Bahi-Buisson","given":"Nadia"},{"family":"Chelly","given":"Jamel"}],"issued":{"date-parts":[["2013",6]]}}}],"schema":"https://github.com/citation-style-language/schema/raw/master/csl-citation.json"}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(Poirier et al., 2013)</w:t>
            </w:r>
            <w:r>
              <w:rPr>
                <w:rFonts w:ascii="Arial" w:hAnsi="Arial" w:cs="Arial"/>
                <w:sz w:val="18"/>
                <w:szCs w:val="18"/>
              </w:rPr>
              <w:fldChar w:fldCharType="end"/>
            </w:r>
          </w:p>
        </w:tc>
      </w:tr>
      <w:tr w:rsidR="001200DA" w:rsidRPr="00DE6390" w14:paraId="252A58AA" w14:textId="77777777" w:rsidTr="001200DA">
        <w:tc>
          <w:tcPr>
            <w:tcW w:w="3671" w:type="dxa"/>
            <w:shd w:val="clear" w:color="auto" w:fill="5083C7"/>
          </w:tcPr>
          <w:p w14:paraId="084270F1"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Intellectual disability</w:t>
            </w:r>
          </w:p>
        </w:tc>
        <w:tc>
          <w:tcPr>
            <w:tcW w:w="1094" w:type="dxa"/>
          </w:tcPr>
          <w:p w14:paraId="77F392C8" w14:textId="77777777" w:rsidR="001200DA" w:rsidRPr="002C4421" w:rsidRDefault="001200DA" w:rsidP="001200DA">
            <w:pPr>
              <w:rPr>
                <w:rFonts w:ascii="Arial" w:hAnsi="Arial" w:cs="Arial"/>
                <w:sz w:val="18"/>
                <w:szCs w:val="18"/>
              </w:rPr>
            </w:pPr>
          </w:p>
        </w:tc>
        <w:tc>
          <w:tcPr>
            <w:tcW w:w="1350" w:type="dxa"/>
            <w:shd w:val="clear" w:color="auto" w:fill="5083C7"/>
          </w:tcPr>
          <w:p w14:paraId="5652FC90" w14:textId="77777777" w:rsidR="001200DA" w:rsidRPr="002C4421" w:rsidRDefault="001200DA" w:rsidP="001200DA">
            <w:pPr>
              <w:rPr>
                <w:rFonts w:ascii="Arial" w:hAnsi="Arial" w:cs="Arial"/>
                <w:color w:val="FFFFFF" w:themeColor="background1"/>
                <w:sz w:val="18"/>
                <w:szCs w:val="18"/>
              </w:rPr>
            </w:pPr>
            <w:r>
              <w:rPr>
                <w:rFonts w:ascii="Arial" w:hAnsi="Arial" w:cs="Arial"/>
                <w:color w:val="FFFFFF" w:themeColor="background1"/>
                <w:sz w:val="18"/>
                <w:szCs w:val="18"/>
              </w:rPr>
              <w:t>Arg1962Leu</w:t>
            </w:r>
          </w:p>
        </w:tc>
        <w:tc>
          <w:tcPr>
            <w:tcW w:w="3420" w:type="dxa"/>
          </w:tcPr>
          <w:p w14:paraId="48B00E88"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{"citationID":"vFvZsj3n","properties":{"formattedCitation":"(Zhu et al., 2015)","plainCitation":"(Zhu et al., 2015)","noteIndex":0},"citationItems":[{"id":4942,"uris":["http://zotero.org/users/local/CeO1fDrN/items/GQ3XEGRG"],"itemData":{"id":4942,"type":"article-journal","abstract":"PURPOSE: Despite the recognized clinical value of exome-based diagnostics, methods for comprehensive genomic interpretation remain immature. Diagnoses are based on known or presumed pathogenic variants in genes already associated with a similar phenotype. Here, we extend this paradigm by evaluating novel bioinformatics approaches to aid identification of new gene-disease associations.\nMETHODS: We analyzed 119 trios to identify both diagnostic genotypes in known genes and candidate genotypes in novel genes. We considered qualifying genotypes based on their population frequency and in silico predicted effects we also characterized the patterns of genotypes enriched among this collection of patients.\nRESULTS: We obtained a genetic diagnosis for 29 (24%) of our patients. We showed that patients carried an excess of damaging de novo mutations in intolerant genes, particularly those shown to be essential in mice (P = 3.4 × 10(-8)). This enrichment is only partially explained by mutations found in known disease-causing genes.\nCONCLUSION: This work indicates that the application of appropriate bioinformatics analyses to clinical sequence data can also help implicate novel disease genes and suggest expanded phenotypes for known disease genes. These analyses further suggest that some cases resolved by whole-exome sequencing will have direct therapeutic implications.","container-title":"Genetics in Medicine: Official Journal of the American College of Medical Genetics","DOI":"10.1038/gim.2014.191","ISSN":"1530-0366","issue":"10","journalAbbreviation":"Genet Med","language":"eng","note":"PMID: 25590979\nPMCID: PMC4791490","page":"774-781","source":"PubMed","title":"Whole-exome sequencing in undiagnosed genetic diseases: interpreting 119 trios","title-short":"Whole-exome sequencing in undiagnosed genetic diseases","volume":"17","author":[{"family":"Zhu","given":"Xiaolin"},{"family":"Petrovski","given":"Slavé"},{"family":"Xie","given":"Pingxing"},{"family":"Ruzzo","given":"Elizabeth K."},{"family":"Lu","given":"Yi-Fan"},{"family":"McSweeney","given":"K. Melodi"},{"family":"Ben-Zeev","given":"Bruria"},{"family":"Nissenkorn","given":"Andreea"},{"family":"Anikster","given":"Yair"},{"family":"Oz-Levi","given":"Danit"},{"family":"Dhindsa","given":"Ryan S."},{"family":"Hitomi","given":"Yuki"},{"family":"Schoch","given":"Kelly"},{"family":"Spillmann","given":"Rebecca C."},{"family":"Heimer","given":"Gali"},{"family":"Marek-Yagel","given":"Dina"},{"family":"Tzadok","given":"Michal"},{"family":"Han","given":"Yujun"},{"family":"Worley","given":"Gordon"},{"family":"Goldstein","given":"Jennifer"},{"family":"Jiang","given":"Yong-Hui"},{"family":"Lancet","given":"Doron"},{"family":"Pras","given":"Elon"},{"family":"Shashi","given":"Vandana"},{"family":"McHale","given":"Duncan"},{"family":"Need","given":"Anna C."},{"family":"Goldstein","given":"David B."}],"issued":{"date-parts":[["2015",10]]}}}],"schema":"https://github.com/citation-style-language/schema/raw/master/csl-citation.json"}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(Zhu et al., 2015)</w:t>
            </w:r>
            <w:r>
              <w:rPr>
                <w:rFonts w:ascii="Arial" w:hAnsi="Arial" w:cs="Arial"/>
                <w:sz w:val="18"/>
                <w:szCs w:val="18"/>
              </w:rPr>
              <w:fldChar w:fldCharType="end"/>
            </w:r>
          </w:p>
        </w:tc>
      </w:tr>
      <w:tr w:rsidR="001200DA" w:rsidRPr="00DE6390" w14:paraId="10915012" w14:textId="77777777" w:rsidTr="001200DA">
        <w:tc>
          <w:tcPr>
            <w:tcW w:w="3671" w:type="dxa"/>
          </w:tcPr>
          <w:p w14:paraId="649842C1" w14:textId="77777777" w:rsidR="001200DA" w:rsidRPr="002C4421" w:rsidRDefault="001200DA" w:rsidP="001200DA">
            <w:pPr>
              <w:rPr>
                <w:rFonts w:ascii="Arial" w:hAnsi="Arial" w:cs="Arial"/>
                <w:color w:val="FFFFFF" w:themeColor="background1"/>
                <w:sz w:val="18"/>
                <w:szCs w:val="18"/>
              </w:rPr>
            </w:pPr>
          </w:p>
        </w:tc>
        <w:tc>
          <w:tcPr>
            <w:tcW w:w="1094" w:type="dxa"/>
          </w:tcPr>
          <w:p w14:paraId="4045CD84" w14:textId="77777777" w:rsidR="001200DA" w:rsidRPr="002C4421" w:rsidRDefault="001200DA" w:rsidP="001200DA">
            <w:pPr>
              <w:rPr>
                <w:rFonts w:ascii="Arial" w:hAnsi="Arial" w:cs="Arial"/>
                <w:sz w:val="18"/>
                <w:szCs w:val="18"/>
              </w:rPr>
            </w:pPr>
          </w:p>
        </w:tc>
        <w:tc>
          <w:tcPr>
            <w:tcW w:w="1350" w:type="dxa"/>
            <w:shd w:val="clear" w:color="auto" w:fill="5083C7"/>
          </w:tcPr>
          <w:p w14:paraId="50EA0DE7"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Arg2025Gln</w:t>
            </w:r>
          </w:p>
        </w:tc>
        <w:tc>
          <w:tcPr>
            <w:tcW w:w="3420" w:type="dxa"/>
          </w:tcPr>
          <w:p w14:paraId="3E2445AA"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{"citationID":"drIQ8Ypz","properties":{"formattedCitation":"(Meng et al., 2017)","plainCitation":"(Meng et al., 2017)","noteIndex":0},"citationItems":[{"id":4945,"uris":["http://zotero.org/users/local/CeO1fDrN/items/KTX8LTW9"],"itemData":{"id":4945,"type":"article-journal","abstract":"IMPORTANCE: While congenital malformations and genetic diseases are a leading cause of early infant death, to our knowledge, the contribution of single-gene disorders in this group is undetermined.\nOBJECTIVE: To determine the diagnostic yield and use of clinical exome sequencing in critically ill infants.\nDESIGN, SETTING, AND PARTICIPANTS: Clinical exome sequencing was performed for 278 unrelated infants within the first 100 days of life who were admitted to Texas Children's Hospital in Houston, Texas, during a 5-year period between December 2011 and January 2017. Exome sequencing types included proband exome, trio exome, and critical trio exome, a rapid genomic assay for seriously ill infants.\nMAIN OUTCOMES AND MEASURES: Indications for testing, diagnostic yield of clinical exome sequencing, turnaround time, molecular findings, patient age at diagnosis, and effect on medical management among a group of critically ill infants who were suspected to have genetic disorders.\nRESULTS: The mean (SEM) age for infants participating in the study was 28.5 (1.7) days; of these, the mean (SEM) age was 29.0 (2.2) days for infants undergoing proband exome sequencing, 31.5 (3.9) days for trio exome, and 22.7 (3.9) days for critical trio exome. Clinical indications for exome sequencing included a range of medical concerns. Overall, a molecular diagnosis was achieved in 102 infants (36.7%) by clinical exome sequencing, with relatively low yield for cardiovascular abnormalities. The diagnosis affected medical management for 53 infants (52.0%) and had a substantial effect on informed redirection of care, initiation of new subspecialist care, medication/dietary modifications, and furthering life-saving procedures in select patients. Critical trio exome sequencing revealed a molecular diagnosis in 32 of 63 infants (50.8%) at a mean (SEM) of 33.1 (5.6) days of life with a mean (SEM) turnaround time of 13.0 (0.4) days. Clinical care was altered by the diagnosis in 23 of 32 patients (71.9%). The diagnostic yield, patient age at diagnosis, and medical effect in the group that underwent critical trio exome sequencing were significantly different compared with the group who underwent regular exome testing. For deceased infants (n = 81), genetic disorders were molecularly diagnosed in 39 (48.1%) by exome sequencing, with implications for recurrence risk counseling.\nCONCLUSIONS AND RELEVANCE: Exome sequencing is a powerful tool for the diagnostic evaluation of critically ill infants with suspected monogenic disorders in the neonatal and pediatric intensive care units and its use has a notable effect on clinical decision making.","container-title":"JAMA pediatrics","DOI":"10.1001/jamapediatrics.2017.3438","ISSN":"2168-6211","issue":"12","journalAbbreviation":"JAMA Pediatr","language":"eng","note":"PMID: 28973083\nPMCID: PMC6359927","page":"e173438","source":"PubMed","title":"Use of Exome Sequencing for Infants in Intensive Care Units: Ascertainment of Severe Single-Gene Disorders and Effect on Medical Management","title-short":"Use of Exome Sequencing for Infants in Intensive Care Units","volume":"171","author":[{"family":"Meng","given":"Linyan"},{"family":"Pammi","given":"Mohan"},{"family":"Saronwala","given":"Anirudh"},{"family":"Magoulas","given":"Pilar"},{"family":"Ghazi","given":"Andrew Ray"},{"family":"Vetrini","given":"Francesco"},{"family":"Zhang","given":"Jing"},{"family":"He","given":"Weimin"},{"family":"Dharmadhikari","given":"Avinash V."},{"family":"Qu","given":"Chunjing"},{"family":"Ward","given":"Patricia"},{"family":"Braxton","given":"Alicia"},{"family":"Narayanan","given":"Swetha"},{"family":"Ge","given":"Xiaoyan"},{"family":"Tokita","given":"Mari J."},{"family":"Santiago-Sim","given":"Teresa"},{"family":"Dai","given":"Hongzheng"},{"family":"Chiang","given":"Theodore"},{"family":"Smith","given":"Hadley"},{"family":"Azamian","given":"Mahshid S."},{"family":"Robak","given":"Laurie"},{"family":"Bostwick","given":"Bret L."},{"family":"Schaaf","given":"Christian P."},{"family":"Potocki","given":"Lorraine"},{"family":"Scaglia","given":"Fernando"},{"family":"Bacino","given":"Carlos A."},{"family":"Hanchard","given":"Neil A."},{"family":"Wangler","given":"Michael F."},{"family":"Scott","given":"Daryl"},{"family":"Brown","given":"Chester"},{"family":"Hu","given":"Jianhong"},{"family":"Belmont","given":"John W."},{"family":"Burrage","given":"Lindsay C."},{"family":"Graham","given":"Brett H."},{"family":"Sutton","given":"Vernon Reid"},{"family":"Craigen","given":"William J."},{"family":"Plon","given":"Sharon E."},{"family":"Lupski","given":"James R."},{"family":"Beaudet","given":"Arthur L."},{"family":"Gibbs","given":"Richard A."},{"family":"Muzny","given":"Donna M."},{"family":"Miller","given":"Marcus J."},{"family":"Wang","given":"Xia"},{"family":"Leduc","given":"Magalie S."},{"family":"Xiao","given":"Rui"},{"family":"Liu","given":"Pengfei"},{"family":"Shaw","given":"Chad"},{"family":"Walkiewicz","given":"Magdalena"},{"family":"Bi","given":"Weimin"},{"family":"Xia","given":"Fan"},{"family":"Lee","given":"Brendan"},{"family":"Eng","given":"Christine M."},{"family":"Yang","given":"Yaping"},{"family":"Lalani","given":"Seema R."}],"issued":{"date-parts":[["2017",12,4]]}}}],"schema":"https://github.com/citation-style-language/schema/raw/master/csl-citation.json"}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(Meng et al., 2017)</w:t>
            </w:r>
            <w:r>
              <w:rPr>
                <w:rFonts w:ascii="Arial" w:hAnsi="Arial" w:cs="Arial"/>
                <w:sz w:val="18"/>
                <w:szCs w:val="18"/>
              </w:rPr>
              <w:fldChar w:fldCharType="end"/>
            </w:r>
          </w:p>
        </w:tc>
      </w:tr>
      <w:tr w:rsidR="001200DA" w:rsidRPr="00DE6390" w14:paraId="3560D649" w14:textId="77777777" w:rsidTr="001200DA">
        <w:tc>
          <w:tcPr>
            <w:tcW w:w="3671" w:type="dxa"/>
          </w:tcPr>
          <w:p w14:paraId="31B976B1" w14:textId="77777777" w:rsidR="001200DA" w:rsidRPr="002C4421" w:rsidRDefault="001200DA" w:rsidP="001200DA">
            <w:pPr>
              <w:rPr>
                <w:rFonts w:ascii="Arial" w:hAnsi="Arial" w:cs="Arial"/>
                <w:sz w:val="18"/>
                <w:szCs w:val="18"/>
              </w:rPr>
            </w:pPr>
          </w:p>
        </w:tc>
        <w:tc>
          <w:tcPr>
            <w:tcW w:w="1094" w:type="dxa"/>
          </w:tcPr>
          <w:p w14:paraId="330B27F6" w14:textId="77777777" w:rsidR="001200DA" w:rsidRPr="002C4421" w:rsidRDefault="001200DA" w:rsidP="001200DA">
            <w:pPr>
              <w:rPr>
                <w:rFonts w:ascii="Arial" w:hAnsi="Arial" w:cs="Arial"/>
                <w:sz w:val="18"/>
                <w:szCs w:val="18"/>
              </w:rPr>
            </w:pPr>
          </w:p>
        </w:tc>
        <w:tc>
          <w:tcPr>
            <w:tcW w:w="1350" w:type="dxa"/>
            <w:shd w:val="clear" w:color="auto" w:fill="5083C7"/>
          </w:tcPr>
          <w:p w14:paraId="4E08E308"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Arg2332Cys</w:t>
            </w:r>
          </w:p>
        </w:tc>
        <w:tc>
          <w:tcPr>
            <w:tcW w:w="3420" w:type="dxa"/>
          </w:tcPr>
          <w:p w14:paraId="45FA7B81"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{"citationID":"PwLpQi5I","properties":{"formattedCitation":"(Zhu et al., 2015)","plainCitation":"(Zhu et al., 2015)","noteIndex":0},"citationItems":[{"id":4942,"uris":["http://zotero.org/users/local/CeO1fDrN/items/GQ3XEGRG"],"itemData":{"id":4942,"type":"article-journal","abstract":"PURPOSE: Despite the recognized clinical value of exome-based diagnostics, methods for comprehensive genomic interpretation remain immature. Diagnoses are based on known or presumed pathogenic variants in genes already associated with a similar phenotype. Here, we extend this paradigm by evaluating novel bioinformatics approaches to aid identification of new gene-disease associations.\nMETHODS: We analyzed 119 trios to identify both diagnostic genotypes in known genes and candidate genotypes in novel genes. We considered qualifying genotypes based on their population frequency and in silico predicted effects we also characterized the patterns of genotypes enriched among this collection of patients.\nRESULTS: We obtained a genetic diagnosis for 29 (24%) of our patients. We showed that patients carried an excess of damaging de novo mutations in intolerant genes, particularly those shown to be essential in mice (P = 3.4 × 10(-8)). This enrichment is only partially explained by mutations found in known disease-causing genes.\nCONCLUSION: This work indicates that the application of appropriate bioinformatics analyses to clinical sequence data can also help implicate novel disease genes and suggest expanded phenotypes for known disease genes. These analyses further suggest that some cases resolved by whole-exome sequencing will have direct therapeutic implications.","container-title":"Genetics in Medicine: Official Journal of the American College of Medical Genetics","DOI":"10.1038/gim.2014.191","ISSN":"1530-0366","issue":"10","journalAbbreviation":"Genet Med","language":"eng","note":"PMID: 25590979\nPMCID: PMC4791490","page":"774-781","source":"PubMed","title":"Whole-exome sequencing in undiagnosed genetic diseases: interpreting 119 trios","title-short":"Whole-exome sequencing in undiagnosed genetic diseases","volume":"17","author":[{"family":"Zhu","given":"Xiaolin"},{"family":"Petrovski","given":"Slavé"},{"family":"Xie","given":"Pingxing"},{"family":"Ruzzo","given":"Elizabeth K."},{"family":"Lu","given":"Yi-Fan"},{"family":"McSweeney","given":"K. Melodi"},{"family":"Ben-Zeev","given":"Bruria"},{"family":"Nissenkorn","given":"Andreea"},{"family":"Anikster","given":"Yair"},{"family":"Oz-Levi","given":"Danit"},{"family":"Dhindsa","given":"Ryan S."},{"family":"Hitomi","given":"Yuki"},{"family":"Schoch","given":"Kelly"},{"family":"Spillmann","given":"Rebecca C."},{"family":"Heimer","given":"Gali"},{"family":"Marek-Yagel","given":"Dina"},{"family":"Tzadok","given":"Michal"},{"family":"Han","given":"Yujun"},{"family":"Worley","given":"Gordon"},{"family":"Goldstein","given":"Jennifer"},{"family":"Jiang","given":"Yong-Hui"},{"family":"Lancet","given":"Doron"},{"family":"Pras","given":"Elon"},{"family":"Shashi","given":"Vandana"},{"family":"McHale","given":"Duncan"},{"family":"Need","given":"Anna C."},{"family":"Goldstein","given":"David B."}],"issued":{"date-parts":[["2015",10]]}}}],"schema":"https://github.com/citation-style-language/schema/raw/master/csl-citation.json"}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(Zhu et al., 2015)</w:t>
            </w:r>
            <w:r>
              <w:rPr>
                <w:rFonts w:ascii="Arial" w:hAnsi="Arial" w:cs="Arial"/>
                <w:sz w:val="18"/>
                <w:szCs w:val="18"/>
              </w:rPr>
              <w:fldChar w:fldCharType="end"/>
            </w:r>
          </w:p>
        </w:tc>
      </w:tr>
      <w:tr w:rsidR="001200DA" w:rsidRPr="00DE6390" w14:paraId="4FA584E8" w14:textId="77777777" w:rsidTr="001200DA">
        <w:tc>
          <w:tcPr>
            <w:tcW w:w="3671" w:type="dxa"/>
          </w:tcPr>
          <w:p w14:paraId="5F0980DD" w14:textId="77777777" w:rsidR="001200DA" w:rsidRPr="002C4421" w:rsidRDefault="001200DA" w:rsidP="001200DA">
            <w:pPr>
              <w:rPr>
                <w:rFonts w:ascii="Arial" w:hAnsi="Arial" w:cs="Arial"/>
                <w:sz w:val="18"/>
                <w:szCs w:val="18"/>
              </w:rPr>
            </w:pPr>
          </w:p>
        </w:tc>
        <w:tc>
          <w:tcPr>
            <w:tcW w:w="1094" w:type="dxa"/>
          </w:tcPr>
          <w:p w14:paraId="0AA19008" w14:textId="77777777" w:rsidR="001200DA" w:rsidRPr="002C4421" w:rsidRDefault="001200DA" w:rsidP="001200DA">
            <w:pPr>
              <w:rPr>
                <w:rFonts w:ascii="Arial" w:hAnsi="Arial" w:cs="Arial"/>
                <w:sz w:val="18"/>
                <w:szCs w:val="18"/>
              </w:rPr>
            </w:pPr>
          </w:p>
        </w:tc>
        <w:tc>
          <w:tcPr>
            <w:tcW w:w="1350" w:type="dxa"/>
            <w:shd w:val="clear" w:color="auto" w:fill="5083C7"/>
          </w:tcPr>
          <w:p w14:paraId="731F2C0A"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Asp2573Gly</w:t>
            </w:r>
          </w:p>
        </w:tc>
        <w:tc>
          <w:tcPr>
            <w:tcW w:w="3420" w:type="dxa"/>
          </w:tcPr>
          <w:p w14:paraId="0DE97120"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{"citationID":"DyGTWkXO","properties":{"formattedCitation":"(Amabile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59D4AA0E" w14:textId="77777777" w:rsidTr="001200DA">
        <w:tc>
          <w:tcPr>
            <w:tcW w:w="3671" w:type="dxa"/>
          </w:tcPr>
          <w:p w14:paraId="1BE89F89" w14:textId="77777777" w:rsidR="001200DA" w:rsidRPr="002C4421" w:rsidRDefault="001200DA" w:rsidP="001200DA">
            <w:pPr>
              <w:rPr>
                <w:rFonts w:ascii="Arial" w:hAnsi="Arial" w:cs="Arial"/>
                <w:sz w:val="18"/>
                <w:szCs w:val="18"/>
              </w:rPr>
            </w:pPr>
          </w:p>
        </w:tc>
        <w:tc>
          <w:tcPr>
            <w:tcW w:w="1094" w:type="dxa"/>
          </w:tcPr>
          <w:p w14:paraId="463D09C9" w14:textId="77777777" w:rsidR="001200DA" w:rsidRPr="002C4421" w:rsidRDefault="001200DA" w:rsidP="001200DA">
            <w:pPr>
              <w:rPr>
                <w:rFonts w:ascii="Arial" w:hAnsi="Arial" w:cs="Arial"/>
                <w:sz w:val="18"/>
                <w:szCs w:val="18"/>
              </w:rPr>
            </w:pPr>
          </w:p>
        </w:tc>
        <w:tc>
          <w:tcPr>
            <w:tcW w:w="1350" w:type="dxa"/>
            <w:shd w:val="clear" w:color="auto" w:fill="5083C7"/>
          </w:tcPr>
          <w:p w14:paraId="2EAD34A5"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Arg2720Lys</w:t>
            </w:r>
          </w:p>
        </w:tc>
        <w:tc>
          <w:tcPr>
            <w:tcW w:w="3420" w:type="dxa"/>
          </w:tcPr>
          <w:p w14:paraId="45C96280"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{"citationID":"IXP5fR0E","properties":{"formattedCitation":"(Zillhardt et al., 2016)","plainCitation":"(Zillhardt et al., 2016)","noteIndex":0},"citationItems":[{"id":4948,"uris":["http://zotero.org/users/local/CeO1fDrN/items/FWJTVDXP"],"itemData":{"id":4948,"type":"article-journal","abstract":"To unravel missing genetic causes underlying monogenic disorders with recurrence in sibling, we explored the hypothesis of parental germline mosaic mutations in familial forms of malformation of cortical development (MCD). Interestingly, four families with parental germline variants, out of 18, were identified by whole-exome sequencing (WES), including a variant in a new candidate gene, syntaxin 7. In view of this high frequency, revision of diagnostic strategies and reoccurrence risk should be considered not only for the recurrent forms, but also for the sporadic cases of MCD.","container-title":"European journal of human genetics: EJHG","DOI":"10.1038/ejhg.2015.192","ISSN":"1476-5438","issue":"4","journalAbbreviation":"Eur J Hum Genet","language":"eng","note":"PMID: 26395554\nPMCID: PMC4929884","page":"611-614","source":"PubMed","title":"Mosaic parental germline mutations causing recurrent forms of malformations of cortical development","volume":"24","author":[{"family":"Zillhardt","given":"Julia Lauer"},{"family":"Poirier","given":"Karine"},{"family":"Broix","given":"Loïc"},{"family":"Lebrun","given":"Nicolas"},{"family":"Elmorjani","given":"Adrienne"},{"family":"Martinovic","given":"Jelena"},{"family":"Saillour","given":"Yoann"},{"family":"Muraca","given":"Giuseppe"},{"family":"Nectoux","given":"Juliette"},{"family":"Bessieres","given":"Bettina"},{"family":"Fallet-Bianco","given":"Catherine"},{"family":"Lyonnet","given":"Stanislas"},{"family":"Dulac","given":"Olivier"},{"family":"Odent","given":"Sylvie"},{"family":"Rejeb","given":"Imen"},{"family":"Ben Jemaa","given":"Lamia"},{"family":"Rivier","given":"Francois"},{"family":"Pinson","given":"Lucile"},{"family":"Geneviève","given":"David"},{"family":"Musizzano","given":"Yuri"},{"family":"Bigi","given":"Nicole"},{"family":"Leboucq","given":"Nicolas"},{"family":"Giuliano","given":"Fabienne"},{"family":"Philip","given":"Nicole"},{"family":"Vilain","given":"Catheline"},{"family":"Van Bogaert","given":"Patrick"},{"family":"Maurey","given":"Hélène"},{"family":"Beldjord","given":"Cherif"},{"family":"Artiguenave","given":"François"},{"family":"Boland","given":"Anne"},{"family":"Olaso","given":"Robert"},{"family":"Masson","given":"Cécile"},{"family":"Nitschké","given":"Patrick"},{"family":"Deleuze","given":"Jean-François"},{"family":"Bahi-Buisson","given":"Nadia"},{"family":"Chelly","given":"Jamel"}],"issued":{"date-parts":[["2016",4]]}}}],"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(Zillhardt et al., 2016)</w:t>
            </w:r>
            <w:r>
              <w:rPr>
                <w:rFonts w:ascii="Arial" w:hAnsi="Arial" w:cs="Arial"/>
                <w:sz w:val="18"/>
                <w:szCs w:val="18"/>
              </w:rPr>
              <w:fldChar w:fldCharType="end"/>
            </w:r>
          </w:p>
        </w:tc>
      </w:tr>
      <w:tr w:rsidR="001200DA" w:rsidRPr="00DE6390" w14:paraId="3DB50F10" w14:textId="77777777" w:rsidTr="001200DA">
        <w:tc>
          <w:tcPr>
            <w:tcW w:w="3671" w:type="dxa"/>
          </w:tcPr>
          <w:p w14:paraId="4E8CC7F5" w14:textId="77777777" w:rsidR="001200DA" w:rsidRPr="002C4421" w:rsidRDefault="001200DA" w:rsidP="001200DA">
            <w:pPr>
              <w:rPr>
                <w:rFonts w:ascii="Arial" w:hAnsi="Arial" w:cs="Arial"/>
                <w:sz w:val="18"/>
                <w:szCs w:val="18"/>
              </w:rPr>
            </w:pPr>
          </w:p>
        </w:tc>
        <w:tc>
          <w:tcPr>
            <w:tcW w:w="1094" w:type="dxa"/>
          </w:tcPr>
          <w:p w14:paraId="09DFD8ED" w14:textId="77777777" w:rsidR="001200DA" w:rsidRPr="002C4421" w:rsidRDefault="001200DA" w:rsidP="001200DA">
            <w:pPr>
              <w:rPr>
                <w:rFonts w:ascii="Arial" w:hAnsi="Arial" w:cs="Arial"/>
                <w:sz w:val="18"/>
                <w:szCs w:val="18"/>
              </w:rPr>
            </w:pPr>
          </w:p>
        </w:tc>
        <w:tc>
          <w:tcPr>
            <w:tcW w:w="1350" w:type="dxa"/>
            <w:shd w:val="clear" w:color="auto" w:fill="5083C7"/>
          </w:tcPr>
          <w:p w14:paraId="6B91A42F"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Glu3048Lys</w:t>
            </w:r>
          </w:p>
        </w:tc>
        <w:tc>
          <w:tcPr>
            <w:tcW w:w="3420" w:type="dxa"/>
          </w:tcPr>
          <w:p w14:paraId="4D547FBB"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{"citationID":"r2t1KGk5","properties":{"formattedCitation":"(C Yuen et al., 2017)","plainCitation":"(C Yuen et al., 2017)","noteIndex":0},"citationItems":[{"id":4974,"uris":["http://zotero.org/users/local/CeO1fDrN/items/QFJLGZSL"],"itemData":{"id":4974,"type":"article-journal","abstract":"We are performing whole-genome sequencing of families with autism spectrum disorder (ASD) to build a resource (MSSNG) for subcategorizing the phenotypes and underlying genetic factors involved. Here we report sequencing of 5,205 samples from families with ASD, accompanied by clinical information, creating a database accessible on a cloud platform and through a controlled-access internet portal. We found an average of 73.8 de novo single nucleotide variants and 12.6 de novo insertions and deletions or copy number variations per ASD subject. We identified 18 new candidate ASD-risk genes and found that participants bearing mutations in susceptibility genes had significantly lower adaptive ability (P = 6 × 10-4). In 294 of 2,620 (11.2%) of ASD cases, a molecular basis could be determined and 7.2% of these carried copy number variations and/or chromosomal abnormalities, emphasizing the importance of detecting all forms of genetic variation as diagnostic and therapeutic targets in ASD.","container-title":"Nature Neuroscience","DOI":"10.1038/nn.4524","ISSN":"1546-1726","issue":"4","journalAbbreviation":"Nat Neurosci","language":"eng","note":"PMID: 28263302\nPMCID: PMC5501701","page":"602-611","source":"PubMed","title":"Whole genome sequencing resource identifies 18 new candidate genes for autism spectrum disorder","volume":"20","author":[{"family":"C Yuen","given":"Ryan K."},{"family":"Merico","given":"Daniele"},{"family":"Bookman","given":"Matt"},{"family":"L Howe","given":"Jennifer"},{"family":"Thiruvahindrapuram","given":"Bhooma"},{"family":"Patel","given":"Rohan V."},{"family":"Whitney","given":"Joe"},{"family":"Deflaux","given":"Nicole"},{"family":"Bingham","given":"Jonathan"},{"family":"Wang","given":"Zhuozhi"},{"family":"Pellecchia","given":"Giovanna"},{"family":"Buchanan","given":"Janet A."},{"family":"Walker","given":"Susan"},{"family":"Marshall","given":"Christian R."},{"family":"Uddin","given":"Mohammed"},{"family":"Zarrei","given":"Mehdi"},{"family":"Deneault","given":"Eric"},{"family":"D'Abate","given":"Lia"},{"family":"Chan","given":"Ada J. S."},{"family":"Koyanagi","given":"Stephanie"},{"family":"Paton","given":"Tara"},{"family":"Pereira","given":"Sergio L."},{"family":"Hoang","given":"Ny"},{"family":"Engchuan","given":"Worrawat"},{"family":"Higginbotham","given":"Edward J."},{"family":"Ho","given":"Karen"},{"family":"Lamoureux","given":"Sylvia"},{"family":"Li","given":"Weili"},{"family":"MacDonald","given":"Jeffrey R."},{"family":"Nalpathamkalam","given":"Thomas"},{"family":"Sung","given":"Wilson W. L."},{"family":"Tsoi","given":"Fiona J."},{"family":"Wei","given":"John"},{"family":"Xu","given":"Lizhen"},{"family":"Tasse","given":"Anne-Marie"},{"family":"Kirby","given":"Emily"},{"family":"Van Etten","given":"William"},{"family":"Twigger","given":"Simon"},{"family":"Roberts","given":"Wendy"},{"family":"Drmic","given":"Irene"},{"family":"Jilderda","given":"Sanne"},{"family":"Modi","given":"Bonnie MacKinnon"},{"family":"Kellam","given":"Barbara"},{"family":"Szego","given":"Michael"},{"family":"Cytrynbaum","given":"Cheryl"},{"family":"Weksberg","given":"Rosanna"},{"family":"Zwaigenbaum","given":"Lonnie"},{"family":"Woodbury-Smith","given":"Marc"},{"family":"Brian","given":"Jessica"},{"family":"Senman","given":"Lili"},{"family":"Iaboni","given":"Alana"},{"family":"Doyle-Thomas","given":"Krissy"},{"family":"Thompson","given":"Ann"},{"family":"Chrysler","given":"Christina"},{"family":"Leef","given":"Jonathan"},{"family":"Savion-Lemieux","given":"Tal"},{"family":"Smith","given":"Isabel M."},{"family":"Liu","given":"Xudong"},{"family":"Nicolson","given":"Rob"},{"family":"Seifer","given":"Vicki"},{"family":"Fedele","given":"Angie"},{"family":"Cook","given":"Edwin H."},{"family":"Dager","given":"Stephen"},{"family":"Estes","given":"Annette"},{"family":"Gallagher","given":"Louise"},{"family":"Malow","given":"Beth A."},{"family":"Parr","given":"Jeremy R."},{"family":"Spence","given":"Sarah J."},{"family":"Vorstman","given":"Jacob"},{"family":"Frey","given":"Brendan J."},{"family":"Robinson","given":"James T."},{"family":"Strug","given":"Lisa J."},{"family":"Fernandez","given":"Bridget A."},{"family":"Elsabbagh","given":"Mayada"},{"family":"Carter","given":"Melissa T."},{"family":"Hallmayer","given":"Joachim"},{"family":"Knoppers","given":"Bartha M."},{"family":"Anagnostou","given":"Evdokia"},{"family":"Szatmari","given":"Peter"},{"family":"Ring","given":"Robert H."},{"family":"Glazer","given":"David"},{"family":"Pletcher","given":"Mathew T."},{"family":"Scherer","given":"Stephen W."}],"issued":{"date-parts":[["2017",4]]}}}],"schema":"https://github.com/citation-style-language/schema/raw/master/csl-citation.json"}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(C Yuen et al., 2017)</w:t>
            </w:r>
            <w:r>
              <w:rPr>
                <w:rFonts w:ascii="Arial" w:hAnsi="Arial" w:cs="Arial"/>
                <w:sz w:val="18"/>
                <w:szCs w:val="18"/>
              </w:rPr>
              <w:fldChar w:fldCharType="end"/>
            </w:r>
          </w:p>
        </w:tc>
      </w:tr>
      <w:tr w:rsidR="001200DA" w:rsidRPr="00DE6390" w14:paraId="760FD677" w14:textId="77777777" w:rsidTr="001200DA">
        <w:tc>
          <w:tcPr>
            <w:tcW w:w="3671" w:type="dxa"/>
          </w:tcPr>
          <w:p w14:paraId="660FA264" w14:textId="77777777" w:rsidR="001200DA" w:rsidRPr="002C4421" w:rsidRDefault="001200DA" w:rsidP="001200DA">
            <w:pPr>
              <w:rPr>
                <w:rFonts w:ascii="Arial" w:hAnsi="Arial" w:cs="Arial"/>
                <w:sz w:val="18"/>
                <w:szCs w:val="18"/>
              </w:rPr>
            </w:pPr>
          </w:p>
        </w:tc>
        <w:tc>
          <w:tcPr>
            <w:tcW w:w="1094" w:type="dxa"/>
          </w:tcPr>
          <w:p w14:paraId="00D5BE68" w14:textId="77777777" w:rsidR="001200DA" w:rsidRPr="002C4421" w:rsidRDefault="001200DA" w:rsidP="001200DA">
            <w:pPr>
              <w:rPr>
                <w:rFonts w:ascii="Arial" w:hAnsi="Arial" w:cs="Arial"/>
                <w:sz w:val="18"/>
                <w:szCs w:val="18"/>
              </w:rPr>
            </w:pPr>
          </w:p>
        </w:tc>
        <w:tc>
          <w:tcPr>
            <w:tcW w:w="1350" w:type="dxa"/>
            <w:shd w:val="clear" w:color="auto" w:fill="5083C7"/>
          </w:tcPr>
          <w:p w14:paraId="22F65AB9"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Ala3084Thr</w:t>
            </w:r>
          </w:p>
        </w:tc>
        <w:tc>
          <w:tcPr>
            <w:tcW w:w="3420" w:type="dxa"/>
          </w:tcPr>
          <w:p w14:paraId="600334DC"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{"citationID":"tSgMsZnb","properties":{"formattedCitation":"(Trujillano et al., 2017)","plainCitation":"(Trujillano et al., 2017)","noteIndex":0},"citationItems":[{"id":4951,"uris":["http://zotero.org/users/local/CeO1fDrN/items/Z6585DA4"],"itemData":{"id":4951,"type":"article-journal","abstract":"We report our results of 1000 diagnostic WES cases based on 2819 sequenced samples from 54 countries with a wide phenotypic spectrum. Clinical information given by the requesting physicians was translated to HPO terms. WES processes were performed according to standardized settings. We identified the underlying pathogenic or likely pathogenic variants in 307 families (30.7%). In further 253 families (25.3%) a variant of unknown significance, possibly explaining the clinical symptoms of the index patient was identified. WES enabled timely diagnosing of genetic diseases, validation of causality of specific genetic disorders of PTPN23, KCTD3, SCN3A, PPOX, FRMPD4, and SCN1B, and setting dual diagnoses by detecting two causative variants in distinct genes in the same patient. We observed a better diagnostic yield in consanguineous families, in severe and in syndromic phenotypes. Our results suggest that WES has a better yield in patients that present with several symptoms, rather than an isolated abnormality. We also validate the clinical benefit of WES as an effective diagnostic tool, particularly in nonspecific or heterogeneous phenotypes. We recommend WES as a first-line diagnostic in all cases without a clear differential diagnosis, to facilitate personal medical care.","container-title":"European journal of human genetics: EJHG","DOI":"10.1038/ejhg.2016.146","ISSN":"1476-5438","issue":"2","journalAbbreviation":"Eur J Hum Genet","language":"eng","note":"PMID: 27848944\nPMCID: PMC5255946","page":"176-182","source":"PubMed","title":"Clinical exome sequencing: results from 2819 samples reflecting 1000 families","title-short":"Clinical exome sequencing","volume":"25","author":[{"family":"Trujillano","given":"Daniel"},{"family":"Bertoli-Avella","given":"Aida M."},{"family":"Kumar Kandaswamy","given":"Krishna"},{"family":"Weiss","given":"Maximilian Er"},{"family":"Köster","given":"Julia"},{"family":"Marais","given":"Anett"},{"family":"Paknia","given":"Omid"},{"family":"Schröder","given":"Rolf"},{"family":"Garcia-Aznar","given":"Jose Maria"},{"family":"Werber","given":"Martin"},{"family":"Brandau","given":"Oliver"},{"family":"Calvo Del Castillo","given":"Maria"},{"family":"Baldi","given":"Caterina"},{"family":"Wessel","given":"Karen"},{"family":"Kishore","given":"Shivendra"},{"family":"Nahavandi","given":"Nahid"},{"family":"Eyaid","given":"Wafaa"},{"family":"Al Rifai","given":"Muhammad Talal"},{"family":"Al-Rumayyan","given":"Ahmed"},{"family":"Al-Twaijri","given":"Waleed"},{"family":"Alothaim","given":"Ali"},{"family":"Alhashem","given":"Amal"},{"family":"Al-Sannaa","given":"Nouriya"},{"family":"Al-Balwi","given":"Mohammed"},{"family":"Alfadhel","given":"Majid"},{"family":"Rolfs","given":"Arndt"},{"family":"Abou Jamra","given":"Rami"}],"issued":{"date-parts":[["2017",2]]}}}],"schema":"https://github.com/citation-style-language/schema/raw/master/csl-citation.json"}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(Trujillano et al., 2017)</w:t>
            </w:r>
            <w:r>
              <w:rPr>
                <w:rFonts w:ascii="Arial" w:hAnsi="Arial" w:cs="Arial"/>
                <w:sz w:val="18"/>
                <w:szCs w:val="18"/>
              </w:rPr>
              <w:fldChar w:fldCharType="end"/>
            </w:r>
          </w:p>
        </w:tc>
      </w:tr>
      <w:tr w:rsidR="001200DA" w:rsidRPr="00DE6390" w14:paraId="2FF91783" w14:textId="77777777" w:rsidTr="001200DA">
        <w:tc>
          <w:tcPr>
            <w:tcW w:w="3671" w:type="dxa"/>
          </w:tcPr>
          <w:p w14:paraId="58A38306" w14:textId="77777777" w:rsidR="001200DA" w:rsidRPr="002C4421" w:rsidRDefault="001200DA" w:rsidP="001200DA">
            <w:pPr>
              <w:rPr>
                <w:rFonts w:ascii="Arial" w:hAnsi="Arial" w:cs="Arial"/>
                <w:sz w:val="18"/>
                <w:szCs w:val="18"/>
              </w:rPr>
            </w:pPr>
          </w:p>
        </w:tc>
        <w:tc>
          <w:tcPr>
            <w:tcW w:w="1094" w:type="dxa"/>
          </w:tcPr>
          <w:p w14:paraId="13E65752" w14:textId="77777777" w:rsidR="001200DA" w:rsidRPr="002C4421" w:rsidRDefault="001200DA" w:rsidP="001200DA">
            <w:pPr>
              <w:rPr>
                <w:rFonts w:ascii="Arial" w:hAnsi="Arial" w:cs="Arial"/>
                <w:sz w:val="18"/>
                <w:szCs w:val="18"/>
              </w:rPr>
            </w:pPr>
          </w:p>
        </w:tc>
        <w:tc>
          <w:tcPr>
            <w:tcW w:w="1350" w:type="dxa"/>
            <w:shd w:val="clear" w:color="auto" w:fill="5083C7"/>
          </w:tcPr>
          <w:p w14:paraId="06B0ABFA"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Arg3474Trp</w:t>
            </w:r>
          </w:p>
        </w:tc>
        <w:tc>
          <w:tcPr>
            <w:tcW w:w="3420" w:type="dxa"/>
          </w:tcPr>
          <w:p w14:paraId="42C2385D"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{"citationID":"bxNwvPyR","properties":{"formattedCitation":"(Amabile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0BF6C610" w14:textId="77777777" w:rsidTr="001200DA">
        <w:tc>
          <w:tcPr>
            <w:tcW w:w="3671" w:type="dxa"/>
          </w:tcPr>
          <w:p w14:paraId="0207BA43" w14:textId="77777777" w:rsidR="001200DA" w:rsidRPr="002C4421" w:rsidRDefault="001200DA" w:rsidP="001200DA">
            <w:pPr>
              <w:rPr>
                <w:rFonts w:ascii="Arial" w:hAnsi="Arial" w:cs="Arial"/>
                <w:sz w:val="18"/>
                <w:szCs w:val="18"/>
              </w:rPr>
            </w:pPr>
          </w:p>
        </w:tc>
        <w:tc>
          <w:tcPr>
            <w:tcW w:w="1094" w:type="dxa"/>
          </w:tcPr>
          <w:p w14:paraId="7D813C42" w14:textId="77777777" w:rsidR="001200DA" w:rsidRPr="002C4421" w:rsidRDefault="001200DA" w:rsidP="001200DA">
            <w:pPr>
              <w:rPr>
                <w:rFonts w:ascii="Arial" w:hAnsi="Arial" w:cs="Arial"/>
                <w:sz w:val="18"/>
                <w:szCs w:val="18"/>
              </w:rPr>
            </w:pPr>
          </w:p>
        </w:tc>
        <w:tc>
          <w:tcPr>
            <w:tcW w:w="1350" w:type="dxa"/>
            <w:shd w:val="clear" w:color="auto" w:fill="5083C7"/>
          </w:tcPr>
          <w:p w14:paraId="61F1985A"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Arg3525Cys</w:t>
            </w:r>
          </w:p>
        </w:tc>
        <w:tc>
          <w:tcPr>
            <w:tcW w:w="3420" w:type="dxa"/>
          </w:tcPr>
          <w:p w14:paraId="0C6EA684"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{"citationID":"1xb1QM6d","properties":{"formattedCitation":"(Bowling et al., 2017)","plainCitation":"(Bowling et al., 2017)","noteIndex":0},"citationItems":[{"id":4954,"uris":["http://zotero.org/users/local/CeO1fDrN/items/E99QW295"],"itemData":{"id":4954,"type":"article-journal","abstract":"BACKGROUND: Developmental disabilities have diverse genetic causes that must be identified to facilitate precise diagnoses. We describe genomic data from 371 affected individuals, 309 of which were sequenced as proband-parent trios.\nMETHODS: Whole-exome sequences (WES) were generated for 365 individuals (127 affected) and whole-genome sequences (WGS) were generated for 612 individuals (244 affected).\nRESULTS: Pathogenic or likely pathogenic variants were found in 100 individuals (27%), with variants of uncertain significance in an additional 42 (11.3%). We found that a family history of neurological disease, especially the presence of an affected first-degree relative, reduces the pathogenic/likely pathogenic variant identification rate, reflecting both the disease relevance and ease of interpretation of de novo variants. We also found that improvements to genetic knowledge facilitated interpretation changes in many cases. Through systematic reanalyses, we have thus far reclassified 15 variants, with 11.3% of families who initially were found to harbor a VUS and 4.7% of families with a negative result eventually found to harbor a pathogenic or likely pathogenic variant. To further such progress, the data described here are being shared through ClinVar, GeneMatcher, and dbGaP.\nCONCLUSIONS: Our data strongly support the value of large-scale sequencing, especially WGS within proband-parent trios, as both an effective first-choice diagnostic tool and means to advance clinical and research progress related to pediatric neurological disease.","container-title":"Genome Medicine","DOI":"10.1186/s13073-017-0433-1","ISSN":"1756-994X","issue":"1","journalAbbreviation":"Genome Med","language":"eng","note":"PMID: 28554332\nPMCID: PMC5448144","page":"43","source":"PubMed","title":"Genomic diagnosis for children with intellectual disability and/or developmental delay","volume":"9","author":[{"family":"Bowling","given":"Kevin M."},{"family":"Thompson","given":"Michelle L."},{"family":"Amaral","given":"Michelle D."},{"family":"Finnila","given":"Candice R."},{"family":"Hiatt","given":"Susan M."},{"family":"Engel","given":"Krysta L."},{"family":"Cochran","given":"J. Nicholas"},{"family":"Brothers","given":"Kyle B."},{"family":"East","given":"Kelly M."},{"family":"Gray","given":"David E."},{"family":"Kelley","given":"Whitley V."},{"family":"Lamb","given":"Neil E."},{"family":"Lose","given":"Edward J."},{"family":"Rich","given":"Carla A."},{"family":"Simmons","given":"Shirley"},{"family":"Whittle","given":"Jana S."},{"family":"Weaver","given":"Benjamin T."},{"family":"Nesmith","given":"Amy S."},{"family":"Myers","given":"Richard M."},{"family":"Barsh","given":"Gregory S."},{"family":"Bebin","given":"E. Martina"},{"family":"Cooper","given":"Gregory M."}],"issued":{"date-parts":[["2017",5,30]]}}}],"schema":"https://github.com/citation-style-language/schema/raw/master/csl-citation.json"}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(Bowling et al., 2017)</w:t>
            </w:r>
            <w:r>
              <w:rPr>
                <w:rFonts w:ascii="Arial" w:hAnsi="Arial" w:cs="Arial"/>
                <w:sz w:val="18"/>
                <w:szCs w:val="18"/>
              </w:rPr>
              <w:fldChar w:fldCharType="end"/>
            </w:r>
          </w:p>
        </w:tc>
      </w:tr>
      <w:tr w:rsidR="001200DA" w:rsidRPr="00DE6390" w14:paraId="498E54FF" w14:textId="77777777" w:rsidTr="001200DA">
        <w:tc>
          <w:tcPr>
            <w:tcW w:w="3671" w:type="dxa"/>
          </w:tcPr>
          <w:p w14:paraId="1518F875" w14:textId="77777777" w:rsidR="001200DA" w:rsidRPr="002C4421" w:rsidRDefault="001200DA" w:rsidP="001200DA">
            <w:pPr>
              <w:rPr>
                <w:rFonts w:ascii="Arial" w:hAnsi="Arial" w:cs="Arial"/>
                <w:sz w:val="18"/>
                <w:szCs w:val="18"/>
              </w:rPr>
            </w:pPr>
          </w:p>
        </w:tc>
        <w:tc>
          <w:tcPr>
            <w:tcW w:w="1094" w:type="dxa"/>
          </w:tcPr>
          <w:p w14:paraId="7A004D28" w14:textId="77777777" w:rsidR="001200DA" w:rsidRPr="002C4421" w:rsidRDefault="001200DA" w:rsidP="001200DA">
            <w:pPr>
              <w:rPr>
                <w:rFonts w:ascii="Arial" w:hAnsi="Arial" w:cs="Arial"/>
                <w:sz w:val="18"/>
                <w:szCs w:val="18"/>
              </w:rPr>
            </w:pPr>
          </w:p>
        </w:tc>
        <w:tc>
          <w:tcPr>
            <w:tcW w:w="1350" w:type="dxa"/>
            <w:shd w:val="clear" w:color="auto" w:fill="5083C7"/>
          </w:tcPr>
          <w:p w14:paraId="789D019F"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Gly3630Ser</w:t>
            </w:r>
          </w:p>
        </w:tc>
        <w:tc>
          <w:tcPr>
            <w:tcW w:w="3420" w:type="dxa"/>
          </w:tcPr>
          <w:p w14:paraId="3A5427F9"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{"citationID":"8Q7hwvIU","properties":{"formattedCitation":"(Amabile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0F1A1AA2" w14:textId="77777777" w:rsidTr="001200DA">
        <w:tc>
          <w:tcPr>
            <w:tcW w:w="3671" w:type="dxa"/>
          </w:tcPr>
          <w:p w14:paraId="745F96CC" w14:textId="77777777" w:rsidR="001200DA" w:rsidRPr="002C4421" w:rsidRDefault="001200DA" w:rsidP="001200DA">
            <w:pPr>
              <w:rPr>
                <w:rFonts w:ascii="Arial" w:hAnsi="Arial" w:cs="Arial"/>
                <w:sz w:val="18"/>
                <w:szCs w:val="18"/>
              </w:rPr>
            </w:pPr>
          </w:p>
        </w:tc>
        <w:tc>
          <w:tcPr>
            <w:tcW w:w="1094" w:type="dxa"/>
          </w:tcPr>
          <w:p w14:paraId="1228F9FC" w14:textId="77777777" w:rsidR="001200DA" w:rsidRPr="002C4421" w:rsidRDefault="001200DA" w:rsidP="001200DA">
            <w:pPr>
              <w:rPr>
                <w:rFonts w:ascii="Arial" w:hAnsi="Arial" w:cs="Arial"/>
                <w:sz w:val="18"/>
                <w:szCs w:val="18"/>
              </w:rPr>
            </w:pPr>
          </w:p>
        </w:tc>
        <w:tc>
          <w:tcPr>
            <w:tcW w:w="1350" w:type="dxa"/>
            <w:shd w:val="clear" w:color="auto" w:fill="5083C7"/>
          </w:tcPr>
          <w:p w14:paraId="490B0559"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Gly3658Glu</w:t>
            </w:r>
          </w:p>
        </w:tc>
        <w:tc>
          <w:tcPr>
            <w:tcW w:w="3420" w:type="dxa"/>
          </w:tcPr>
          <w:p w14:paraId="46D90824" w14:textId="77777777" w:rsidR="001200DA" w:rsidRPr="007B33C0"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{"citationID":"jaDIuUpA","properties":{"formattedCitation":"(Al-Shamsi et al., 2016)","plainCitation":"(Al-Shamsi et al., 2016)","noteIndex":0},"citationItems":[{"id":4957,"uris":["http://zotero.org/users/local/CeO1fDrN/items/6FAAYV6W"],"itemData":{"id":4957,"type":"article-journal","abstract":"This study reports on the use of whole exome sequencing (WES) to diagnose children with inborn errors of metabolism and other disorders in United Arab Emirates.","container-title":"Orphanet Journal of Rare Diseases","DOI":"10.1186/s13023-016-0474-3","ISSN":"1750-1172","issue":"1","journalAbbreviation":"Orphanet Journal of Rare Diseases","page":"94","source":"BioMed Central","title":"Whole exome sequencing diagnosis of inborn errors of metabolism and other disorders in United Arab Emirates","volume":"11","author":[{"family":"Al-Shamsi","given":"Aisha"},{"family":"Hertecant","given":"Jozef L."},{"family":"Souid","given":"Abdul-Kader"},{"family":"Al-Jasmi","given":"Fatma A."}],"issued":{"date-parts":[["2016",7,8]]}}}],"schema":"https://github.com/citation-style-language/schema/raw/master/csl-citation.json"}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(Al-Shamsi et al., 2016)</w:t>
            </w:r>
            <w:r>
              <w:rPr>
                <w:rFonts w:ascii="Arial" w:hAnsi="Arial" w:cs="Arial"/>
                <w:sz w:val="18"/>
                <w:szCs w:val="18"/>
              </w:rPr>
              <w:fldChar w:fldCharType="end"/>
            </w:r>
          </w:p>
        </w:tc>
      </w:tr>
      <w:tr w:rsidR="001200DA" w:rsidRPr="00DE6390" w14:paraId="38A6FDAB" w14:textId="77777777" w:rsidTr="001200DA">
        <w:tc>
          <w:tcPr>
            <w:tcW w:w="3671" w:type="dxa"/>
          </w:tcPr>
          <w:p w14:paraId="777C6C40" w14:textId="77777777" w:rsidR="001200DA" w:rsidRPr="002C4421" w:rsidRDefault="001200DA" w:rsidP="001200DA">
            <w:pPr>
              <w:rPr>
                <w:rFonts w:ascii="Arial" w:hAnsi="Arial" w:cs="Arial"/>
                <w:sz w:val="18"/>
                <w:szCs w:val="18"/>
              </w:rPr>
            </w:pPr>
          </w:p>
        </w:tc>
        <w:tc>
          <w:tcPr>
            <w:tcW w:w="1094" w:type="dxa"/>
          </w:tcPr>
          <w:p w14:paraId="7B51C450" w14:textId="77777777" w:rsidR="001200DA" w:rsidRPr="002C4421" w:rsidRDefault="001200DA" w:rsidP="001200DA">
            <w:pPr>
              <w:rPr>
                <w:rFonts w:ascii="Arial" w:hAnsi="Arial" w:cs="Arial"/>
                <w:sz w:val="18"/>
                <w:szCs w:val="18"/>
              </w:rPr>
            </w:pPr>
          </w:p>
        </w:tc>
        <w:tc>
          <w:tcPr>
            <w:tcW w:w="1350" w:type="dxa"/>
            <w:shd w:val="clear" w:color="auto" w:fill="5083C7"/>
          </w:tcPr>
          <w:p w14:paraId="0AE53504"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Arg3728Pro</w:t>
            </w:r>
          </w:p>
        </w:tc>
        <w:tc>
          <w:tcPr>
            <w:tcW w:w="3420" w:type="dxa"/>
          </w:tcPr>
          <w:p w14:paraId="162F88FD"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{"citationID":"PO7ziKEJ","properties":{"formattedCitation":"(Amabile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7FA28E12" w14:textId="77777777" w:rsidTr="001200DA">
        <w:tc>
          <w:tcPr>
            <w:tcW w:w="3671" w:type="dxa"/>
          </w:tcPr>
          <w:p w14:paraId="795E65F4" w14:textId="77777777" w:rsidR="001200DA" w:rsidRPr="002C4421" w:rsidRDefault="001200DA" w:rsidP="001200DA">
            <w:pPr>
              <w:rPr>
                <w:rFonts w:ascii="Arial" w:hAnsi="Arial" w:cs="Arial"/>
                <w:sz w:val="18"/>
                <w:szCs w:val="18"/>
              </w:rPr>
            </w:pPr>
          </w:p>
        </w:tc>
        <w:tc>
          <w:tcPr>
            <w:tcW w:w="1094" w:type="dxa"/>
          </w:tcPr>
          <w:p w14:paraId="357A43DE" w14:textId="77777777" w:rsidR="001200DA" w:rsidRPr="002C4421" w:rsidRDefault="001200DA" w:rsidP="001200DA">
            <w:pPr>
              <w:rPr>
                <w:rFonts w:ascii="Arial" w:hAnsi="Arial" w:cs="Arial"/>
                <w:sz w:val="18"/>
                <w:szCs w:val="18"/>
              </w:rPr>
            </w:pPr>
          </w:p>
        </w:tc>
        <w:tc>
          <w:tcPr>
            <w:tcW w:w="1350" w:type="dxa"/>
            <w:shd w:val="clear" w:color="auto" w:fill="5083C7"/>
          </w:tcPr>
          <w:p w14:paraId="2E8A69CD"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Glu3771Lys</w:t>
            </w:r>
          </w:p>
        </w:tc>
        <w:tc>
          <w:tcPr>
            <w:tcW w:w="3420" w:type="dxa"/>
          </w:tcPr>
          <w:p w14:paraId="0F09A243"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{"citationID":"Y0EHpVuL","properties":{"formattedCitation":"(Amabile et al., 2020)","plainCitation":"(Amabile et al., 2020)","noteIndex":0},"citationItems":[{"id":4922,"uris":["http://zotero.org/users/local/CeO1fDrN/items/MYGRXJ2H"],"itemData":{"id":4922,"type":"article-journal","abstract":"Heterozygous variants in the DYNC1H1 gene have been associated chiefly with intellectual disability (ID), malformations in cortical development (MCD), spinal muscular atrophy (SMA), and Charcot-Marie-Tooth axonal type 20 (CMT), with fewer reports describing other intersecting phenotypes. To better characterize the variable syndromes associated with DYNC1H1, we undertook a detailed analysis of reported patients in the medical literature through June 30, 2019. In sum we identified 200 patients from 143 families harboring 103 different DYNC1H1 variants, and added reports for four unrelated patients identified at our center, three with novel variants. The most common features associated with DYNC1H1 were neuromuscular (NM) disease (largely associated with variants in the stem domain), ID with MCD (largely associated with variants in the motor domain), or a combination of these phenotypes. Despite these trends, exceptions are noted throughout. Overall, DYNC1H1 is associated with variable neurodevelopmental and/or neuromuscular phenotypes that overlap. To avoid confusion DYNC1H1 disorders may be best categorized at this time by more general descriptions rather than phenotype-specific nomenclature such as SMA or CMT. We therefore propose the terms: DYNC1H1-related NM disorder, DYNC1H1-related CNS disorder, and DYNC1H1-related combined disorder. Our single center's experience may be evidence that disease-causing variants in this gene are more prevalent than currently recognized.","container-title":"American Journal of Medical Genetics. Part A","DOI":"10.1002/ajmg.a.61729","ISSN":"1552-4833","issue":"9","journalAbbreviation":"Am J Med Genet A","language":"eng","note":"PMID: 32656949","page":"2049-2057","source":"PubMed","title":"DYNC1H1-related disorders: A description of four new unrelated patients and a comprehensive review of previously reported variants","title-short":"DYNC1H1-related disorders","volume":"182","author":[{"family":"Amabile","given":"Sonia"},{"family":"Jeffries","given":"Lauren"},{"family":"McGrath","given":"James M."},{"family":"Ji","given":"Weizhen"},{"family":"Spencer-Manzon","given":"Michele"},{"family":"Zhang","given":"Hui"},{"family":"Lakhani","given":"Saquib A."}],"issued":{"date-parts":[["2020",9]]}}}],"schema":"https://github.com/citation-style-language/schema/raw/master/csl-citation.json"}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(Amabile et al., 2020)</w:t>
            </w:r>
            <w:r>
              <w:rPr>
                <w:rFonts w:ascii="Arial" w:hAnsi="Arial" w:cs="Arial"/>
                <w:sz w:val="18"/>
                <w:szCs w:val="18"/>
              </w:rPr>
              <w:fldChar w:fldCharType="end"/>
            </w:r>
          </w:p>
        </w:tc>
      </w:tr>
      <w:tr w:rsidR="001200DA" w:rsidRPr="00DE6390" w14:paraId="6B85C365" w14:textId="77777777" w:rsidTr="001200DA">
        <w:tc>
          <w:tcPr>
            <w:tcW w:w="3671" w:type="dxa"/>
          </w:tcPr>
          <w:p w14:paraId="1A314F6A" w14:textId="77777777" w:rsidR="001200DA" w:rsidRPr="002C4421" w:rsidRDefault="001200DA" w:rsidP="001200DA">
            <w:pPr>
              <w:rPr>
                <w:rFonts w:ascii="Arial" w:hAnsi="Arial" w:cs="Arial"/>
                <w:sz w:val="18"/>
                <w:szCs w:val="18"/>
              </w:rPr>
            </w:pPr>
          </w:p>
        </w:tc>
        <w:tc>
          <w:tcPr>
            <w:tcW w:w="1094" w:type="dxa"/>
          </w:tcPr>
          <w:p w14:paraId="70C0472F" w14:textId="77777777" w:rsidR="001200DA" w:rsidRPr="002C4421" w:rsidRDefault="001200DA" w:rsidP="001200DA">
            <w:pPr>
              <w:rPr>
                <w:rFonts w:ascii="Arial" w:hAnsi="Arial" w:cs="Arial"/>
                <w:sz w:val="18"/>
                <w:szCs w:val="18"/>
              </w:rPr>
            </w:pPr>
          </w:p>
        </w:tc>
        <w:tc>
          <w:tcPr>
            <w:tcW w:w="1350" w:type="dxa"/>
            <w:shd w:val="clear" w:color="auto" w:fill="5083C7"/>
          </w:tcPr>
          <w:p w14:paraId="1B77C053"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His3822Pro</w:t>
            </w:r>
          </w:p>
        </w:tc>
        <w:tc>
          <w:tcPr>
            <w:tcW w:w="3420" w:type="dxa"/>
          </w:tcPr>
          <w:p w14:paraId="5C19F981"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{"citationID":"i5vPENM8","properties":{"formattedCitation":"(Vissers et al., 2010)","plainCitation":"(Vissers et al., 2010)","noteIndex":0},"citationItems":[{"id":4960,"uris":["http://zotero.org/users/local/CeO1fDrN/items/G5FMNI4X"],"itemData":{"id":4960,"type":"article-journal","abstract":"The per-generation mutation rate in humans is high. De novo mutations may compensate for allele loss due to severely reduced fecundity in common neurodevelopmental and psychiatric diseases, explaining a major paradox in evolutionary genetic theory. Here we used a family based exome sequencing approach to test this de novo mutation hypothesis in ten individuals with unexplained mental retardation. We identified and validated unique non-synonymous de novo mutations in nine genes. Six of these, identified in six different individuals, are likely to be pathogenic based on gene function, evolutionary conservation and mutation impact. Our findings provide strong experimental support for a de novo paradigm for mental retardation. Together with de novo copy number variation, de novo point mutations of large effect could explain the majority of all mental retardation cases in the population.","container-title":"Nature Genetics","DOI":"10.1038/ng.712","ISSN":"1546-1718","issue":"12","journalAbbreviation":"Nat Genet","language":"eng","note":"PMID: 21076407","page":"1109-1112","source":"PubMed","title":"A de novo paradigm for mental retardation","volume":"42","author":[{"family":"Vissers","given":"Lisenka E. L. M."},{"family":"Ligt","given":"Joep","non-dropping-particle":"de"},{"family":"Gilissen","given":"Christian"},{"family":"Janssen","given":"Irene"},{"family":"Steehouwer","given":"Marloes"},{"family":"Vries","given":"Petra","non-dropping-particle":"de"},{"family":"Lier","given":"Bart","non-dropping-particle":"van"},{"family":"Arts","given":"Peer"},{"family":"Wieskamp","given":"Nienke"},{"family":"Rosario","given":"Marisol","non-dropping-particle":"del"},{"family":"Bon","given":"Bregje W. M.","non-dropping-particle":"van"},{"family":"Hoischen","given":"Alexander"},{"family":"Vries","given":"Bert B. A.","non-dropping-particle":"de"},{"family":"Brunner","given":"Han G."},{"family":"Veltman","given":"Joris A."}],"issued":{"date-parts":[["2010",12]]}}}],"schema":"https://github.com/citation-style-language/schema/raw/master/csl-citation.json"}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(Vissers et al., 2010)</w:t>
            </w:r>
            <w:r>
              <w:rPr>
                <w:rFonts w:ascii="Arial" w:hAnsi="Arial" w:cs="Arial"/>
                <w:sz w:val="18"/>
                <w:szCs w:val="18"/>
              </w:rPr>
              <w:fldChar w:fldCharType="end"/>
            </w:r>
          </w:p>
        </w:tc>
      </w:tr>
      <w:tr w:rsidR="001200DA" w:rsidRPr="00DE6390" w14:paraId="28E99046" w14:textId="77777777" w:rsidTr="001200DA">
        <w:tc>
          <w:tcPr>
            <w:tcW w:w="3671" w:type="dxa"/>
          </w:tcPr>
          <w:p w14:paraId="05A5EB5D" w14:textId="77777777" w:rsidR="001200DA" w:rsidRPr="002C4421" w:rsidRDefault="001200DA" w:rsidP="001200DA">
            <w:pPr>
              <w:rPr>
                <w:rFonts w:ascii="Arial" w:hAnsi="Arial" w:cs="Arial"/>
                <w:sz w:val="18"/>
                <w:szCs w:val="18"/>
              </w:rPr>
            </w:pPr>
          </w:p>
        </w:tc>
        <w:tc>
          <w:tcPr>
            <w:tcW w:w="1094" w:type="dxa"/>
          </w:tcPr>
          <w:p w14:paraId="4942F107" w14:textId="77777777" w:rsidR="001200DA" w:rsidRPr="002C4421" w:rsidRDefault="001200DA" w:rsidP="001200DA">
            <w:pPr>
              <w:rPr>
                <w:rFonts w:ascii="Arial" w:hAnsi="Arial" w:cs="Arial"/>
                <w:sz w:val="18"/>
                <w:szCs w:val="18"/>
              </w:rPr>
            </w:pPr>
          </w:p>
        </w:tc>
        <w:tc>
          <w:tcPr>
            <w:tcW w:w="1350" w:type="dxa"/>
            <w:shd w:val="clear" w:color="auto" w:fill="5083C7"/>
          </w:tcPr>
          <w:p w14:paraId="282573C2"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Pro3942Ser</w:t>
            </w:r>
          </w:p>
        </w:tc>
        <w:tc>
          <w:tcPr>
            <w:tcW w:w="3420" w:type="dxa"/>
          </w:tcPr>
          <w:p w14:paraId="3FD6A7A1"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{"citationID":"A4faabAP","properties":{"formattedCitation":"(Hayashi et al., 2017)","plainCitation":"(Hayashi et al., 2017)","noteIndex":0},"citationItems":[{"id":4962,"uris":["http://zotero.org/users/local/CeO1fDrN/items/NI2BCEN5"],"itemData":{"id":4962,"type":"article-journal","abstract":"The CASK gene (Xp11.4) is highly expressed in the mammalian nervous system and plays several roles in neural development and synaptic function. Loss-of-function mutations of CASK are associated with intellectual disability and microcephaly with pontine and cerebellar hypoplasia (MICPCH), especially in females. Here, we present a comprehensive investigation of 41 MICPCH patients, analyzed by mutational search of CASK and screening of candidate genes using an SNP array, targeted resequencing and whole-exome sequencing (WES). In total, we identified causative or candidate genomic aberrations in 37 of the 41 cases (90.2%). CASK aberrations including a rare mosaic mutation in a male patient, were found in 32 cases, and a mutation in ITPR1, another known gene in which mutations are causative for MICPCH, was found in one case. We also found aberrations involving genes other than CASK, such as HDAC2, MARCKS, and possibly HS3ST5, which may be associated with MICPCH. Moreover, the targeted resequencing screening detected heterozygous variants in RELN in two cases, of uncertain pathogenicity, and WES analysis suggested that concurrent mutations of both DYNC1H1 and DCTN1 in one case could lead to MICPCH. Our results not only identified the etiology of MICPCH in nearly all the investigated patients but also suggest that MICPCH is a genetically heterogeneous condition, in which CASK inactivating mutations appear to account for the majority of cases.","container-title":"PloS One","DOI":"10.1371/journal.pone.0181791","ISSN":"1932-6203","issue":"8","journalAbbreviation":"PLoS One","language":"eng","note":"PMID: 28783747\nPMCID: PMC5546575","page":"e0181791","source":"PubMed","title":"Comprehensive investigation of CASK mutations and other genetic etiologies in 41 patients with intellectual disability and microcephaly with pontine and cerebellar hypoplasia (MICPCH)","volume":"12","author":[{"family":"Hayashi","given":"Shin"},{"family":"Uehara","given":"Daniela Tiaki"},{"family":"Tanimoto","given":"Kousuke"},{"family":"Mizuno","given":"Seiji"},{"family":"Chinen","given":"Yasutsugu"},{"family":"Fukumura","given":"Shinobu"},{"family":"Takanashi","given":"Jun-Ichi"},{"family":"Osaka","given":"Hitoshi"},{"family":"Okamoto","given":"Nobuhiko"},{"family":"Inazawa","given":"Johji"}],"issued":{"date-parts":[["2017"]]}}}],"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(Hayashi et al., 2017)</w:t>
            </w:r>
            <w:r>
              <w:rPr>
                <w:rFonts w:ascii="Arial" w:hAnsi="Arial" w:cs="Arial"/>
                <w:sz w:val="18"/>
                <w:szCs w:val="18"/>
              </w:rPr>
              <w:fldChar w:fldCharType="end"/>
            </w:r>
          </w:p>
        </w:tc>
      </w:tr>
      <w:tr w:rsidR="001200DA" w:rsidRPr="00DE6390" w14:paraId="0DEC4310" w14:textId="77777777" w:rsidTr="001200DA">
        <w:tc>
          <w:tcPr>
            <w:tcW w:w="3671" w:type="dxa"/>
          </w:tcPr>
          <w:p w14:paraId="23509D88" w14:textId="77777777" w:rsidR="001200DA" w:rsidRPr="002C4421" w:rsidRDefault="001200DA" w:rsidP="001200DA">
            <w:pPr>
              <w:rPr>
                <w:rFonts w:ascii="Arial" w:hAnsi="Arial" w:cs="Arial"/>
                <w:sz w:val="18"/>
                <w:szCs w:val="18"/>
              </w:rPr>
            </w:pPr>
          </w:p>
        </w:tc>
        <w:tc>
          <w:tcPr>
            <w:tcW w:w="1094" w:type="dxa"/>
          </w:tcPr>
          <w:p w14:paraId="66B8248C" w14:textId="77777777" w:rsidR="001200DA" w:rsidRPr="002C4421" w:rsidRDefault="001200DA" w:rsidP="001200DA">
            <w:pPr>
              <w:rPr>
                <w:rFonts w:ascii="Arial" w:hAnsi="Arial" w:cs="Arial"/>
                <w:sz w:val="18"/>
                <w:szCs w:val="18"/>
              </w:rPr>
            </w:pPr>
          </w:p>
        </w:tc>
        <w:tc>
          <w:tcPr>
            <w:tcW w:w="1350" w:type="dxa"/>
            <w:shd w:val="clear" w:color="auto" w:fill="5083C7"/>
          </w:tcPr>
          <w:p w14:paraId="415F0D43" w14:textId="77777777" w:rsidR="001200DA" w:rsidRPr="002C4421" w:rsidRDefault="001200DA" w:rsidP="001200DA">
            <w:pPr>
              <w:rPr>
                <w:rFonts w:ascii="Arial" w:hAnsi="Arial" w:cs="Arial"/>
                <w:color w:val="FFFFFF" w:themeColor="background1"/>
                <w:sz w:val="18"/>
                <w:szCs w:val="18"/>
              </w:rPr>
            </w:pPr>
            <w:r w:rsidRPr="002C4421">
              <w:rPr>
                <w:rFonts w:ascii="Arial" w:hAnsi="Arial" w:cs="Arial"/>
                <w:color w:val="FFFFFF" w:themeColor="background1"/>
                <w:sz w:val="18"/>
                <w:szCs w:val="18"/>
              </w:rPr>
              <w:t>Val3951Ala</w:t>
            </w:r>
          </w:p>
        </w:tc>
        <w:tc>
          <w:tcPr>
            <w:tcW w:w="3420" w:type="dxa"/>
          </w:tcPr>
          <w:p w14:paraId="768CAD96" w14:textId="77777777" w:rsidR="001200DA" w:rsidRPr="002C4421" w:rsidRDefault="001200DA" w:rsidP="001200D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ZOTERO_ITEM CSL_CITATION {"citationID":"mpVSu3Pk","properties":{"formattedCitation":"(Laquerriere et al., 2017)","plainCitation":"(Laquerriere et al., 2017)","noteIndex":0},"citationItems":[{"id":4965,"uris":["http://zotero.org/users/local/CeO1fDrN/items/S88P6YS9"],"itemData":{"id":4965,"type":"article-journal","abstract":"Dyneins play a critical role in a wide variety of cellular functions such as the movement of organelles and numerous aspects of mitosis, making it central player in neocortical neurogenesis and migration. Recently, cytoplasmic dynein-1, heavy chain-1 (DYNC1H1) mutations have been found to cause a wide spectrum of brain cortical malformations. We report on the detailed neuropathological features of brain lesions from 2 fetuses aged 36 and 22 weeks of gestation (WG), respectively, carrying de novo DYNC1H1 mutations, p.Arg2720Lys and p.Val3951Ala and presenting the most severe phenotype reported to date. Analysis using the Dictyostelium discoideum dynein motor crystal structure showed that the mutations are both predicted to have deleterious consequences on the function of the motor domain. Both fetuses showed a similar macroscopic and histological brain malformative complex associating bilateral fronto-parietal polymicrogyria (PMG), dysgenesis of the corpus callosum and of the cortico-spinal tracts, along with brainstem and cerebellar abnormalities. Both exhibited extremely severe disrupted cortical lamination. Immunohistochemical studies provided the evidence for defects in cell proliferation and postmitotic neuroblast ability to exit from the subventricular zone resulting in a failure of radial migration toward the cortical plate, thus providing new insights for the understanding of the pathophysiology in these cortical malformations.","container-title":"Journal of Neuropathology and Experimental Neurology","DOI":"10.1093/jnen/nlw124","ISSN":"1554-6578","issue":"3","journalAbbreviation":"J Neuropathol Exp Neurol","language":"eng","note":"PMID: 28395088","page":"195-205","source":"PubMed","title":"Neuropathological Hallmarks of Brain Malformations in Extreme Phenotypes Related to DYNC1H1 Mutations","volume":"76","author":[{"family":"Laquerriere","given":"Annie"},{"family":"Maillard","given":"Camille"},{"family":"Cavallin","given":"Mara"},{"family":"Chapon","given":"Françoise"},{"family":"Marguet","given":"Florent"},{"family":"Molin","given":"Arnaud"},{"family":"Sigaudy","given":"Sabine"},{"family":"Blouet","given":"Marie"},{"family":"Benoist","given":"Guillaume"},{"family":"Fernandez","given":"Carla"},{"family":"Poirier","given":"Karine"},{"family":"Chelly","given":"Jamel"},{"family":"Thomas","given":"Sophie"},{"family":"Bahi-Buisson","given":"Nadia"}],"issued":{"date-parts":[["2017",3,1]]}}}],"schema":"https://github.com/citation-style-language/schema/raw/master/csl-citation.json"} </w:instrText>
            </w:r>
            <w:r>
              <w:rPr>
                <w:rFonts w:ascii="Arial" w:hAnsi="Arial" w:cs="Arial"/>
                <w:sz w:val="18"/>
                <w:szCs w:val="18"/>
              </w:rPr>
              <w:fldChar w:fldCharType="separate"/>
            </w:r>
            <w:r>
              <w:rPr>
                <w:rFonts w:ascii="Arial" w:hAnsi="Arial" w:cs="Arial"/>
                <w:noProof/>
                <w:sz w:val="18"/>
                <w:szCs w:val="18"/>
              </w:rPr>
              <w:t>(Laquerriere et al., 2017)</w:t>
            </w:r>
            <w:r>
              <w:rPr>
                <w:rFonts w:ascii="Arial" w:hAnsi="Arial" w:cs="Arial"/>
                <w:sz w:val="18"/>
                <w:szCs w:val="18"/>
              </w:rPr>
              <w:fldChar w:fldCharType="end"/>
            </w:r>
          </w:p>
        </w:tc>
      </w:tr>
    </w:tbl>
    <w:p w14:paraId="7681B582" w14:textId="77777777" w:rsidR="006C6867" w:rsidRDefault="006C6867" w:rsidP="00123236">
      <w:pPr>
        <w:pStyle w:val="Bibliography"/>
        <w:rPr>
          <w:rFonts w:ascii="Arial" w:hAnsi="Arial" w:cs="Arial"/>
          <w:b/>
          <w:bCs/>
          <w:sz w:val="20"/>
          <w:szCs w:val="20"/>
          <w:u w:val="single"/>
        </w:rPr>
      </w:pPr>
    </w:p>
    <w:p w14:paraId="357593DB" w14:textId="6D33C7B7" w:rsidR="00123236" w:rsidRPr="00123236" w:rsidRDefault="00123236" w:rsidP="00123236">
      <w:pPr>
        <w:pStyle w:val="Bibliography"/>
        <w:rPr>
          <w:rFonts w:ascii="Arial" w:hAnsi="Arial" w:cs="Arial"/>
          <w:b/>
          <w:bCs/>
          <w:sz w:val="20"/>
          <w:szCs w:val="20"/>
          <w:u w:val="single"/>
        </w:rPr>
      </w:pPr>
      <w:r w:rsidRPr="00123236">
        <w:rPr>
          <w:rFonts w:ascii="Arial" w:hAnsi="Arial" w:cs="Arial"/>
          <w:b/>
          <w:bCs/>
          <w:sz w:val="20"/>
          <w:szCs w:val="20"/>
          <w:u w:val="single"/>
        </w:rPr>
        <w:t>References</w:t>
      </w:r>
    </w:p>
    <w:p w14:paraId="344337DE" w14:textId="77777777" w:rsidR="00123236" w:rsidRDefault="00123236" w:rsidP="00123236">
      <w:pPr>
        <w:pStyle w:val="Bibliography"/>
        <w:rPr>
          <w:rFonts w:ascii="Arial" w:hAnsi="Arial" w:cs="Arial"/>
          <w:sz w:val="20"/>
          <w:szCs w:val="20"/>
        </w:rPr>
      </w:pPr>
    </w:p>
    <w:p w14:paraId="7E800291" w14:textId="7AB6074E" w:rsidR="00123236" w:rsidRPr="00123236" w:rsidRDefault="00123236" w:rsidP="00BC48B9">
      <w:pPr>
        <w:pStyle w:val="Bibliography"/>
        <w:jc w:val="both"/>
        <w:rPr>
          <w:rFonts w:ascii="Arial" w:hAnsi="Arial" w:cs="Arial"/>
          <w:sz w:val="20"/>
        </w:rPr>
      </w:pPr>
      <w:r>
        <w:rPr>
          <w:rFonts w:ascii="Arial" w:hAnsi="Arial" w:cs="Arial"/>
          <w:sz w:val="20"/>
          <w:szCs w:val="20"/>
        </w:rPr>
        <w:fldChar w:fldCharType="begin"/>
      </w:r>
      <w:r>
        <w:rPr>
          <w:rFonts w:ascii="Arial" w:hAnsi="Arial" w:cs="Arial"/>
          <w:sz w:val="20"/>
          <w:szCs w:val="20"/>
        </w:rPr>
        <w:instrText xml:space="preserve"> ADDIN ZOTERO_BIBL {"uncited":[],"omitted":[],"custom":[]} CSL_BIBLIOGRAPHY </w:instrText>
      </w:r>
      <w:r>
        <w:rPr>
          <w:rFonts w:ascii="Arial" w:hAnsi="Arial" w:cs="Arial"/>
          <w:sz w:val="20"/>
          <w:szCs w:val="20"/>
        </w:rPr>
        <w:fldChar w:fldCharType="separate"/>
      </w:r>
      <w:r w:rsidRPr="00123236">
        <w:rPr>
          <w:rFonts w:ascii="Arial" w:hAnsi="Arial" w:cs="Arial"/>
          <w:sz w:val="20"/>
        </w:rPr>
        <w:t xml:space="preserve">Al-Shamsi A, Hertecant JL, Souid A-K, Al-Jasmi FA. 2016. Whole exome sequencing diagnosis of inborn errors of metabolism and other disorders in United Arab Emirates. </w:t>
      </w:r>
      <w:r w:rsidRPr="00123236">
        <w:rPr>
          <w:rFonts w:ascii="Arial" w:hAnsi="Arial" w:cs="Arial"/>
          <w:i/>
          <w:iCs/>
          <w:sz w:val="20"/>
        </w:rPr>
        <w:t>Orphanet Journal of Rare Diseases</w:t>
      </w:r>
      <w:r w:rsidRPr="00123236">
        <w:rPr>
          <w:rFonts w:ascii="Arial" w:hAnsi="Arial" w:cs="Arial"/>
          <w:sz w:val="20"/>
        </w:rPr>
        <w:t xml:space="preserve"> </w:t>
      </w:r>
      <w:r w:rsidRPr="00123236">
        <w:rPr>
          <w:rFonts w:ascii="Arial" w:hAnsi="Arial" w:cs="Arial"/>
          <w:b/>
          <w:bCs/>
          <w:sz w:val="20"/>
        </w:rPr>
        <w:t>11</w:t>
      </w:r>
      <w:r w:rsidRPr="00123236">
        <w:rPr>
          <w:rFonts w:ascii="Arial" w:hAnsi="Arial" w:cs="Arial"/>
          <w:sz w:val="20"/>
        </w:rPr>
        <w:t>:94. doi:10.1186/s13023-016-0474-3</w:t>
      </w:r>
    </w:p>
    <w:p w14:paraId="0FEF6C90"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Amabile S, Jeffries L, McGrath JM, Ji W, Spencer-Manzon M, Zhang H, Lakhani SA. 2020. DYNC1H1-related disorders: A description of four new unrelated patients and a comprehensive review of previously reported variants. </w:t>
      </w:r>
      <w:r w:rsidRPr="00123236">
        <w:rPr>
          <w:rFonts w:ascii="Arial" w:hAnsi="Arial" w:cs="Arial"/>
          <w:i/>
          <w:iCs/>
          <w:sz w:val="20"/>
        </w:rPr>
        <w:t>Am J Med Genet A</w:t>
      </w:r>
      <w:r w:rsidRPr="00123236">
        <w:rPr>
          <w:rFonts w:ascii="Arial" w:hAnsi="Arial" w:cs="Arial"/>
          <w:sz w:val="20"/>
        </w:rPr>
        <w:t xml:space="preserve"> </w:t>
      </w:r>
      <w:r w:rsidRPr="00123236">
        <w:rPr>
          <w:rFonts w:ascii="Arial" w:hAnsi="Arial" w:cs="Arial"/>
          <w:b/>
          <w:bCs/>
          <w:sz w:val="20"/>
        </w:rPr>
        <w:t>182</w:t>
      </w:r>
      <w:r w:rsidRPr="00123236">
        <w:rPr>
          <w:rFonts w:ascii="Arial" w:hAnsi="Arial" w:cs="Arial"/>
          <w:sz w:val="20"/>
        </w:rPr>
        <w:t>:2049–2057. doi:10.1002/ajmg.a.61729</w:t>
      </w:r>
    </w:p>
    <w:p w14:paraId="6F249BC3"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Antoniadi T, Buxton C, Dennis G, Forrester N, Smith D, Lunt P, Burton-Jones S. 2015. Application of targeted multi-gene panel testing for the diagnosis of inherited peripheral neuropathy provides a high diagnostic yield with unexpected phenotype-genotype variability. </w:t>
      </w:r>
      <w:r w:rsidRPr="00123236">
        <w:rPr>
          <w:rFonts w:ascii="Arial" w:hAnsi="Arial" w:cs="Arial"/>
          <w:i/>
          <w:iCs/>
          <w:sz w:val="20"/>
        </w:rPr>
        <w:t>BMC Med Genet</w:t>
      </w:r>
      <w:r w:rsidRPr="00123236">
        <w:rPr>
          <w:rFonts w:ascii="Arial" w:hAnsi="Arial" w:cs="Arial"/>
          <w:sz w:val="20"/>
        </w:rPr>
        <w:t xml:space="preserve"> </w:t>
      </w:r>
      <w:r w:rsidRPr="00123236">
        <w:rPr>
          <w:rFonts w:ascii="Arial" w:hAnsi="Arial" w:cs="Arial"/>
          <w:b/>
          <w:bCs/>
          <w:sz w:val="20"/>
        </w:rPr>
        <w:t>16</w:t>
      </w:r>
      <w:r w:rsidRPr="00123236">
        <w:rPr>
          <w:rFonts w:ascii="Arial" w:hAnsi="Arial" w:cs="Arial"/>
          <w:sz w:val="20"/>
        </w:rPr>
        <w:t>:84. doi:10.1186/s12881-015-0224-8</w:t>
      </w:r>
    </w:p>
    <w:p w14:paraId="6A7884AB"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Bowling KM, Thompson ML, Amaral MD, Finnila CR, Hiatt SM, Engel KL, Cochran JN, Brothers KB, East KM, Gray DE, Kelley WV, Lamb NE, Lose EJ, Rich CA, Simmons S, Whittle JS, Weaver BT, </w:t>
      </w:r>
      <w:r w:rsidRPr="00123236">
        <w:rPr>
          <w:rFonts w:ascii="Arial" w:hAnsi="Arial" w:cs="Arial"/>
          <w:sz w:val="20"/>
        </w:rPr>
        <w:lastRenderedPageBreak/>
        <w:t xml:space="preserve">Nesmith AS, Myers RM, Barsh GS, Bebin EM, Cooper GM. 2017. Genomic diagnosis for children with intellectual disability and/or developmental delay. </w:t>
      </w:r>
      <w:r w:rsidRPr="00123236">
        <w:rPr>
          <w:rFonts w:ascii="Arial" w:hAnsi="Arial" w:cs="Arial"/>
          <w:i/>
          <w:iCs/>
          <w:sz w:val="20"/>
        </w:rPr>
        <w:t>Genome Med</w:t>
      </w:r>
      <w:r w:rsidRPr="00123236">
        <w:rPr>
          <w:rFonts w:ascii="Arial" w:hAnsi="Arial" w:cs="Arial"/>
          <w:sz w:val="20"/>
        </w:rPr>
        <w:t xml:space="preserve"> </w:t>
      </w:r>
      <w:r w:rsidRPr="00123236">
        <w:rPr>
          <w:rFonts w:ascii="Arial" w:hAnsi="Arial" w:cs="Arial"/>
          <w:b/>
          <w:bCs/>
          <w:sz w:val="20"/>
        </w:rPr>
        <w:t>9</w:t>
      </w:r>
      <w:r w:rsidRPr="00123236">
        <w:rPr>
          <w:rFonts w:ascii="Arial" w:hAnsi="Arial" w:cs="Arial"/>
          <w:sz w:val="20"/>
        </w:rPr>
        <w:t>:43. doi:10.1186/s13073-017-0433-1</w:t>
      </w:r>
    </w:p>
    <w:p w14:paraId="2C8685A4"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C Yuen RK, Merico D, Bookman M, L Howe J, Thiruvahindrapuram B, Patel RV, Whitney J, Deflaux N, Bingham J, Wang Z, Pellecchia G, Buchanan JA, Walker S, Marshall CR, Uddin M, Zarrei M, Deneault E, D’Abate L, Chan AJS, Koyanagi S, Paton T, Pereira SL, Hoang N, Engchuan W, Higginbotham EJ, Ho K, Lamoureux S, Li W, MacDonald JR, Nalpathamkalam T, Sung WWL, Tsoi FJ, Wei J, Xu L, Tasse A-M, Kirby E, Van Etten W, Twigger S, Roberts W, Drmic I, Jilderda S, Modi BM, Kellam B, Szego M, Cytrynbaum C, Weksberg R, Zwaigenbaum L, Woodbury-Smith M, Brian J, Senman L, Iaboni A, Doyle-Thomas K, Thompson A, Chrysler C, Leef J, Savion-Lemieux T, Smith IM, Liu X, Nicolson R, Seifer V, Fedele A, Cook EH, Dager S, Estes A, Gallagher L, Malow BA, Parr JR, Spence SJ, Vorstman J, Frey BJ, Robinson JT, Strug LJ, Fernandez BA, Elsabbagh M, Carter MT, Hallmayer J, Knoppers BM, Anagnostou E, Szatmari P, Ring RH, Glazer D, Pletcher MT, Scherer SW. 2017. Whole genome sequencing resource identifies 18 new candidate genes for autism spectrum disorder. </w:t>
      </w:r>
      <w:r w:rsidRPr="00123236">
        <w:rPr>
          <w:rFonts w:ascii="Arial" w:hAnsi="Arial" w:cs="Arial"/>
          <w:i/>
          <w:iCs/>
          <w:sz w:val="20"/>
        </w:rPr>
        <w:t>Nat Neurosci</w:t>
      </w:r>
      <w:r w:rsidRPr="00123236">
        <w:rPr>
          <w:rFonts w:ascii="Arial" w:hAnsi="Arial" w:cs="Arial"/>
          <w:sz w:val="20"/>
        </w:rPr>
        <w:t xml:space="preserve"> </w:t>
      </w:r>
      <w:r w:rsidRPr="00123236">
        <w:rPr>
          <w:rFonts w:ascii="Arial" w:hAnsi="Arial" w:cs="Arial"/>
          <w:b/>
          <w:bCs/>
          <w:sz w:val="20"/>
        </w:rPr>
        <w:t>20</w:t>
      </w:r>
      <w:r w:rsidRPr="00123236">
        <w:rPr>
          <w:rFonts w:ascii="Arial" w:hAnsi="Arial" w:cs="Arial"/>
          <w:sz w:val="20"/>
        </w:rPr>
        <w:t>:602–611. doi:10.1038/nn.4524</w:t>
      </w:r>
    </w:p>
    <w:p w14:paraId="3FC19F2C"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Fiorillo C, Moro F, Yi J, Weil S, Brisca G, Astrea G, Severino M, Romano A, Battini R, Rossi A, Minetti C, Bruno C, Santorelli FM, Vallee R. 2014. Novel dynein DYNC1H1 neck and motor domain mutations link distal spinal muscular atrophy and abnormal cortical development. </w:t>
      </w:r>
      <w:r w:rsidRPr="00123236">
        <w:rPr>
          <w:rFonts w:ascii="Arial" w:hAnsi="Arial" w:cs="Arial"/>
          <w:i/>
          <w:iCs/>
          <w:sz w:val="20"/>
        </w:rPr>
        <w:t>Hum Mutat</w:t>
      </w:r>
      <w:r w:rsidRPr="00123236">
        <w:rPr>
          <w:rFonts w:ascii="Arial" w:hAnsi="Arial" w:cs="Arial"/>
          <w:sz w:val="20"/>
        </w:rPr>
        <w:t xml:space="preserve"> </w:t>
      </w:r>
      <w:r w:rsidRPr="00123236">
        <w:rPr>
          <w:rFonts w:ascii="Arial" w:hAnsi="Arial" w:cs="Arial"/>
          <w:b/>
          <w:bCs/>
          <w:sz w:val="20"/>
        </w:rPr>
        <w:t>35</w:t>
      </w:r>
      <w:r w:rsidRPr="00123236">
        <w:rPr>
          <w:rFonts w:ascii="Arial" w:hAnsi="Arial" w:cs="Arial"/>
          <w:sz w:val="20"/>
        </w:rPr>
        <w:t>:298–302. doi:10.1002/humu.22491</w:t>
      </w:r>
    </w:p>
    <w:p w14:paraId="0204367A"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González-Morón D, Vishnopolska S, Consalvo D, Medina N, Marti M, Córdoba M, Vazquez-Dusefante C, Claverie S, Rodríguez-Quiroga SA, Vega P, Silva W, Kochen S, Kauffman MA. 2017. Germline and somatic mutations in cortical malformations: Molecular defects in Argentinean patients with neuronal migration disorders. </w:t>
      </w:r>
      <w:r w:rsidRPr="00123236">
        <w:rPr>
          <w:rFonts w:ascii="Arial" w:hAnsi="Arial" w:cs="Arial"/>
          <w:i/>
          <w:iCs/>
          <w:sz w:val="20"/>
        </w:rPr>
        <w:t>PLoS One</w:t>
      </w:r>
      <w:r w:rsidRPr="00123236">
        <w:rPr>
          <w:rFonts w:ascii="Arial" w:hAnsi="Arial" w:cs="Arial"/>
          <w:sz w:val="20"/>
        </w:rPr>
        <w:t xml:space="preserve"> </w:t>
      </w:r>
      <w:r w:rsidRPr="00123236">
        <w:rPr>
          <w:rFonts w:ascii="Arial" w:hAnsi="Arial" w:cs="Arial"/>
          <w:b/>
          <w:bCs/>
          <w:sz w:val="20"/>
        </w:rPr>
        <w:t>12</w:t>
      </w:r>
      <w:r w:rsidRPr="00123236">
        <w:rPr>
          <w:rFonts w:ascii="Arial" w:hAnsi="Arial" w:cs="Arial"/>
          <w:sz w:val="20"/>
        </w:rPr>
        <w:t>:e0185103. doi:10.1371/journal.pone.0185103</w:t>
      </w:r>
    </w:p>
    <w:p w14:paraId="76AA917A"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Hayashi S, Uehara DT, Tanimoto K, Mizuno S, Chinen Y, Fukumura S, Takanashi J-I, Osaka H, Okamoto N, Inazawa J. 2017. Comprehensive investigation of CASK mutations and other genetic etiologies in 41 patients with intellectual disability and microcephaly with pontine and cerebellar hypoplasia (MICPCH). </w:t>
      </w:r>
      <w:r w:rsidRPr="00123236">
        <w:rPr>
          <w:rFonts w:ascii="Arial" w:hAnsi="Arial" w:cs="Arial"/>
          <w:i/>
          <w:iCs/>
          <w:sz w:val="20"/>
        </w:rPr>
        <w:t>PLoS One</w:t>
      </w:r>
      <w:r w:rsidRPr="00123236">
        <w:rPr>
          <w:rFonts w:ascii="Arial" w:hAnsi="Arial" w:cs="Arial"/>
          <w:sz w:val="20"/>
        </w:rPr>
        <w:t xml:space="preserve"> </w:t>
      </w:r>
      <w:r w:rsidRPr="00123236">
        <w:rPr>
          <w:rFonts w:ascii="Arial" w:hAnsi="Arial" w:cs="Arial"/>
          <w:b/>
          <w:bCs/>
          <w:sz w:val="20"/>
        </w:rPr>
        <w:t>12</w:t>
      </w:r>
      <w:r w:rsidRPr="00123236">
        <w:rPr>
          <w:rFonts w:ascii="Arial" w:hAnsi="Arial" w:cs="Arial"/>
          <w:sz w:val="20"/>
        </w:rPr>
        <w:t>:e0181791. doi:10.1371/journal.pone.0181791</w:t>
      </w:r>
    </w:p>
    <w:p w14:paraId="089BE724"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Iossifov I, O’Roak BJ, Sanders SJ, Ronemus M, Krumm N, Levy D, Stessman HA, Witherspoon KT, Vives L, Patterson KE, Smith JD, Paeper B, Nickerson DA, Dea J, Dong S, Gonzalez LE, Mandell JD, Mane SM, Murtha MT, Sullivan CA, Walker MF, Waqar Z, Wei L, Willsey AJ, Yamrom B, Lee Y, Grabowska E, Dalkic E, Wang Z, Marks S, Andrews P, Leotta A, Kendall J, Hakker I, Rosenbaum J, Ma B, Rodgers L, Troge J, Narzisi G, Yoon S, Schatz MC, Ye K, McCombie WR, Shendure J, Eichler EE, State MW, Wigler M. 2014. The contribution of de novo coding mutations to autism spectrum disorder. </w:t>
      </w:r>
      <w:r w:rsidRPr="00123236">
        <w:rPr>
          <w:rFonts w:ascii="Arial" w:hAnsi="Arial" w:cs="Arial"/>
          <w:i/>
          <w:iCs/>
          <w:sz w:val="20"/>
        </w:rPr>
        <w:t>Nature</w:t>
      </w:r>
      <w:r w:rsidRPr="00123236">
        <w:rPr>
          <w:rFonts w:ascii="Arial" w:hAnsi="Arial" w:cs="Arial"/>
          <w:sz w:val="20"/>
        </w:rPr>
        <w:t xml:space="preserve"> </w:t>
      </w:r>
      <w:r w:rsidRPr="00123236">
        <w:rPr>
          <w:rFonts w:ascii="Arial" w:hAnsi="Arial" w:cs="Arial"/>
          <w:b/>
          <w:bCs/>
          <w:sz w:val="20"/>
        </w:rPr>
        <w:t>515</w:t>
      </w:r>
      <w:r w:rsidRPr="00123236">
        <w:rPr>
          <w:rFonts w:ascii="Arial" w:hAnsi="Arial" w:cs="Arial"/>
          <w:sz w:val="20"/>
        </w:rPr>
        <w:t>:216–221. doi:10.1038/nature13908</w:t>
      </w:r>
    </w:p>
    <w:p w14:paraId="5FFF172F"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Jamuar SS, Lam A-TN, Kircher M, D’Gama AM, Wang J, Barry BJ, Zhang X, Hill RS, Partlow JN, Rozzo A, Servattalab S, Mehta BK, Topcu M, Amrom D, Andermann E, Dan B, Parrini E, Guerrini R, Scheffer IE, Berkovic SF, Leventer RJ, Shen Y, Wu BL, Barkovich AJ, Sahin M, Chang BS, Bamshad M, Nickerson DA, Shendure J, Poduri A, Yu TW, Walsh CA. 2014. Somatic mutations in cerebral cortical malformations. </w:t>
      </w:r>
      <w:r w:rsidRPr="00123236">
        <w:rPr>
          <w:rFonts w:ascii="Arial" w:hAnsi="Arial" w:cs="Arial"/>
          <w:i/>
          <w:iCs/>
          <w:sz w:val="20"/>
        </w:rPr>
        <w:t>The New England journal of medicine</w:t>
      </w:r>
      <w:r w:rsidRPr="00123236">
        <w:rPr>
          <w:rFonts w:ascii="Arial" w:hAnsi="Arial" w:cs="Arial"/>
          <w:sz w:val="20"/>
        </w:rPr>
        <w:t xml:space="preserve"> </w:t>
      </w:r>
      <w:r w:rsidRPr="00123236">
        <w:rPr>
          <w:rFonts w:ascii="Arial" w:hAnsi="Arial" w:cs="Arial"/>
          <w:b/>
          <w:bCs/>
          <w:sz w:val="20"/>
        </w:rPr>
        <w:t>371</w:t>
      </w:r>
      <w:r w:rsidRPr="00123236">
        <w:rPr>
          <w:rFonts w:ascii="Arial" w:hAnsi="Arial" w:cs="Arial"/>
          <w:sz w:val="20"/>
        </w:rPr>
        <w:t>:733–743. doi:10.1056/NEJMoa1314432</w:t>
      </w:r>
    </w:p>
    <w:p w14:paraId="58294E60"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Laquerriere A, Maillard C, Cavallin M, Chapon F, Marguet F, Molin A, Sigaudy S, Blouet M, Benoist G, Fernandez C, Poirier K, Chelly J, Thomas S, Bahi-Buisson N. 2017. Neuropathological Hallmarks of Brain Malformations in Extreme Phenotypes Related to DYNC1H1 Mutations. </w:t>
      </w:r>
      <w:r w:rsidRPr="00123236">
        <w:rPr>
          <w:rFonts w:ascii="Arial" w:hAnsi="Arial" w:cs="Arial"/>
          <w:i/>
          <w:iCs/>
          <w:sz w:val="20"/>
        </w:rPr>
        <w:t>J Neuropathol Exp Neurol</w:t>
      </w:r>
      <w:r w:rsidRPr="00123236">
        <w:rPr>
          <w:rFonts w:ascii="Arial" w:hAnsi="Arial" w:cs="Arial"/>
          <w:sz w:val="20"/>
        </w:rPr>
        <w:t xml:space="preserve"> </w:t>
      </w:r>
      <w:r w:rsidRPr="00123236">
        <w:rPr>
          <w:rFonts w:ascii="Arial" w:hAnsi="Arial" w:cs="Arial"/>
          <w:b/>
          <w:bCs/>
          <w:sz w:val="20"/>
        </w:rPr>
        <w:t>76</w:t>
      </w:r>
      <w:r w:rsidRPr="00123236">
        <w:rPr>
          <w:rFonts w:ascii="Arial" w:hAnsi="Arial" w:cs="Arial"/>
          <w:sz w:val="20"/>
        </w:rPr>
        <w:t>:195–205. doi:10.1093/jnen/nlw124</w:t>
      </w:r>
    </w:p>
    <w:p w14:paraId="43B08CB8"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Meng L, Pammi M, Saronwala A, Magoulas P, Ghazi AR, Vetrini F, Zhang J, He W, Dharmadhikari AV, Qu C, Ward P, Braxton A, Narayanan S, Ge X, Tokita MJ, Santiago-Sim T, Dai H, Chiang T, Smith H, Azamian MS, Robak L, Bostwick BL, Schaaf CP, Potocki L, Scaglia F, Bacino CA, Hanchard NA, Wangler MF, Scott D, Brown C, Hu J, Belmont JW, Burrage LC, Graham BH, Sutton VR, Craigen WJ, Plon SE, Lupski JR, Beaudet AL, Gibbs RA, Muzny DM, Miller MJ, Wang X, Leduc MS, Xiao R, Liu P, Shaw C, Walkiewicz M, Bi W, Xia F, Lee B, Eng CM, Yang Y, Lalani SR. 2017. Use of Exome Sequencing for Infants in Intensive Care Units: Ascertainment of Severe Single-Gene Disorders and Effect on Medical Management. </w:t>
      </w:r>
      <w:r w:rsidRPr="00123236">
        <w:rPr>
          <w:rFonts w:ascii="Arial" w:hAnsi="Arial" w:cs="Arial"/>
          <w:i/>
          <w:iCs/>
          <w:sz w:val="20"/>
        </w:rPr>
        <w:t>JAMA Pediatr</w:t>
      </w:r>
      <w:r w:rsidRPr="00123236">
        <w:rPr>
          <w:rFonts w:ascii="Arial" w:hAnsi="Arial" w:cs="Arial"/>
          <w:sz w:val="20"/>
        </w:rPr>
        <w:t xml:space="preserve"> </w:t>
      </w:r>
      <w:r w:rsidRPr="00123236">
        <w:rPr>
          <w:rFonts w:ascii="Arial" w:hAnsi="Arial" w:cs="Arial"/>
          <w:b/>
          <w:bCs/>
          <w:sz w:val="20"/>
        </w:rPr>
        <w:t>171</w:t>
      </w:r>
      <w:r w:rsidRPr="00123236">
        <w:rPr>
          <w:rFonts w:ascii="Arial" w:hAnsi="Arial" w:cs="Arial"/>
          <w:sz w:val="20"/>
        </w:rPr>
        <w:t>:e173438. doi:10.1001/jamapediatrics.2017.3438</w:t>
      </w:r>
    </w:p>
    <w:p w14:paraId="6713527F"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Mineyko A, Doja A, Hurteau J, Dobyns WB, Das S, Boycott KM. 2010. A novel missense mutation in LIS1 in a child with subcortical band heterotopia and pachygyria inherited from his mildly affected mother with somatic mosaicism. </w:t>
      </w:r>
      <w:r w:rsidRPr="00123236">
        <w:rPr>
          <w:rFonts w:ascii="Arial" w:hAnsi="Arial" w:cs="Arial"/>
          <w:i/>
          <w:iCs/>
          <w:sz w:val="20"/>
        </w:rPr>
        <w:t>J Child Neurol</w:t>
      </w:r>
      <w:r w:rsidRPr="00123236">
        <w:rPr>
          <w:rFonts w:ascii="Arial" w:hAnsi="Arial" w:cs="Arial"/>
          <w:sz w:val="20"/>
        </w:rPr>
        <w:t xml:space="preserve"> </w:t>
      </w:r>
      <w:r w:rsidRPr="00123236">
        <w:rPr>
          <w:rFonts w:ascii="Arial" w:hAnsi="Arial" w:cs="Arial"/>
          <w:b/>
          <w:bCs/>
          <w:sz w:val="20"/>
        </w:rPr>
        <w:t>25</w:t>
      </w:r>
      <w:r w:rsidRPr="00123236">
        <w:rPr>
          <w:rFonts w:ascii="Arial" w:hAnsi="Arial" w:cs="Arial"/>
          <w:sz w:val="20"/>
        </w:rPr>
        <w:t>:738–741. doi:10.1177/0883073809343312</w:t>
      </w:r>
    </w:p>
    <w:p w14:paraId="6B50C24D"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Poirier K, Lebrun N, Broix L, Tian G, Saillour Y, Boscheron C, Parrini E, Valence S, Pierre BS, Oger M, Lacombe D, Geneviève D, Fontana E, Darra F, Cances C, Barth M, Bonneau D, Bernadina BD, N’Guyen S, Gitiaux C, Parent P, des Portes V, Pedespan JM, Legrez V, Castelnau-Ptakine L, Nitschke P, Hieu T, Masson C, Zelenika D, Andrieux A, Francis F, Guerrini R, Cowan NJ, Bahi-Buisson N, Chelly J. 2013. Mutations in TUBG1, DYNC1H1, KIF5C and KIF2A cause malformations of cortical development and microcephaly. </w:t>
      </w:r>
      <w:r w:rsidRPr="00123236">
        <w:rPr>
          <w:rFonts w:ascii="Arial" w:hAnsi="Arial" w:cs="Arial"/>
          <w:i/>
          <w:iCs/>
          <w:sz w:val="20"/>
        </w:rPr>
        <w:t>Nature genetics</w:t>
      </w:r>
      <w:r w:rsidRPr="00123236">
        <w:rPr>
          <w:rFonts w:ascii="Arial" w:hAnsi="Arial" w:cs="Arial"/>
          <w:sz w:val="20"/>
        </w:rPr>
        <w:t xml:space="preserve"> </w:t>
      </w:r>
      <w:r w:rsidRPr="00123236">
        <w:rPr>
          <w:rFonts w:ascii="Arial" w:hAnsi="Arial" w:cs="Arial"/>
          <w:b/>
          <w:bCs/>
          <w:sz w:val="20"/>
        </w:rPr>
        <w:t>45</w:t>
      </w:r>
      <w:r w:rsidRPr="00123236">
        <w:rPr>
          <w:rFonts w:ascii="Arial" w:hAnsi="Arial" w:cs="Arial"/>
          <w:sz w:val="20"/>
        </w:rPr>
        <w:t>:639–647. doi:10.1038/ng.2613</w:t>
      </w:r>
    </w:p>
    <w:p w14:paraId="143B00F5"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Saillour Y, Carion N, Quelin C, Leger P-L, Boddaert N, Elie C, Toutain A, Mercier S, Barthez MA, Milh M, Joriot S, des Portes V, Philip N, Broglin D, Roubertie A, Pitelet G, Moutard ML, Pinard JM, Cances C, Kaminska A, Chelly J, Beldjord C, Bahi-Buisson N. 2009. LIS1-related isolated lissencephaly: spectrum of mutations and relationships with malformation severity. </w:t>
      </w:r>
      <w:r w:rsidRPr="00123236">
        <w:rPr>
          <w:rFonts w:ascii="Arial" w:hAnsi="Arial" w:cs="Arial"/>
          <w:i/>
          <w:iCs/>
          <w:sz w:val="20"/>
        </w:rPr>
        <w:t>Arch Neurol</w:t>
      </w:r>
      <w:r w:rsidRPr="00123236">
        <w:rPr>
          <w:rFonts w:ascii="Arial" w:hAnsi="Arial" w:cs="Arial"/>
          <w:sz w:val="20"/>
        </w:rPr>
        <w:t xml:space="preserve"> </w:t>
      </w:r>
      <w:r w:rsidRPr="00123236">
        <w:rPr>
          <w:rFonts w:ascii="Arial" w:hAnsi="Arial" w:cs="Arial"/>
          <w:b/>
          <w:bCs/>
          <w:sz w:val="20"/>
        </w:rPr>
        <w:t>66</w:t>
      </w:r>
      <w:r w:rsidRPr="00123236">
        <w:rPr>
          <w:rFonts w:ascii="Arial" w:hAnsi="Arial" w:cs="Arial"/>
          <w:sz w:val="20"/>
        </w:rPr>
        <w:t>:1007–1015. doi:10.1001/archneurol.2009.149</w:t>
      </w:r>
    </w:p>
    <w:p w14:paraId="36A06995"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Scoto M, Rossor AM, Harms MB, Cirak S, Calissano M, Robb S, Manzur AY, Martínez Arroyo A, Rodriguez Sanz A, Mansour S, Fallon P, Hadjikoumi I, Klein A, Yang M, De Visser M, Overweg-Plandsoen WCGT, Baas F, Taylor JP, Benatar M, Connolly AM, Al-Lozi MT, Nixon J, de Goede CGEL, Foley AR, Mcwilliam C, Pitt M, Sewry C, Phadke R, Hafezparast M, Chong WKK, Mercuri E, Baloh RH, Reilly MM, Muntoni F. 2015. Novel mutations expand the clinical spectrum of DYNC1H1-associated spinal muscular atrophy. </w:t>
      </w:r>
      <w:r w:rsidRPr="00123236">
        <w:rPr>
          <w:rFonts w:ascii="Arial" w:hAnsi="Arial" w:cs="Arial"/>
          <w:i/>
          <w:iCs/>
          <w:sz w:val="20"/>
        </w:rPr>
        <w:t>Neurology</w:t>
      </w:r>
      <w:r w:rsidRPr="00123236">
        <w:rPr>
          <w:rFonts w:ascii="Arial" w:hAnsi="Arial" w:cs="Arial"/>
          <w:sz w:val="20"/>
        </w:rPr>
        <w:t xml:space="preserve"> </w:t>
      </w:r>
      <w:r w:rsidRPr="00123236">
        <w:rPr>
          <w:rFonts w:ascii="Arial" w:hAnsi="Arial" w:cs="Arial"/>
          <w:b/>
          <w:bCs/>
          <w:sz w:val="20"/>
        </w:rPr>
        <w:t>84</w:t>
      </w:r>
      <w:r w:rsidRPr="00123236">
        <w:rPr>
          <w:rFonts w:ascii="Arial" w:hAnsi="Arial" w:cs="Arial"/>
          <w:sz w:val="20"/>
        </w:rPr>
        <w:t>:668–679. doi:10.1212/WNL.0000000000001269</w:t>
      </w:r>
    </w:p>
    <w:p w14:paraId="42FF43E8"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Torres FR, Montenegro MA, Marques-De-Faria AP, Guerreiro MM, Cendes F, Lopes-Cendes I. 2004. Mutation screening in a cohort of patients with lissencephaly and subcortical band heterotopia. </w:t>
      </w:r>
      <w:r w:rsidRPr="00123236">
        <w:rPr>
          <w:rFonts w:ascii="Arial" w:hAnsi="Arial" w:cs="Arial"/>
          <w:i/>
          <w:iCs/>
          <w:sz w:val="20"/>
        </w:rPr>
        <w:t>Neurology</w:t>
      </w:r>
      <w:r w:rsidRPr="00123236">
        <w:rPr>
          <w:rFonts w:ascii="Arial" w:hAnsi="Arial" w:cs="Arial"/>
          <w:sz w:val="20"/>
        </w:rPr>
        <w:t xml:space="preserve"> </w:t>
      </w:r>
      <w:r w:rsidRPr="00123236">
        <w:rPr>
          <w:rFonts w:ascii="Arial" w:hAnsi="Arial" w:cs="Arial"/>
          <w:b/>
          <w:bCs/>
          <w:sz w:val="20"/>
        </w:rPr>
        <w:t>62</w:t>
      </w:r>
      <w:r w:rsidRPr="00123236">
        <w:rPr>
          <w:rFonts w:ascii="Arial" w:hAnsi="Arial" w:cs="Arial"/>
          <w:sz w:val="20"/>
        </w:rPr>
        <w:t>:799–802. doi:10.1212/01.wnl.0000113725.46254.fd</w:t>
      </w:r>
    </w:p>
    <w:p w14:paraId="55DCFFC2"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Trujillano D, Bertoli-Avella AM, Kumar Kandaswamy K, Weiss ME, Köster J, Marais A, Paknia O, Schröder R, Garcia-Aznar JM, Werber M, Brandau O, Calvo Del Castillo M, Baldi C, Wessel K, Kishore S, Nahavandi N, Eyaid W, Al Rifai MT, Al-Rumayyan A, Al-Twaijri W, Alothaim A, Alhashem A, Al-Sannaa N, Al-Balwi M, Alfadhel M, Rolfs A, Abou Jamra R. 2017. Clinical exome sequencing: results from 2819 samples reflecting 1000 families. </w:t>
      </w:r>
      <w:r w:rsidRPr="00123236">
        <w:rPr>
          <w:rFonts w:ascii="Arial" w:hAnsi="Arial" w:cs="Arial"/>
          <w:i/>
          <w:iCs/>
          <w:sz w:val="20"/>
        </w:rPr>
        <w:t>Eur J Hum Genet</w:t>
      </w:r>
      <w:r w:rsidRPr="00123236">
        <w:rPr>
          <w:rFonts w:ascii="Arial" w:hAnsi="Arial" w:cs="Arial"/>
          <w:sz w:val="20"/>
        </w:rPr>
        <w:t xml:space="preserve"> </w:t>
      </w:r>
      <w:r w:rsidRPr="00123236">
        <w:rPr>
          <w:rFonts w:ascii="Arial" w:hAnsi="Arial" w:cs="Arial"/>
          <w:b/>
          <w:bCs/>
          <w:sz w:val="20"/>
        </w:rPr>
        <w:t>25</w:t>
      </w:r>
      <w:r w:rsidRPr="00123236">
        <w:rPr>
          <w:rFonts w:ascii="Arial" w:hAnsi="Arial" w:cs="Arial"/>
          <w:sz w:val="20"/>
        </w:rPr>
        <w:t>:176–182. doi:10.1038/ejhg.2016.146</w:t>
      </w:r>
    </w:p>
    <w:p w14:paraId="1A4CA592"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Uyanik G, Morris-Rosendahl DJ, Stiegler J, Klapecki J, Gross C, Berman Y, Martin P, Dey L, Spranger S, Korenke GC, Schreyer I, Hertzberg C, Neumann TE, Burkart P, Spaich C, Meng M, Holthausen H, Adès L, Seidel J, Mangold E, Buyse G, Meinecke P, Schara U, Zeschnigk C, Muller D, Helland G, Schulze B, Wright ML, Kortge-Jung S, Hehr A, Bogdahn U, Schuierer G, Kohlhase J, Aigner L, Wolff G, Hehr U, Winkler J. 2007. Location and type of mutation in the LIS1 gene do not predict phenotypic severity. </w:t>
      </w:r>
      <w:r w:rsidRPr="00123236">
        <w:rPr>
          <w:rFonts w:ascii="Arial" w:hAnsi="Arial" w:cs="Arial"/>
          <w:i/>
          <w:iCs/>
          <w:sz w:val="20"/>
        </w:rPr>
        <w:t>Neurology</w:t>
      </w:r>
      <w:r w:rsidRPr="00123236">
        <w:rPr>
          <w:rFonts w:ascii="Arial" w:hAnsi="Arial" w:cs="Arial"/>
          <w:sz w:val="20"/>
        </w:rPr>
        <w:t xml:space="preserve"> </w:t>
      </w:r>
      <w:r w:rsidRPr="00123236">
        <w:rPr>
          <w:rFonts w:ascii="Arial" w:hAnsi="Arial" w:cs="Arial"/>
          <w:b/>
          <w:bCs/>
          <w:sz w:val="20"/>
        </w:rPr>
        <w:t>69</w:t>
      </w:r>
      <w:r w:rsidRPr="00123236">
        <w:rPr>
          <w:rFonts w:ascii="Arial" w:hAnsi="Arial" w:cs="Arial"/>
          <w:sz w:val="20"/>
        </w:rPr>
        <w:t>:442–447. doi:10.1212/01.wnl.0000266629.98503.d0</w:t>
      </w:r>
    </w:p>
    <w:p w14:paraId="0978A1B1"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Vissers LELM, de Ligt J, Gilissen C, Janssen I, Steehouwer M, de Vries P, van Lier B, Arts P, Wieskamp N, del Rosario M, van Bon BWM, Hoischen A, de Vries BBA, Brunner HG, Veltman JA. 2010. A de novo paradigm for mental retardation. </w:t>
      </w:r>
      <w:r w:rsidRPr="00123236">
        <w:rPr>
          <w:rFonts w:ascii="Arial" w:hAnsi="Arial" w:cs="Arial"/>
          <w:i/>
          <w:iCs/>
          <w:sz w:val="20"/>
        </w:rPr>
        <w:t>Nat Genet</w:t>
      </w:r>
      <w:r w:rsidRPr="00123236">
        <w:rPr>
          <w:rFonts w:ascii="Arial" w:hAnsi="Arial" w:cs="Arial"/>
          <w:sz w:val="20"/>
        </w:rPr>
        <w:t xml:space="preserve"> </w:t>
      </w:r>
      <w:r w:rsidRPr="00123236">
        <w:rPr>
          <w:rFonts w:ascii="Arial" w:hAnsi="Arial" w:cs="Arial"/>
          <w:b/>
          <w:bCs/>
          <w:sz w:val="20"/>
        </w:rPr>
        <w:t>42</w:t>
      </w:r>
      <w:r w:rsidRPr="00123236">
        <w:rPr>
          <w:rFonts w:ascii="Arial" w:hAnsi="Arial" w:cs="Arial"/>
          <w:sz w:val="20"/>
        </w:rPr>
        <w:t>:1109–1112. doi:10.1038/ng.712</w:t>
      </w:r>
    </w:p>
    <w:p w14:paraId="73DFB9FF"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Zhu X, Petrovski S, Xie P, Ruzzo EK, Lu Y-F, McSweeney KM, Ben-Zeev B, Nissenkorn A, Anikster Y, Oz-Levi D, Dhindsa RS, Hitomi Y, Schoch K, Spillmann RC, Heimer G, Marek-Yagel D, Tzadok M, Han Y, Worley G, Goldstein J, Jiang Y-H, Lancet D, Pras E, Shashi V, McHale D, Need AC, Goldstein DB. 2015. Whole-exome sequencing in undiagnosed genetic diseases: interpreting 119 trios. </w:t>
      </w:r>
      <w:r w:rsidRPr="00123236">
        <w:rPr>
          <w:rFonts w:ascii="Arial" w:hAnsi="Arial" w:cs="Arial"/>
          <w:i/>
          <w:iCs/>
          <w:sz w:val="20"/>
        </w:rPr>
        <w:t>Genet Med</w:t>
      </w:r>
      <w:r w:rsidRPr="00123236">
        <w:rPr>
          <w:rFonts w:ascii="Arial" w:hAnsi="Arial" w:cs="Arial"/>
          <w:sz w:val="20"/>
        </w:rPr>
        <w:t xml:space="preserve"> </w:t>
      </w:r>
      <w:r w:rsidRPr="00123236">
        <w:rPr>
          <w:rFonts w:ascii="Arial" w:hAnsi="Arial" w:cs="Arial"/>
          <w:b/>
          <w:bCs/>
          <w:sz w:val="20"/>
        </w:rPr>
        <w:t>17</w:t>
      </w:r>
      <w:r w:rsidRPr="00123236">
        <w:rPr>
          <w:rFonts w:ascii="Arial" w:hAnsi="Arial" w:cs="Arial"/>
          <w:sz w:val="20"/>
        </w:rPr>
        <w:t>:774–781. doi:10.1038/gim.2014.191</w:t>
      </w:r>
    </w:p>
    <w:p w14:paraId="68EF5C67" w14:textId="77777777" w:rsidR="00123236" w:rsidRPr="00123236" w:rsidRDefault="00123236" w:rsidP="00BC48B9">
      <w:pPr>
        <w:pStyle w:val="Bibliography"/>
        <w:jc w:val="both"/>
        <w:rPr>
          <w:rFonts w:ascii="Arial" w:hAnsi="Arial" w:cs="Arial"/>
          <w:sz w:val="20"/>
        </w:rPr>
      </w:pPr>
      <w:r w:rsidRPr="00123236">
        <w:rPr>
          <w:rFonts w:ascii="Arial" w:hAnsi="Arial" w:cs="Arial"/>
          <w:sz w:val="20"/>
        </w:rPr>
        <w:t xml:space="preserve">Zillhardt JL, Poirier K, Broix L, Lebrun N, Elmorjani A, Martinovic J, Saillour Y, Muraca G, Nectoux J, Bessieres B, Fallet-Bianco C, Lyonnet S, Dulac O, Odent S, Rejeb I, Ben Jemaa L, Rivier F, Pinson L, Geneviève D, Musizzano Y, Bigi N, Leboucq N, Giuliano F, Philip N, Vilain C, Van Bogaert P, Maurey H, Beldjord C, Artiguenave F, Boland A, Olaso R, Masson C, Nitschké P, Deleuze J-F, Bahi-Buisson N, Chelly J. 2016. Mosaic parental germline mutations causing recurrent forms of malformations of cortical development. </w:t>
      </w:r>
      <w:r w:rsidRPr="00123236">
        <w:rPr>
          <w:rFonts w:ascii="Arial" w:hAnsi="Arial" w:cs="Arial"/>
          <w:i/>
          <w:iCs/>
          <w:sz w:val="20"/>
        </w:rPr>
        <w:t>Eur J Hum Genet</w:t>
      </w:r>
      <w:r w:rsidRPr="00123236">
        <w:rPr>
          <w:rFonts w:ascii="Arial" w:hAnsi="Arial" w:cs="Arial"/>
          <w:sz w:val="20"/>
        </w:rPr>
        <w:t xml:space="preserve"> </w:t>
      </w:r>
      <w:r w:rsidRPr="00123236">
        <w:rPr>
          <w:rFonts w:ascii="Arial" w:hAnsi="Arial" w:cs="Arial"/>
          <w:b/>
          <w:bCs/>
          <w:sz w:val="20"/>
        </w:rPr>
        <w:t>24</w:t>
      </w:r>
      <w:r w:rsidRPr="00123236">
        <w:rPr>
          <w:rFonts w:ascii="Arial" w:hAnsi="Arial" w:cs="Arial"/>
          <w:sz w:val="20"/>
        </w:rPr>
        <w:t>:611–614. doi:10.1038/ejhg.2015.192</w:t>
      </w:r>
    </w:p>
    <w:p w14:paraId="7DC0A4C2" w14:textId="68309E13" w:rsidR="00E737B1" w:rsidRPr="00DE6390" w:rsidRDefault="00123236" w:rsidP="00BC48B9">
      <w:pPr>
        <w:jc w:val="both"/>
        <w:rPr>
          <w:rFonts w:ascii="Arial" w:hAnsi="Arial" w:cs="Arial"/>
          <w:sz w:val="20"/>
          <w:szCs w:val="20"/>
        </w:rPr>
      </w:pPr>
      <w:r>
        <w:rPr>
          <w:rFonts w:ascii="Arial" w:hAnsi="Arial" w:cs="Arial"/>
          <w:sz w:val="20"/>
          <w:szCs w:val="20"/>
        </w:rPr>
        <w:fldChar w:fldCharType="end"/>
      </w:r>
    </w:p>
    <w:sectPr w:rsidR="00E737B1" w:rsidRPr="00DE6390" w:rsidSect="00FD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B1"/>
    <w:rsid w:val="0001554E"/>
    <w:rsid w:val="00016B08"/>
    <w:rsid w:val="00022AEA"/>
    <w:rsid w:val="000442F8"/>
    <w:rsid w:val="00072671"/>
    <w:rsid w:val="0007772B"/>
    <w:rsid w:val="000D4B8C"/>
    <w:rsid w:val="000E3066"/>
    <w:rsid w:val="00117DE7"/>
    <w:rsid w:val="001200DA"/>
    <w:rsid w:val="00123236"/>
    <w:rsid w:val="001623E5"/>
    <w:rsid w:val="00181A6D"/>
    <w:rsid w:val="001A3347"/>
    <w:rsid w:val="001F2B04"/>
    <w:rsid w:val="001F6174"/>
    <w:rsid w:val="002042AB"/>
    <w:rsid w:val="00216E96"/>
    <w:rsid w:val="00222390"/>
    <w:rsid w:val="00233146"/>
    <w:rsid w:val="00241DB3"/>
    <w:rsid w:val="00246AB1"/>
    <w:rsid w:val="002563EC"/>
    <w:rsid w:val="0029080B"/>
    <w:rsid w:val="002A19D4"/>
    <w:rsid w:val="002A2D3F"/>
    <w:rsid w:val="002B0D7F"/>
    <w:rsid w:val="002C4421"/>
    <w:rsid w:val="002D788A"/>
    <w:rsid w:val="002E6A03"/>
    <w:rsid w:val="00300613"/>
    <w:rsid w:val="00353F65"/>
    <w:rsid w:val="00356BCE"/>
    <w:rsid w:val="0037453B"/>
    <w:rsid w:val="003B4567"/>
    <w:rsid w:val="003D71C1"/>
    <w:rsid w:val="003F6DE8"/>
    <w:rsid w:val="00463C89"/>
    <w:rsid w:val="00472966"/>
    <w:rsid w:val="00493D79"/>
    <w:rsid w:val="004D2F72"/>
    <w:rsid w:val="004D4945"/>
    <w:rsid w:val="004E0B3D"/>
    <w:rsid w:val="0051210B"/>
    <w:rsid w:val="005848CB"/>
    <w:rsid w:val="00592A84"/>
    <w:rsid w:val="005A5CC5"/>
    <w:rsid w:val="005D7B28"/>
    <w:rsid w:val="005F5BE0"/>
    <w:rsid w:val="00603D4B"/>
    <w:rsid w:val="00625AE2"/>
    <w:rsid w:val="00643E49"/>
    <w:rsid w:val="00646AE6"/>
    <w:rsid w:val="00690174"/>
    <w:rsid w:val="0069182E"/>
    <w:rsid w:val="00694BA6"/>
    <w:rsid w:val="006C6867"/>
    <w:rsid w:val="006F166E"/>
    <w:rsid w:val="00741438"/>
    <w:rsid w:val="00743AA5"/>
    <w:rsid w:val="00767807"/>
    <w:rsid w:val="007849EA"/>
    <w:rsid w:val="00787681"/>
    <w:rsid w:val="007B33C0"/>
    <w:rsid w:val="007C0D4C"/>
    <w:rsid w:val="007D12B5"/>
    <w:rsid w:val="00870C8E"/>
    <w:rsid w:val="008740E1"/>
    <w:rsid w:val="008855CA"/>
    <w:rsid w:val="008C65F9"/>
    <w:rsid w:val="008E3AD5"/>
    <w:rsid w:val="008F6B2D"/>
    <w:rsid w:val="0092283B"/>
    <w:rsid w:val="00924B88"/>
    <w:rsid w:val="0096173D"/>
    <w:rsid w:val="009854AC"/>
    <w:rsid w:val="009A0E02"/>
    <w:rsid w:val="009C3AA9"/>
    <w:rsid w:val="009D37C8"/>
    <w:rsid w:val="00A63014"/>
    <w:rsid w:val="00A80EF2"/>
    <w:rsid w:val="00AA2F9E"/>
    <w:rsid w:val="00AB0029"/>
    <w:rsid w:val="00AB1D60"/>
    <w:rsid w:val="00AB2F5C"/>
    <w:rsid w:val="00AB4D56"/>
    <w:rsid w:val="00AC1424"/>
    <w:rsid w:val="00B57583"/>
    <w:rsid w:val="00BA1EB7"/>
    <w:rsid w:val="00BB3440"/>
    <w:rsid w:val="00BC48B9"/>
    <w:rsid w:val="00BE5EC4"/>
    <w:rsid w:val="00C04349"/>
    <w:rsid w:val="00C47045"/>
    <w:rsid w:val="00C6391B"/>
    <w:rsid w:val="00CC3E3C"/>
    <w:rsid w:val="00CD7F74"/>
    <w:rsid w:val="00D05021"/>
    <w:rsid w:val="00D30F7D"/>
    <w:rsid w:val="00D5117D"/>
    <w:rsid w:val="00D52A44"/>
    <w:rsid w:val="00D5593E"/>
    <w:rsid w:val="00D666C1"/>
    <w:rsid w:val="00D808E4"/>
    <w:rsid w:val="00D970BF"/>
    <w:rsid w:val="00DE6390"/>
    <w:rsid w:val="00DF0E85"/>
    <w:rsid w:val="00E1179B"/>
    <w:rsid w:val="00E22EAD"/>
    <w:rsid w:val="00E4119E"/>
    <w:rsid w:val="00E65A0B"/>
    <w:rsid w:val="00E72F23"/>
    <w:rsid w:val="00E737B1"/>
    <w:rsid w:val="00E82E92"/>
    <w:rsid w:val="00E82FE4"/>
    <w:rsid w:val="00E92B8D"/>
    <w:rsid w:val="00E95061"/>
    <w:rsid w:val="00F22F3C"/>
    <w:rsid w:val="00F31047"/>
    <w:rsid w:val="00F514BE"/>
    <w:rsid w:val="00F53324"/>
    <w:rsid w:val="00F673D8"/>
    <w:rsid w:val="00F82C8B"/>
    <w:rsid w:val="00FD0165"/>
    <w:rsid w:val="00FF5D1E"/>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A6030"/>
  <w15:chartTrackingRefBased/>
  <w15:docId w15:val="{71892193-EA9C-834D-86AE-552F9D40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2323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19332</Words>
  <Characters>110195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Leschziner, Andres</dc:creator>
  <cp:keywords/>
  <dc:description/>
  <cp:lastModifiedBy>Leschziner, Andres</cp:lastModifiedBy>
  <cp:revision>83</cp:revision>
  <dcterms:created xsi:type="dcterms:W3CDTF">2022-12-02T20:21:00Z</dcterms:created>
  <dcterms:modified xsi:type="dcterms:W3CDTF">2022-12-23T17:21:00Z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zotero-version="6.0.19-beta.6+3d8bbb3e5"&gt;&lt;session id="y8jMc3XH"/&gt;&lt;style id="http://www.zotero.org/styles/elife" hasBibliography="1" bibliographyStyleHasBeenSet="1"/&gt;&lt;prefs&gt;&lt;pref name="fieldType" value="Field"/&gt;&lt;/prefs&gt;&lt;/data&gt;</vt:lpwstr>
  </property>
</Properties>
</file>