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0" w:line="227" w:lineRule="auto"/>
        <w:jc w:val="center"/>
        <w:rPr>
          <w:rFonts w:ascii="Noto Sans" w:cs="Noto Sans" w:eastAsia="Noto Sans" w:hAnsi="Noto Sans"/>
          <w:b w:val="1"/>
          <w:sz w:val="26"/>
          <w:szCs w:val="26"/>
          <w:u w:val="single"/>
        </w:rPr>
      </w:pPr>
      <w:r w:rsidDel="00000000" w:rsidR="00000000" w:rsidRPr="00000000">
        <w:rPr>
          <w:rtl w:val="0"/>
        </w:rPr>
      </w:r>
    </w:p>
    <w:p w:rsidR="00000000" w:rsidDel="00000000" w:rsidP="00000000" w:rsidRDefault="00000000" w:rsidRPr="00000000" w14:paraId="00000002">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u w:val="single"/>
          <w:rtl w:val="0"/>
        </w:rPr>
        <w:t xml:space="preserve">M</w:t>
      </w:r>
      <w:r w:rsidDel="00000000" w:rsidR="00000000" w:rsidRPr="00000000">
        <w:rPr>
          <w:rFonts w:ascii="Noto Sans" w:cs="Noto Sans" w:eastAsia="Noto Sans" w:hAnsi="Noto Sans"/>
          <w:b w:val="1"/>
          <w:sz w:val="26"/>
          <w:szCs w:val="26"/>
          <w:rtl w:val="0"/>
        </w:rPr>
        <w:t xml:space="preserve">aterials </w:t>
      </w:r>
      <w:r w:rsidDel="00000000" w:rsidR="00000000" w:rsidRPr="00000000">
        <w:rPr>
          <w:rFonts w:ascii="Noto Sans" w:cs="Noto Sans" w:eastAsia="Noto Sans" w:hAnsi="Noto Sans"/>
          <w:b w:val="1"/>
          <w:sz w:val="26"/>
          <w:szCs w:val="26"/>
          <w:u w:val="single"/>
          <w:rtl w:val="0"/>
        </w:rPr>
        <w:t xml:space="preserve">D</w:t>
      </w:r>
      <w:r w:rsidDel="00000000" w:rsidR="00000000" w:rsidRPr="00000000">
        <w:rPr>
          <w:rFonts w:ascii="Noto Sans" w:cs="Noto Sans" w:eastAsia="Noto Sans" w:hAnsi="Noto Sans"/>
          <w:b w:val="1"/>
          <w:sz w:val="26"/>
          <w:szCs w:val="26"/>
          <w:rtl w:val="0"/>
        </w:rPr>
        <w:t xml:space="preserve">esign </w:t>
      </w:r>
      <w:r w:rsidDel="00000000" w:rsidR="00000000" w:rsidRPr="00000000">
        <w:rPr>
          <w:rFonts w:ascii="Noto Sans" w:cs="Noto Sans" w:eastAsia="Noto Sans" w:hAnsi="Noto Sans"/>
          <w:b w:val="1"/>
          <w:sz w:val="26"/>
          <w:szCs w:val="26"/>
          <w:u w:val="single"/>
          <w:rtl w:val="0"/>
        </w:rPr>
        <w:t xml:space="preserve">A</w:t>
      </w:r>
      <w:r w:rsidDel="00000000" w:rsidR="00000000" w:rsidRPr="00000000">
        <w:rPr>
          <w:rFonts w:ascii="Noto Sans" w:cs="Noto Sans" w:eastAsia="Noto Sans" w:hAnsi="Noto Sans"/>
          <w:b w:val="1"/>
          <w:sz w:val="26"/>
          <w:szCs w:val="26"/>
          <w:rtl w:val="0"/>
        </w:rPr>
        <w:t xml:space="preserve">nalysis </w:t>
      </w:r>
      <w:r w:rsidDel="00000000" w:rsidR="00000000" w:rsidRPr="00000000">
        <w:rPr>
          <w:rFonts w:ascii="Noto Sans" w:cs="Noto Sans" w:eastAsia="Noto Sans" w:hAnsi="Noto Sans"/>
          <w:b w:val="1"/>
          <w:sz w:val="26"/>
          <w:szCs w:val="26"/>
          <w:u w:val="single"/>
          <w:rtl w:val="0"/>
        </w:rPr>
        <w:t xml:space="preserve">R</w:t>
      </w:r>
      <w:r w:rsidDel="00000000" w:rsidR="00000000" w:rsidRPr="00000000">
        <w:rPr>
          <w:rFonts w:ascii="Noto Sans" w:cs="Noto Sans" w:eastAsia="Noto Sans" w:hAnsi="Noto Sans"/>
          <w:b w:val="1"/>
          <w:sz w:val="26"/>
          <w:szCs w:val="26"/>
          <w:rtl w:val="0"/>
        </w:rPr>
        <w:t xml:space="preserve">eporting (MDAR)</w:t>
      </w:r>
    </w:p>
    <w:p w:rsidR="00000000" w:rsidDel="00000000" w:rsidP="00000000" w:rsidRDefault="00000000" w:rsidRPr="00000000" w14:paraId="00000003">
      <w:pPr>
        <w:spacing w:before="60" w:line="227" w:lineRule="auto"/>
        <w:jc w:val="center"/>
        <w:rPr>
          <w:rFonts w:ascii="Noto Sans" w:cs="Noto Sans" w:eastAsia="Noto Sans" w:hAnsi="Noto Sans"/>
          <w:b w:val="1"/>
          <w:sz w:val="26"/>
          <w:szCs w:val="26"/>
        </w:rPr>
      </w:pPr>
      <w:r w:rsidDel="00000000" w:rsidR="00000000" w:rsidRPr="00000000">
        <w:rPr>
          <w:rFonts w:ascii="Noto Sans" w:cs="Noto Sans" w:eastAsia="Noto Sans" w:hAnsi="Noto Sans"/>
          <w:b w:val="1"/>
          <w:sz w:val="26"/>
          <w:szCs w:val="26"/>
          <w:rtl w:val="0"/>
        </w:rPr>
        <w:t xml:space="preserve">Checklist for Authors</w:t>
      </w:r>
    </w:p>
    <w:p w:rsidR="00000000" w:rsidDel="00000000" w:rsidP="00000000" w:rsidRDefault="00000000" w:rsidRPr="00000000" w14:paraId="00000004">
      <w:pPr>
        <w:rPr>
          <w:rFonts w:ascii="Noto Sans" w:cs="Noto Sans" w:eastAsia="Noto Sans" w:hAnsi="Noto Sans"/>
          <w:sz w:val="20"/>
          <w:szCs w:val="20"/>
        </w:rPr>
      </w:pPr>
      <w:r w:rsidDel="00000000" w:rsidR="00000000" w:rsidRPr="00000000">
        <w:rPr>
          <w:rtl w:val="0"/>
        </w:rPr>
      </w:r>
    </w:p>
    <w:p w:rsidR="00000000" w:rsidDel="00000000" w:rsidP="00000000" w:rsidRDefault="00000000" w:rsidRPr="00000000" w14:paraId="00000005">
      <w:pPr>
        <w:rPr>
          <w:rFonts w:ascii="Noto Sans" w:cs="Noto Sans" w:eastAsia="Noto Sans" w:hAnsi="Noto Sans"/>
          <w:sz w:val="20"/>
          <w:szCs w:val="20"/>
        </w:rPr>
      </w:pPr>
      <w:r w:rsidDel="00000000" w:rsidR="00000000" w:rsidRPr="00000000">
        <w:rPr>
          <w:rFonts w:ascii="Noto Sans" w:cs="Noto Sans" w:eastAsia="Noto Sans" w:hAnsi="Noto Sans"/>
          <w:sz w:val="20"/>
          <w:szCs w:val="20"/>
          <w:rtl w:val="0"/>
        </w:rPr>
        <w:t xml:space="preserve">The </w:t>
      </w:r>
      <w:hyperlink r:id="rId7">
        <w:r w:rsidDel="00000000" w:rsidR="00000000" w:rsidRPr="00000000">
          <w:rPr>
            <w:rFonts w:ascii="Noto Sans" w:cs="Noto Sans" w:eastAsia="Noto Sans" w:hAnsi="Noto Sans"/>
            <w:color w:val="1155cc"/>
            <w:sz w:val="20"/>
            <w:szCs w:val="20"/>
            <w:u w:val="single"/>
            <w:rtl w:val="0"/>
          </w:rPr>
          <w:t xml:space="preserve">MDAR framework</w:t>
        </w:r>
      </w:hyperlink>
      <w:r w:rsidDel="00000000" w:rsidR="00000000" w:rsidRPr="00000000">
        <w:rPr>
          <w:rFonts w:ascii="Noto Sans" w:cs="Noto Sans" w:eastAsia="Noto Sans" w:hAnsi="Noto Sans"/>
          <w:sz w:val="20"/>
          <w:szCs w:val="20"/>
          <w:rtl w:val="0"/>
        </w:rPr>
        <w:t xml:space="preserve"> establishes a minimum set of requirements in transparent reporting mainly applicable to studies in the life sciences.</w:t>
      </w:r>
    </w:p>
    <w:p w:rsidR="00000000" w:rsidDel="00000000" w:rsidP="00000000" w:rsidRDefault="00000000" w:rsidRPr="00000000" w14:paraId="00000006">
      <w:pPr>
        <w:rPr>
          <w:rFonts w:ascii="Noto Sans" w:cs="Noto Sans" w:eastAsia="Noto Sans" w:hAnsi="Noto Sans"/>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rPr>
          <w:rFonts w:ascii="Noto Sans" w:cs="Noto Sans" w:eastAsia="Noto Sans" w:hAnsi="Noto Sans"/>
          <w:sz w:val="20"/>
          <w:szCs w:val="20"/>
        </w:rPr>
      </w:pP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 asks authors to </w:t>
      </w:r>
      <w:r w:rsidDel="00000000" w:rsidR="00000000" w:rsidRPr="00000000">
        <w:rPr>
          <w:rFonts w:ascii="Noto Sans" w:cs="Noto Sans" w:eastAsia="Noto Sans" w:hAnsi="Noto Sans"/>
          <w:b w:val="1"/>
          <w:sz w:val="20"/>
          <w:szCs w:val="20"/>
          <w:rtl w:val="0"/>
        </w:rPr>
        <w:t xml:space="preserve">provide detailed information within their article</w:t>
      </w:r>
      <w:r w:rsidDel="00000000" w:rsidR="00000000" w:rsidRPr="00000000">
        <w:rPr>
          <w:rFonts w:ascii="Noto Sans" w:cs="Noto Sans" w:eastAsia="Noto Sans" w:hAnsi="Noto Sans"/>
          <w:sz w:val="20"/>
          <w:szCs w:val="20"/>
          <w:rtl w:val="0"/>
        </w:rPr>
        <w:t xml:space="preserve"> to facilitate the interpretation and replication of their work. Authors can also upload supporting materials to comply with relevant reporting guidelines for health-related research (see </w:t>
      </w:r>
      <w:hyperlink r:id="rId8">
        <w:r w:rsidDel="00000000" w:rsidR="00000000" w:rsidRPr="00000000">
          <w:rPr>
            <w:rFonts w:ascii="Noto Sans" w:cs="Noto Sans" w:eastAsia="Noto Sans" w:hAnsi="Noto Sans"/>
            <w:color w:val="1155cc"/>
            <w:sz w:val="20"/>
            <w:szCs w:val="20"/>
            <w:u w:val="single"/>
            <w:rtl w:val="0"/>
          </w:rPr>
          <w:t xml:space="preserve">EQUATOR Network</w:t>
        </w:r>
      </w:hyperlink>
      <w:r w:rsidDel="00000000" w:rsidR="00000000" w:rsidRPr="00000000">
        <w:rPr>
          <w:rFonts w:ascii="Noto Sans" w:cs="Noto Sans" w:eastAsia="Noto Sans" w:hAnsi="Noto Sans"/>
          <w:sz w:val="20"/>
          <w:szCs w:val="20"/>
          <w:rtl w:val="0"/>
        </w:rPr>
        <w:t xml:space="preserve">), life science research (see the </w:t>
      </w:r>
      <w:hyperlink r:id="rId9">
        <w:r w:rsidDel="00000000" w:rsidR="00000000" w:rsidRPr="00000000">
          <w:rPr>
            <w:rFonts w:ascii="Noto Sans" w:cs="Noto Sans" w:eastAsia="Noto Sans" w:hAnsi="Noto Sans"/>
            <w:color w:val="1155cc"/>
            <w:sz w:val="20"/>
            <w:szCs w:val="20"/>
            <w:u w:val="single"/>
            <w:rtl w:val="0"/>
          </w:rPr>
          <w:t xml:space="preserve">BioSharing Information Resource</w:t>
        </w:r>
      </w:hyperlink>
      <w:r w:rsidDel="00000000" w:rsidR="00000000" w:rsidRPr="00000000">
        <w:rPr>
          <w:rFonts w:ascii="Noto Sans" w:cs="Noto Sans" w:eastAsia="Noto Sans" w:hAnsi="Noto Sans"/>
          <w:sz w:val="20"/>
          <w:szCs w:val="20"/>
          <w:rtl w:val="0"/>
        </w:rPr>
        <w:t xml:space="preserve">), or animal research (see the </w:t>
      </w:r>
      <w:hyperlink r:id="rId10">
        <w:r w:rsidDel="00000000" w:rsidR="00000000" w:rsidRPr="00000000">
          <w:rPr>
            <w:rFonts w:ascii="Noto Sans" w:cs="Noto Sans" w:eastAsia="Noto Sans" w:hAnsi="Noto Sans"/>
            <w:color w:val="1155cc"/>
            <w:sz w:val="20"/>
            <w:szCs w:val="20"/>
            <w:u w:val="single"/>
            <w:rtl w:val="0"/>
          </w:rPr>
          <w:t xml:space="preserve">ARRIVE Guidelines</w:t>
        </w:r>
      </w:hyperlink>
      <w:r w:rsidDel="00000000" w:rsidR="00000000" w:rsidRPr="00000000">
        <w:rPr>
          <w:rFonts w:ascii="Noto Sans" w:cs="Noto Sans" w:eastAsia="Noto Sans" w:hAnsi="Noto Sans"/>
          <w:sz w:val="20"/>
          <w:szCs w:val="20"/>
          <w:rtl w:val="0"/>
        </w:rPr>
        <w:t xml:space="preserve"> and the </w:t>
      </w:r>
      <w:hyperlink r:id="rId11">
        <w:r w:rsidDel="00000000" w:rsidR="00000000" w:rsidRPr="00000000">
          <w:rPr>
            <w:rFonts w:ascii="Noto Sans" w:cs="Noto Sans" w:eastAsia="Noto Sans" w:hAnsi="Noto Sans"/>
            <w:color w:val="1155cc"/>
            <w:sz w:val="20"/>
            <w:szCs w:val="20"/>
            <w:u w:val="single"/>
            <w:rtl w:val="0"/>
          </w:rPr>
          <w:t xml:space="preserve">STRANGE Framework</w:t>
        </w:r>
      </w:hyperlink>
      <w:r w:rsidDel="00000000" w:rsidR="00000000" w:rsidRPr="00000000">
        <w:rPr>
          <w:rFonts w:ascii="Noto Sans" w:cs="Noto Sans" w:eastAsia="Noto Sans" w:hAnsi="Noto Sans"/>
          <w:sz w:val="20"/>
          <w:szCs w:val="20"/>
          <w:rtl w:val="0"/>
        </w:rPr>
        <w:t xml:space="preserve">; for details, see </w:t>
      </w:r>
      <w:r w:rsidDel="00000000" w:rsidR="00000000" w:rsidRPr="00000000">
        <w:rPr>
          <w:rFonts w:ascii="Noto Sans" w:cs="Noto Sans" w:eastAsia="Noto Sans" w:hAnsi="Noto Sans"/>
          <w:i w:val="1"/>
          <w:sz w:val="20"/>
          <w:szCs w:val="20"/>
          <w:rtl w:val="0"/>
        </w:rPr>
        <w:t xml:space="preserve">eLife</w:t>
      </w:r>
      <w:r w:rsidDel="00000000" w:rsidR="00000000" w:rsidRPr="00000000">
        <w:rPr>
          <w:rFonts w:ascii="Noto Sans" w:cs="Noto Sans" w:eastAsia="Noto Sans" w:hAnsi="Noto Sans"/>
          <w:sz w:val="20"/>
          <w:szCs w:val="20"/>
          <w:rtl w:val="0"/>
        </w:rPr>
        <w:t xml:space="preserve">’s </w:t>
      </w:r>
      <w:hyperlink r:id="rId12">
        <w:r w:rsidDel="00000000" w:rsidR="00000000" w:rsidRPr="00000000">
          <w:rPr>
            <w:rFonts w:ascii="Noto Sans" w:cs="Noto Sans" w:eastAsia="Noto Sans" w:hAnsi="Noto Sans"/>
            <w:color w:val="1155cc"/>
            <w:sz w:val="20"/>
            <w:szCs w:val="20"/>
            <w:u w:val="single"/>
            <w:rtl w:val="0"/>
          </w:rPr>
          <w:t xml:space="preserve">Journal Policies</w:t>
        </w:r>
      </w:hyperlink>
      <w:r w:rsidDel="00000000" w:rsidR="00000000" w:rsidRPr="00000000">
        <w:rPr>
          <w:rFonts w:ascii="Noto Sans" w:cs="Noto Sans" w:eastAsia="Noto Sans" w:hAnsi="Noto Sans"/>
          <w:sz w:val="20"/>
          <w:szCs w:val="20"/>
          <w:rtl w:val="0"/>
        </w:rPr>
        <w:t xml:space="preserve">). Where applicable, authors should refer to any relevant reporting standards materials in this form.</w:t>
      </w:r>
    </w:p>
    <w:p w:rsidR="00000000" w:rsidDel="00000000" w:rsidP="00000000" w:rsidRDefault="00000000" w:rsidRPr="00000000" w14:paraId="00000008">
      <w:pPr>
        <w:rPr>
          <w:rFonts w:ascii="Noto Sans" w:cs="Noto Sans" w:eastAsia="Noto Sans" w:hAnsi="Noto Sans"/>
          <w:b w:val="1"/>
          <w:color w:val="434343"/>
          <w:sz w:val="16"/>
          <w:szCs w:val="16"/>
        </w:rPr>
      </w:pPr>
      <w:r w:rsidDel="00000000" w:rsidR="00000000" w:rsidRPr="00000000">
        <w:rPr>
          <w:rtl w:val="0"/>
        </w:rPr>
      </w:r>
    </w:p>
    <w:p w:rsidR="00000000" w:rsidDel="00000000" w:rsidP="00000000" w:rsidRDefault="00000000" w:rsidRPr="00000000" w14:paraId="00000009">
      <w:pPr>
        <w:spacing w:before="60" w:line="227" w:lineRule="auto"/>
        <w:rPr>
          <w:rFonts w:ascii="Noto Sans" w:cs="Noto Sans" w:eastAsia="Noto Sans" w:hAnsi="Noto Sans"/>
          <w:color w:val="434343"/>
          <w:sz w:val="20"/>
          <w:szCs w:val="20"/>
        </w:rPr>
      </w:pPr>
      <w:r w:rsidDel="00000000" w:rsidR="00000000" w:rsidRPr="00000000">
        <w:rPr>
          <w:rFonts w:ascii="Noto Sans" w:cs="Noto Sans" w:eastAsia="Noto Sans" w:hAnsi="Noto Sans"/>
          <w:color w:val="434343"/>
          <w:sz w:val="20"/>
          <w:szCs w:val="20"/>
          <w:rtl w:val="0"/>
        </w:rPr>
        <w:t xml:space="preserve">For all that apply, please note </w:t>
      </w:r>
      <w:r w:rsidDel="00000000" w:rsidR="00000000" w:rsidRPr="00000000">
        <w:rPr>
          <w:rFonts w:ascii="Noto Sans" w:cs="Noto Sans" w:eastAsia="Noto Sans" w:hAnsi="Noto Sans"/>
          <w:b w:val="1"/>
          <w:color w:val="434343"/>
          <w:sz w:val="20"/>
          <w:szCs w:val="20"/>
          <w:rtl w:val="0"/>
        </w:rPr>
        <w:t xml:space="preserve">where in the article </w:t>
      </w:r>
      <w:r w:rsidDel="00000000" w:rsidR="00000000" w:rsidRPr="00000000">
        <w:rPr>
          <w:rFonts w:ascii="Noto Sans" w:cs="Noto Sans" w:eastAsia="Noto Sans" w:hAnsi="Noto Sans"/>
          <w:color w:val="434343"/>
          <w:sz w:val="20"/>
          <w:szCs w:val="20"/>
          <w:rtl w:val="0"/>
        </w:rPr>
        <w:t xml:space="preserve">the information is provided. Please note that we also collect information about data availability and ethics in the submission form.</w:t>
      </w:r>
    </w:p>
    <w:p w:rsidR="00000000" w:rsidDel="00000000" w:rsidP="00000000" w:rsidRDefault="00000000" w:rsidRPr="00000000" w14:paraId="0000000A">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0B">
      <w:pPr>
        <w:spacing w:before="60" w:line="227" w:lineRule="auto"/>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Materials:</w:t>
      </w:r>
    </w:p>
    <w:p w:rsidR="00000000" w:rsidDel="00000000" w:rsidP="00000000" w:rsidRDefault="00000000" w:rsidRPr="00000000" w14:paraId="0000000C">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1"/>
        <w:tblW w:w="97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3075"/>
        <w:gridCol w:w="1095"/>
        <w:tblGridChange w:id="0">
          <w:tblGrid>
            <w:gridCol w:w="5550"/>
            <w:gridCol w:w="3075"/>
            <w:gridCol w:w="109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Newly created materials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0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47"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manuscript includes a dedicated "materials availability statement" providing transparent disclosure about availability of newly created materials including details on how materials can be accessed and describing any restrictions on access.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1">
            <w:pPr>
              <w:rPr>
                <w:rFonts w:ascii="Noto Sans" w:cs="Noto Sans" w:eastAsia="Noto Sans" w:hAnsi="Noto Sans"/>
                <w:color w:val="434343"/>
                <w:sz w:val="18"/>
                <w:szCs w:val="18"/>
              </w:rPr>
            </w:pPr>
            <w:r w:rsidDel="00000000" w:rsidR="00000000" w:rsidRPr="00000000">
              <w:rPr>
                <w:rFonts w:ascii="Noto Sans" w:cs="Noto Sans" w:eastAsia="Noto Sans" w:hAnsi="Noto Sans"/>
                <w:sz w:val="18"/>
                <w:szCs w:val="18"/>
                <w:rtl w:val="0"/>
              </w:rPr>
              <w:t xml:space="preserve">Page 21-22 / Materials and Methods/ Virus injection</w:t>
            </w:r>
            <w:r w:rsidDel="00000000" w:rsidR="00000000" w:rsidRPr="00000000">
              <w:rPr>
                <w:rFonts w:ascii="Noto Sans" w:cs="Noto Sans" w:eastAsia="Noto Sans" w:hAnsi="Noto Sans"/>
                <w:b w:val="1"/>
                <w:sz w:val="18"/>
                <w:szCs w:val="18"/>
                <w:rtl w:val="0"/>
              </w:rPr>
              <w:t xml:space="preserve">/</w:t>
            </w:r>
            <w:r w:rsidDel="00000000" w:rsidR="00000000" w:rsidRPr="00000000">
              <w:rPr>
                <w:rFonts w:ascii="Noto Sans" w:cs="Noto Sans" w:eastAsia="Noto Sans" w:hAnsi="Noto Sans"/>
                <w:color w:val="434343"/>
                <w:sz w:val="18"/>
                <w:szCs w:val="18"/>
                <w:rtl w:val="0"/>
              </w:rPr>
              <w:t xml:space="preserve">We deposited the virus plasmid constructs to Addgene (pAAV-CAG-EGFP barcode-(0-10)-SV40 polyA, pAAV-CAG-EGFPnls barcode-(206, 210)-SV40 polyA; Addgene ID 190864-190876).</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2">
            <w:pPr>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3">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4">
            <w:pPr>
              <w:spacing w:line="225" w:lineRule="auto"/>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spacing w:line="225" w:lineRule="auto"/>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6">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Antibodies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8">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9">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commercial reagents, provide supplier name, catalogue number and</w:t>
            </w:r>
            <w:hyperlink r:id="rId13">
              <w:r w:rsidDel="00000000" w:rsidR="00000000" w:rsidRPr="00000000">
                <w:rPr>
                  <w:rFonts w:ascii="Noto Sans" w:cs="Noto Sans" w:eastAsia="Noto Sans" w:hAnsi="Noto Sans"/>
                  <w:color w:val="434343"/>
                  <w:sz w:val="18"/>
                  <w:szCs w:val="18"/>
                  <w:rtl w:val="0"/>
                </w:rPr>
                <w:t xml:space="preserve"> </w:t>
              </w:r>
            </w:hyperlink>
            <w:hyperlink r:id="rId14">
              <w:r w:rsidDel="00000000" w:rsidR="00000000" w:rsidRPr="00000000">
                <w:rPr>
                  <w:rFonts w:ascii="Noto Sans" w:cs="Noto Sans" w:eastAsia="Noto Sans" w:hAnsi="Noto Sans"/>
                  <w:color w:val="1155cc"/>
                  <w:sz w:val="18"/>
                  <w:szCs w:val="18"/>
                  <w:u w:val="single"/>
                  <w:rtl w:val="0"/>
                </w:rPr>
                <w:t xml:space="preserve">RRID</w:t>
              </w:r>
            </w:hyperlink>
            <w:r w:rsidDel="00000000" w:rsidR="00000000" w:rsidRPr="00000000">
              <w:rPr>
                <w:rFonts w:ascii="Noto Sans" w:cs="Noto Sans" w:eastAsia="Noto Sans" w:hAnsi="Noto Sans"/>
                <w:color w:val="434343"/>
                <w:sz w:val="18"/>
                <w:szCs w:val="18"/>
                <w:rtl w:val="0"/>
              </w:rPr>
              <w:t xml:space="preserve">, if available.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vAlign w:val="center"/>
          </w:tcPr>
          <w:p w:rsidR="00000000" w:rsidDel="00000000" w:rsidP="00000000" w:rsidRDefault="00000000" w:rsidRPr="00000000" w14:paraId="0000001A">
            <w:pPr>
              <w:rPr>
                <w:rFonts w:ascii="Noto Sans" w:cs="Noto Sans" w:eastAsia="Noto Sans" w:hAnsi="Noto Sans"/>
                <w:color w:val="434343"/>
                <w:sz w:val="18"/>
                <w:szCs w:val="18"/>
              </w:rPr>
            </w:pPr>
            <w:r w:rsidDel="00000000" w:rsidR="00000000" w:rsidRPr="00000000">
              <w:rPr>
                <w:rFonts w:ascii="Noto Sans" w:cs="Noto Sans" w:eastAsia="Noto Sans" w:hAnsi="Noto Sans"/>
                <w:sz w:val="18"/>
                <w:szCs w:val="18"/>
                <w:rtl w:val="0"/>
              </w:rPr>
              <w:t xml:space="preserve">Page 23-24 / Materials and Methods/ Immunohistochemistry</w:t>
            </w:r>
            <w:r w:rsidDel="00000000" w:rsidR="00000000" w:rsidRPr="00000000">
              <w:rPr>
                <w:rFonts w:ascii="Noto Sans" w:cs="Noto Sans" w:eastAsia="Noto Sans" w:hAnsi="Noto Sans"/>
                <w:b w:val="1"/>
                <w:sz w:val="18"/>
                <w:szCs w:val="18"/>
                <w:rtl w:val="0"/>
              </w:rPr>
              <w:t xml:space="preserve">/</w:t>
            </w:r>
            <w:r w:rsidDel="00000000" w:rsidR="00000000" w:rsidRPr="00000000">
              <w:rPr>
                <w:rFonts w:ascii="Noto Sans" w:cs="Noto Sans" w:eastAsia="Noto Sans" w:hAnsi="Noto Sans"/>
                <w:sz w:val="18"/>
                <w:szCs w:val="18"/>
                <w:rtl w:val="0"/>
              </w:rPr>
              <w:t xml:space="preserve"> anti-GFP (1:500, Nacalai, 04404-84, RRID: AB_10013361) and anti-tdTomato (1:500, OriGene, AB8181-200, RRID: AB_2722750, Hoechst 33342 (1:1000, Lifetech, H3570),secondary donkey anti-rat Alexa Fluor 488 antibodies (1:800, Invitrogen, A21208) and donkey anti-goat Alexa Fluor 568 antibodies (1:800, Invitrogen, A11057).Probes of RNA-Scope used in this study include, Mm-Cux2-C2 (469551-C2), Mm-Npy-C2 (313321-C2), Mm-Syt6 (449641), Mm-S100b (431731), Mm-S100b (431731), Mm-Pou3f1-C2 (436421-C2).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1B">
            <w:pPr>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C">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D">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1E">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1F">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DNA and RNA sequences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7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Short novel DNA or RNA including primers, probes: Sequences should be included or deposited in a public repository.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Noto Sans" w:cs="Noto Sans" w:eastAsia="Noto Sans" w:hAnsi="Noto Sans"/>
                <w:color w:val="434343"/>
                <w:sz w:val="18"/>
                <w:szCs w:val="18"/>
              </w:rPr>
            </w:pPr>
            <w:r w:rsidDel="00000000" w:rsidR="00000000" w:rsidRPr="00000000">
              <w:rPr>
                <w:rFonts w:ascii="Noto Sans" w:cs="Noto Sans" w:eastAsia="Noto Sans" w:hAnsi="Noto Sans"/>
                <w:sz w:val="18"/>
                <w:szCs w:val="18"/>
                <w:rtl w:val="0"/>
              </w:rPr>
              <w:t xml:space="preserve">Page 21 / Materials and Methods/</w:t>
            </w:r>
            <w:r w:rsidDel="00000000" w:rsidR="00000000" w:rsidRPr="00000000">
              <w:rPr>
                <w:rFonts w:ascii="Noto Sans" w:cs="Noto Sans" w:eastAsia="Noto Sans" w:hAnsi="Noto Sans"/>
                <w:rtl w:val="0"/>
              </w:rPr>
              <w:t xml:space="preserve"> </w:t>
            </w:r>
            <w:r w:rsidDel="00000000" w:rsidR="00000000" w:rsidRPr="00000000">
              <w:rPr>
                <w:rFonts w:ascii="Noto Sans" w:cs="Noto Sans" w:eastAsia="Noto Sans" w:hAnsi="Noto Sans"/>
                <w:sz w:val="18"/>
                <w:szCs w:val="18"/>
                <w:rtl w:val="0"/>
              </w:rPr>
              <w:t xml:space="preserve">AAV vector design /</w:t>
            </w:r>
            <w:r w:rsidDel="00000000" w:rsidR="00000000" w:rsidRPr="00000000">
              <w:rPr>
                <w:rFonts w:ascii="Noto Sans" w:cs="Noto Sans" w:eastAsia="Noto Sans" w:hAnsi="Noto Sans"/>
                <w:rtl w:val="0"/>
              </w:rPr>
              <w:t xml:space="preserve"> </w:t>
            </w:r>
            <w:r w:rsidDel="00000000" w:rsidR="00000000" w:rsidRPr="00000000">
              <w:rPr>
                <w:rFonts w:ascii="Noto Sans" w:cs="Noto Sans" w:eastAsia="Noto Sans" w:hAnsi="Noto Sans"/>
                <w:sz w:val="18"/>
                <w:szCs w:val="18"/>
                <w:rtl w:val="0"/>
              </w:rPr>
              <w:t xml:space="preserve">Sequences barcode 0 representing the AI target, CTGCACCGACGCATT; barcode 1 (DMS target), GAAGGCACAGACTTT; barcode 2 (MD target), GTTGGCTGCAATCCA; barcode 3 (BLA target), AAGACGCCGTCGCAA; barcode 4 (LH target), TATTCGGAGGACGAC. Other barcode sequences used for IHC include barcode 10, AGCTATGCACGATCA; barcode 206, GCGTAAGTCTCCTTG; barcode 210, CCTGTATGCGTGGAG.</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Noto Sans" w:cs="Noto Sans" w:eastAsia="Noto Sans" w:hAnsi="Noto Sans"/>
                <w:color w:val="434343"/>
                <w:sz w:val="18"/>
                <w:szCs w:val="18"/>
              </w:rPr>
            </w:pPr>
            <w:r w:rsidDel="00000000" w:rsidR="00000000" w:rsidRPr="00000000">
              <w:rPr>
                <w:rtl w:val="0"/>
              </w:rPr>
            </w:r>
          </w:p>
        </w:tc>
      </w:tr>
      <w:tr>
        <w:trPr>
          <w:cantSplit w:val="0"/>
          <w:trHeight w:val="48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5">
            <w:pPr>
              <w:rPr>
                <w:rFonts w:ascii="Noto Sans" w:cs="Noto Sans" w:eastAsia="Noto Sans" w:hAnsi="Noto Sans"/>
                <w:b w:val="1"/>
                <w:color w:val="434343"/>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6">
            <w:pPr>
              <w:ind w:left="400" w:firstLine="0"/>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27">
            <w:pPr>
              <w:ind w:left="400" w:firstLine="0"/>
              <w:jc w:val="center"/>
              <w:rPr>
                <w:rFonts w:ascii="Noto Sans" w:cs="Noto Sans" w:eastAsia="Noto Sans" w:hAnsi="Noto Sans"/>
                <w:b w:val="1"/>
                <w:color w:val="434343"/>
              </w:rPr>
            </w:pPr>
            <w:r w:rsidDel="00000000" w:rsidR="00000000" w:rsidRPr="00000000">
              <w:rPr>
                <w:rFonts w:ascii="Noto Sans" w:cs="Noto Sans" w:eastAsia="Noto Sans" w:hAnsi="Noto Sans"/>
                <w:b w:val="1"/>
                <w:color w:val="434343"/>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8">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Cell materials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9">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2A">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Cell lines: Provide species information, strain.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Primary cultures: Provide species, strain, sex of origin, genetic modification status.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1">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2">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3">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animals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3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Laboratory animals or Model organisms: Provide species, strain, sex, age, genetic modification status. Provide accession number in repository OR supplier name, catalog number, clone number, OR RRID.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rPr>
                <w:rFonts w:ascii="Noto Sans" w:cs="Noto Sans" w:eastAsia="Noto Sans" w:hAnsi="Noto Sans"/>
                <w:color w:val="434343"/>
                <w:sz w:val="18"/>
                <w:szCs w:val="18"/>
              </w:rPr>
            </w:pPr>
            <w:r w:rsidDel="00000000" w:rsidR="00000000" w:rsidRPr="00000000">
              <w:rPr>
                <w:rFonts w:ascii="Noto Sans" w:cs="Noto Sans" w:eastAsia="Noto Sans" w:hAnsi="Noto Sans"/>
                <w:sz w:val="18"/>
                <w:szCs w:val="18"/>
                <w:rtl w:val="0"/>
              </w:rPr>
              <w:t xml:space="preserve">Page 22 / Materials and Methods/Virus injection/</w:t>
            </w:r>
            <w:r w:rsidDel="00000000" w:rsidR="00000000" w:rsidRPr="00000000">
              <w:rPr>
                <w:rFonts w:ascii="Noto Sans" w:cs="Noto Sans" w:eastAsia="Noto Sans" w:hAnsi="Noto Sans"/>
                <w:rtl w:val="0"/>
              </w:rPr>
              <w:t xml:space="preserve"> </w:t>
            </w:r>
            <w:r w:rsidDel="00000000" w:rsidR="00000000" w:rsidRPr="00000000">
              <w:rPr>
                <w:rFonts w:ascii="Noto Sans" w:cs="Noto Sans" w:eastAsia="Noto Sans" w:hAnsi="Noto Sans"/>
                <w:sz w:val="18"/>
                <w:szCs w:val="18"/>
                <w:rtl w:val="0"/>
              </w:rPr>
              <w:t xml:space="preserve">Male adult C57BL/6 mice (8 weeks of age)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rPr>
                <w:rFonts w:ascii="Noto Sans" w:cs="Noto Sans" w:eastAsia="Noto Sans" w:hAnsi="Noto Sans"/>
                <w:color w:val="434343"/>
                <w:sz w:val="18"/>
                <w:szCs w:val="18"/>
              </w:rPr>
            </w:pPr>
            <w:r w:rsidDel="00000000" w:rsidR="00000000" w:rsidRPr="00000000">
              <w:rPr>
                <w:rtl w:val="0"/>
              </w:rPr>
            </w:r>
          </w:p>
        </w:tc>
      </w:tr>
      <w:tr>
        <w:trPr>
          <w:cantSplit w:val="0"/>
          <w:trHeight w:val="66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Animal observed in or captured from the field: Provide species, sex, and age where possible.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D">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E">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3F">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0">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Plants and microbes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1">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2">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2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Plants: provide species and strain, ecotype and cultivar where relevant, unique accession number if available, and source (including location for collected wild specimens).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57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Microbes: provide species and strain, unique accession number if available, and source.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9">
            <w:pPr>
              <w:spacing w:line="225" w:lineRule="auto"/>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A">
            <w:pPr>
              <w:ind w:left="4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4B">
            <w:pPr>
              <w:ind w:left="40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Human research participants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D">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or state if these demographics were not collected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4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7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collected and within the bounds of privacy constraints report on age,</w:t>
            </w:r>
            <w:r w:rsidDel="00000000" w:rsidR="00000000" w:rsidRPr="00000000">
              <w:rPr>
                <w:rFonts w:ascii="Noto Sans" w:cs="Noto Sans" w:eastAsia="Noto Sans" w:hAnsi="Noto Sans"/>
                <w:color w:val="434343"/>
                <w:rtl w:val="0"/>
              </w:rPr>
              <w:t xml:space="preserve"> </w:t>
            </w:r>
            <w:r w:rsidDel="00000000" w:rsidR="00000000" w:rsidRPr="00000000">
              <w:rPr>
                <w:rFonts w:ascii="Noto Sans" w:cs="Noto Sans" w:eastAsia="Noto Sans" w:hAnsi="Noto Sans"/>
                <w:color w:val="434343"/>
                <w:sz w:val="18"/>
                <w:szCs w:val="18"/>
                <w:rtl w:val="0"/>
              </w:rPr>
              <w:t xml:space="preserve">sex, gender and ethnicity for all study participants.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N/A</w:t>
            </w:r>
            <w:r w:rsidDel="00000000" w:rsidR="00000000" w:rsidRPr="00000000">
              <w:rPr>
                <w:rtl w:val="0"/>
              </w:rPr>
            </w:r>
          </w:p>
        </w:tc>
      </w:tr>
    </w:tbl>
    <w:p w:rsidR="00000000" w:rsidDel="00000000" w:rsidP="00000000" w:rsidRDefault="00000000" w:rsidRPr="00000000" w14:paraId="00000052">
      <w:pPr>
        <w:spacing w:before="8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53">
      <w:pPr>
        <w:spacing w:before="80" w:line="227" w:lineRule="auto"/>
        <w:rPr>
          <w:rFonts w:ascii="Noto Sans" w:cs="Noto Sans" w:eastAsia="Noto Sans" w:hAnsi="Noto Sans"/>
          <w:b w:val="1"/>
          <w:color w:val="434343"/>
          <w:sz w:val="24"/>
          <w:szCs w:val="24"/>
        </w:rPr>
      </w:pPr>
      <w:bookmarkStart w:colFirst="0" w:colLast="0" w:name="_heading=h.30j0zll" w:id="1"/>
      <w:bookmarkEnd w:id="1"/>
      <w:r w:rsidDel="00000000" w:rsidR="00000000" w:rsidRPr="00000000">
        <w:rPr>
          <w:rFonts w:ascii="Noto Sans" w:cs="Noto Sans" w:eastAsia="Noto Sans" w:hAnsi="Noto Sans"/>
          <w:b w:val="1"/>
          <w:color w:val="434343"/>
          <w:sz w:val="24"/>
          <w:szCs w:val="24"/>
          <w:rtl w:val="0"/>
        </w:rPr>
        <w:t xml:space="preserve">Design:</w:t>
      </w:r>
    </w:p>
    <w:p w:rsidR="00000000" w:rsidDel="00000000" w:rsidP="00000000" w:rsidRDefault="00000000" w:rsidRPr="00000000" w14:paraId="00000054">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2"/>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3105"/>
        <w:gridCol w:w="990"/>
        <w:tblGridChange w:id="0">
          <w:tblGrid>
            <w:gridCol w:w="5595"/>
            <w:gridCol w:w="3105"/>
            <w:gridCol w:w="9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Study protocol</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 the study protocol has been pre-registered, provide DOI. For clinical trials, provide the trial registration number OR cite DOI.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B">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C">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5D">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E">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Laboratory protocol</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F">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0">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Provide DOI OR other citation details if detailed step-by-step protocols are available.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4">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5">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tcPr>
          <w:p w:rsidR="00000000" w:rsidDel="00000000" w:rsidP="00000000" w:rsidRDefault="00000000" w:rsidRPr="00000000" w14:paraId="00000066">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gridSpan w:val="3"/>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Experimental study design (statistics details)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A">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For in vivo studies: State whether and how the following have been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 If it could have been done, but was not, write “not done”</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6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34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Sample size determination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Not done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36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Randomisation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sz w:val="18"/>
                <w:szCs w:val="18"/>
                <w:rtl w:val="0"/>
              </w:rPr>
              <w:t xml:space="preserve">Page 29 / Materials and Methods/Statistical analysis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line="225" w:lineRule="auto"/>
              <w:rPr>
                <w:rFonts w:ascii="Noto Sans" w:cs="Noto Sans" w:eastAsia="Noto Sans" w:hAnsi="Noto Sans"/>
                <w:b w:val="1"/>
                <w:color w:val="434343"/>
                <w:sz w:val="18"/>
                <w:szCs w:val="18"/>
              </w:rPr>
            </w:pPr>
            <w:r w:rsidDel="00000000" w:rsidR="00000000" w:rsidRPr="00000000">
              <w:rPr>
                <w:rtl w:val="0"/>
              </w:rPr>
            </w:r>
          </w:p>
        </w:tc>
      </w:tr>
      <w:tr>
        <w:trPr>
          <w:cantSplit w:val="0"/>
          <w:trHeight w:val="37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Blinding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sz w:val="18"/>
                <w:szCs w:val="18"/>
                <w:rtl w:val="0"/>
              </w:rPr>
              <w:t xml:space="preserve">Page 29 / Materials and Methods/Statistical analysis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398"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Inclusion/exclusion criteria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Not done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9">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A">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7B">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C">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Sample definition and in-laboratory replication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7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65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State number of times the experiment was replicated in the laboratory</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Figure 4, Figure 5,</w:t>
            </w:r>
          </w:p>
          <w:p w:rsidR="00000000" w:rsidDel="00000000" w:rsidP="00000000" w:rsidRDefault="00000000" w:rsidRPr="00000000" w14:paraId="00000081">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Figure 2-Figure supplement 1, Figure 3-Figure supplement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3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highlight w:val="white"/>
                <w:rtl w:val="0"/>
              </w:rPr>
              <w:t xml:space="preserve">Define whether data describe technical or biological replicates</w:t>
            </w:r>
            <w:r w:rsidDel="00000000" w:rsidR="00000000" w:rsidRPr="00000000">
              <w:rPr>
                <w:rFonts w:ascii="Noto Sans" w:cs="Noto Sans" w:eastAsia="Noto Sans" w:hAnsi="Noto Sans"/>
                <w:color w:val="434343"/>
                <w:sz w:val="18"/>
                <w:szCs w:val="18"/>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sz w:val="18"/>
                <w:szCs w:val="18"/>
                <w:rtl w:val="0"/>
              </w:rPr>
              <w:t xml:space="preserve">Page 24 / Materials and Methods/</w:t>
            </w:r>
            <w:r w:rsidDel="00000000" w:rsidR="00000000" w:rsidRPr="00000000">
              <w:rPr>
                <w:rFonts w:ascii="Noto Sans" w:cs="Noto Sans" w:eastAsia="Noto Sans" w:hAnsi="Noto Sans"/>
                <w:color w:val="434343"/>
                <w:sz w:val="18"/>
                <w:szCs w:val="18"/>
                <w:rtl w:val="0"/>
              </w:rPr>
              <w:t xml:space="preserve">scRNA-seq data pre-processing</w:t>
            </w:r>
          </w:p>
          <w:p w:rsidR="00000000" w:rsidDel="00000000" w:rsidP="00000000" w:rsidRDefault="00000000" w:rsidRPr="00000000" w14:paraId="00000085">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Figure 4, Figure 5,</w:t>
            </w:r>
          </w:p>
          <w:p w:rsidR="00000000" w:rsidDel="00000000" w:rsidP="00000000" w:rsidRDefault="00000000" w:rsidRPr="00000000" w14:paraId="0000008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Figure 2-Figure supplement 1, Figure 3-Figure supplement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8">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9">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A">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B">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Ethics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8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78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human participants: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line="225" w:lineRule="auto"/>
              <w:rPr>
                <w:rFonts w:ascii="Noto Sans" w:cs="Noto Sans" w:eastAsia="Noto Sans" w:hAnsi="Noto Sans"/>
                <w:b w:val="1"/>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experimental animals: State details of authority granting ethics approval (IRB or equivalent committee(s), provide reference number for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2">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000000"/>
                <w:sz w:val="18"/>
                <w:szCs w:val="18"/>
                <w:rtl w:val="0"/>
              </w:rPr>
              <w:t xml:space="preserve">reference number for approval : NA-034-2022</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8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Studies involving specimen and field samples: State if relevant permits obtained, provide details of authority approving study; if none were required, explain why.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7">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8">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9">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A">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Dual Use Research of Concern (DURC)</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B">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9C">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D">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If</w:t>
            </w:r>
            <w:r w:rsidDel="00000000" w:rsidR="00000000" w:rsidRPr="00000000">
              <w:rPr>
                <w:rFonts w:ascii="Noto Sans" w:cs="Noto Sans" w:eastAsia="Noto Sans" w:hAnsi="Noto Sans"/>
                <w:color w:val="434343"/>
                <w:sz w:val="18"/>
                <w:szCs w:val="18"/>
                <w:highlight w:val="white"/>
                <w:rtl w:val="0"/>
              </w:rPr>
              <w:t xml:space="preserve"> study is subject to dual use research of</w:t>
            </w:r>
            <w:r w:rsidDel="00000000" w:rsidR="00000000" w:rsidRPr="00000000">
              <w:rPr>
                <w:rFonts w:ascii="Noto Sans" w:cs="Noto Sans" w:eastAsia="Noto Sans" w:hAnsi="Noto Sans"/>
                <w:color w:val="434343"/>
                <w:sz w:val="20"/>
                <w:szCs w:val="20"/>
                <w:highlight w:val="white"/>
                <w:rtl w:val="0"/>
              </w:rPr>
              <w:t xml:space="preserve"> </w:t>
            </w:r>
            <w:r w:rsidDel="00000000" w:rsidR="00000000" w:rsidRPr="00000000">
              <w:rPr>
                <w:rFonts w:ascii="Noto Sans" w:cs="Noto Sans" w:eastAsia="Noto Sans" w:hAnsi="Noto Sans"/>
                <w:color w:val="434343"/>
                <w:sz w:val="18"/>
                <w:szCs w:val="18"/>
                <w:highlight w:val="white"/>
                <w:rtl w:val="0"/>
              </w:rPr>
              <w:t xml:space="preserve">concern regulations, state </w:t>
            </w:r>
            <w:r w:rsidDel="00000000" w:rsidR="00000000" w:rsidRPr="00000000">
              <w:rPr>
                <w:rFonts w:ascii="Noto Sans" w:cs="Noto Sans" w:eastAsia="Noto Sans" w:hAnsi="Noto Sans"/>
                <w:color w:val="434343"/>
                <w:sz w:val="18"/>
                <w:szCs w:val="18"/>
                <w:rtl w:val="0"/>
              </w:rPr>
              <w:t xml:space="preserve">the authority granting approval and reference number for the regulatory approval.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A0">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A1">
      <w:pPr>
        <w:spacing w:before="60" w:line="227" w:lineRule="auto"/>
        <w:rPr>
          <w:rFonts w:ascii="Noto Sans" w:cs="Noto Sans" w:eastAsia="Noto Sans" w:hAnsi="Noto Sans"/>
          <w:b w:val="1"/>
          <w:color w:val="434343"/>
          <w:sz w:val="24"/>
          <w:szCs w:val="24"/>
        </w:rPr>
      </w:pPr>
      <w:r w:rsidDel="00000000" w:rsidR="00000000" w:rsidRPr="00000000">
        <w:rPr>
          <w:rFonts w:ascii="Noto Sans" w:cs="Noto Sans" w:eastAsia="Noto Sans" w:hAnsi="Noto Sans"/>
          <w:b w:val="1"/>
          <w:color w:val="434343"/>
          <w:sz w:val="24"/>
          <w:szCs w:val="24"/>
          <w:rtl w:val="0"/>
        </w:rPr>
        <w:t xml:space="preserve">Analysis:</w:t>
      </w:r>
    </w:p>
    <w:p w:rsidR="00000000" w:rsidDel="00000000" w:rsidP="00000000" w:rsidRDefault="00000000" w:rsidRPr="00000000" w14:paraId="000000A2">
      <w:pPr>
        <w:spacing w:line="227"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3"/>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
        <w:gridCol w:w="3165"/>
        <w:gridCol w:w="975"/>
        <w:tblGridChange w:id="0">
          <w:tblGrid>
            <w:gridCol w:w="5565"/>
            <w:gridCol w:w="3165"/>
            <w:gridCol w:w="975"/>
          </w:tblGrid>
        </w:tblGridChange>
      </w:tblGrid>
      <w:tr>
        <w:trPr>
          <w:cantSplit w:val="0"/>
          <w:trHeight w:val="425"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3">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Attrition</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0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Describe whether exclusion criteria were pre-established. Report if sample or data points were omitted from analysis. If yes, report if this was due to attrition or intentional exclusion and provide justification.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9">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A">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B">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C">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Statistics</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D">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AE">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41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rPr>
                <w:rFonts w:ascii="Noto Sans" w:cs="Noto Sans" w:eastAsia="Noto Sans" w:hAnsi="Noto Sans"/>
                <w:b w:val="1"/>
                <w:color w:val="434343"/>
                <w:sz w:val="18"/>
                <w:szCs w:val="18"/>
              </w:rPr>
            </w:pPr>
            <w:r w:rsidDel="00000000" w:rsidR="00000000" w:rsidRPr="00000000">
              <w:rPr>
                <w:rFonts w:ascii="Noto Sans" w:cs="Noto Sans" w:eastAsia="Noto Sans" w:hAnsi="Noto Sans"/>
                <w:color w:val="434343"/>
                <w:sz w:val="18"/>
                <w:szCs w:val="18"/>
                <w:rtl w:val="0"/>
              </w:rPr>
              <w:t xml:space="preserve">Describe statistical tests used and justify choice of tests.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sz w:val="18"/>
                <w:szCs w:val="18"/>
                <w:rtl w:val="0"/>
              </w:rPr>
              <w:t xml:space="preserve">Page 29 / Materials and Methods/Statistical analysis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2">
            <w:pPr>
              <w:rPr>
                <w:rFonts w:ascii="Noto Sans" w:cs="Noto Sans" w:eastAsia="Noto Sans" w:hAnsi="Noto Sans"/>
                <w:b w:val="1"/>
                <w:color w:val="434343"/>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3">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4">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42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5">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Data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section/submission form</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B7">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82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newly created and reused datasets, the manuscript includes a data availability statement that provides details for access (or notes restrictions on access).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29/ Data and materials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When newly created datasets are publicly available, provide accession number in repository OR DOI and licensing details where available.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29/ Data and materials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0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highlight w:val="white"/>
                <w:rtl w:val="0"/>
              </w:rPr>
              <w:t xml:space="preserve">If reused data is 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29/ Data and materials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0">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425" w:hRule="atLeast"/>
          <w:tblHeader w:val="0"/>
        </w:trPr>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1">
            <w:pPr>
              <w:rPr>
                <w:rFonts w:ascii="Noto Sans" w:cs="Noto Sans" w:eastAsia="Noto Sans" w:hAnsi="Noto Sans"/>
                <w:b w:val="1"/>
                <w:color w:val="434343"/>
                <w:sz w:val="16"/>
                <w:szCs w:val="16"/>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2">
            <w:pPr>
              <w:spacing w:line="225" w:lineRule="auto"/>
              <w:ind w:left="50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C3">
            <w:pPr>
              <w:spacing w:line="225" w:lineRule="auto"/>
              <w:ind w:left="540" w:firstLine="0"/>
              <w:jc w:val="cente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c>
      </w:tr>
      <w:tr>
        <w:trPr>
          <w:cantSplit w:val="0"/>
          <w:trHeight w:val="635" w:hRule="atLeast"/>
          <w:tblHeader w:val="0"/>
        </w:trPr>
        <w:tc>
          <w:tcPr>
            <w:tcBorders>
              <w:top w:color="000000" w:space="0" w:sz="0" w:val="nil"/>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4">
            <w:pPr>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Code availability</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0" w:val="nil"/>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C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134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For any computer code/software/mathematical algorithms essential for replicating the main findings of the study, whether newly generated or re-used, the manuscript includes a data availability statement that provides details for access or notes restrictions.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8">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29/ Data and materials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9">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A">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Where newly generated code is publicly available, provide accession number in repository, OR DOI OR URL and licensing details where available. State any restrictions on code availability or accessibility.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spacing w:line="225" w:lineRule="auto"/>
              <w:rPr>
                <w:rFonts w:ascii="Noto Sans" w:cs="Noto Sans" w:eastAsia="Noto Sans" w:hAnsi="Noto Sans"/>
                <w:color w:val="434343"/>
              </w:rPr>
            </w:pPr>
            <w:r w:rsidDel="00000000" w:rsidR="00000000" w:rsidRPr="00000000">
              <w:rPr>
                <w:rFonts w:ascii="Noto Sans" w:cs="Noto Sans" w:eastAsia="Noto Sans" w:hAnsi="Noto Sans"/>
                <w:color w:val="434343"/>
                <w:sz w:val="18"/>
                <w:szCs w:val="18"/>
                <w:rtl w:val="0"/>
              </w:rPr>
              <w:t xml:space="preserve">Page 29/ Data and materials availability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C">
            <w:pPr>
              <w:spacing w:line="225" w:lineRule="auto"/>
              <w:rPr>
                <w:rFonts w:ascii="Noto Sans" w:cs="Noto Sans" w:eastAsia="Noto Sans" w:hAnsi="Noto Sans"/>
                <w:color w:val="434343"/>
                <w:sz w:val="18"/>
                <w:szCs w:val="18"/>
              </w:rPr>
            </w:pPr>
            <w:r w:rsidDel="00000000" w:rsidR="00000000" w:rsidRPr="00000000">
              <w:rPr>
                <w:rtl w:val="0"/>
              </w:rPr>
            </w:r>
          </w:p>
        </w:tc>
      </w:tr>
      <w:tr>
        <w:trPr>
          <w:cantSplit w:val="0"/>
          <w:trHeight w:val="7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rPr>
                <w:rFonts w:ascii="Noto Sans" w:cs="Noto Sans" w:eastAsia="Noto Sans" w:hAnsi="Noto Sans"/>
                <w:color w:val="434343"/>
                <w:sz w:val="18"/>
                <w:szCs w:val="18"/>
                <w:highlight w:val="white"/>
              </w:rPr>
            </w:pPr>
            <w:r w:rsidDel="00000000" w:rsidR="00000000" w:rsidRPr="00000000">
              <w:rPr>
                <w:rFonts w:ascii="Noto Sans" w:cs="Noto Sans" w:eastAsia="Noto Sans" w:hAnsi="Noto Sans"/>
                <w:color w:val="434343"/>
                <w:sz w:val="18"/>
                <w:szCs w:val="18"/>
                <w:rtl w:val="0"/>
              </w:rPr>
              <w:t xml:space="preserve">If reused code is </w:t>
            </w:r>
            <w:r w:rsidDel="00000000" w:rsidR="00000000" w:rsidRPr="00000000">
              <w:rPr>
                <w:rFonts w:ascii="Noto Sans" w:cs="Noto Sans" w:eastAsia="Noto Sans" w:hAnsi="Noto Sans"/>
                <w:color w:val="434343"/>
                <w:sz w:val="18"/>
                <w:szCs w:val="18"/>
                <w:highlight w:val="white"/>
                <w:rtl w:val="0"/>
              </w:rPr>
              <w:t xml:space="preserve">publicly available provide accession number in repository OR DOI OR URL, OR citation.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Page 29/ Data and materials availability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F">
            <w:pPr>
              <w:spacing w:line="225" w:lineRule="auto"/>
              <w:rPr>
                <w:rFonts w:ascii="Noto Sans" w:cs="Noto Sans" w:eastAsia="Noto Sans" w:hAnsi="Noto Sans"/>
                <w:color w:val="434343"/>
                <w:sz w:val="18"/>
                <w:szCs w:val="18"/>
              </w:rPr>
            </w:pPr>
            <w:r w:rsidDel="00000000" w:rsidR="00000000" w:rsidRPr="00000000">
              <w:rPr>
                <w:rtl w:val="0"/>
              </w:rPr>
            </w:r>
          </w:p>
        </w:tc>
      </w:tr>
    </w:tbl>
    <w:p w:rsidR="00000000" w:rsidDel="00000000" w:rsidP="00000000" w:rsidRDefault="00000000" w:rsidRPr="00000000" w14:paraId="000000D0">
      <w:pPr>
        <w:spacing w:before="60" w:line="227" w:lineRule="auto"/>
        <w:rPr>
          <w:rFonts w:ascii="Noto Sans" w:cs="Noto Sans" w:eastAsia="Noto Sans" w:hAnsi="Noto Sans"/>
          <w:b w:val="1"/>
          <w:color w:val="434343"/>
          <w:sz w:val="16"/>
          <w:szCs w:val="16"/>
          <w:u w:val="single"/>
        </w:rPr>
      </w:pPr>
      <w:r w:rsidDel="00000000" w:rsidR="00000000" w:rsidRPr="00000000">
        <w:rPr>
          <w:rtl w:val="0"/>
        </w:rPr>
      </w:r>
    </w:p>
    <w:p w:rsidR="00000000" w:rsidDel="00000000" w:rsidP="00000000" w:rsidRDefault="00000000" w:rsidRPr="00000000" w14:paraId="000000D1">
      <w:pPr>
        <w:spacing w:before="60" w:line="227" w:lineRule="auto"/>
        <w:rPr>
          <w:rFonts w:ascii="Noto Sans" w:cs="Noto Sans" w:eastAsia="Noto Sans" w:hAnsi="Noto Sans"/>
          <w:b w:val="1"/>
          <w:color w:val="434343"/>
          <w:sz w:val="24"/>
          <w:szCs w:val="24"/>
        </w:rPr>
      </w:pPr>
      <w:bookmarkStart w:colFirst="0" w:colLast="0" w:name="_heading=h.1fob9te" w:id="2"/>
      <w:bookmarkEnd w:id="2"/>
      <w:r w:rsidDel="00000000" w:rsidR="00000000" w:rsidRPr="00000000">
        <w:rPr>
          <w:rFonts w:ascii="Noto Sans" w:cs="Noto Sans" w:eastAsia="Noto Sans" w:hAnsi="Noto Sans"/>
          <w:b w:val="1"/>
          <w:color w:val="434343"/>
          <w:sz w:val="24"/>
          <w:szCs w:val="24"/>
          <w:rtl w:val="0"/>
        </w:rPr>
        <w:t xml:space="preserve">Reporting:</w:t>
      </w:r>
    </w:p>
    <w:p w:rsidR="00000000" w:rsidDel="00000000" w:rsidP="00000000" w:rsidRDefault="00000000" w:rsidRPr="00000000" w14:paraId="000000D2">
      <w:pPr>
        <w:spacing w:before="80" w:line="227"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The MDAR framework recommends adoption of discipline-specific guidelines, established and endorsed through community initiatives.</w:t>
      </w:r>
    </w:p>
    <w:p w:rsidR="00000000" w:rsidDel="00000000" w:rsidP="00000000" w:rsidRDefault="00000000" w:rsidRPr="00000000" w14:paraId="000000D3">
      <w:pPr>
        <w:spacing w:line="227" w:lineRule="auto"/>
        <w:ind w:left="460" w:firstLine="0"/>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 </w:t>
      </w:r>
    </w:p>
    <w:tbl>
      <w:tblPr>
        <w:tblStyle w:val="Table4"/>
        <w:tblW w:w="96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3330"/>
        <w:gridCol w:w="855"/>
        <w:tblGridChange w:id="0">
          <w:tblGrid>
            <w:gridCol w:w="5490"/>
            <w:gridCol w:w="3330"/>
            <w:gridCol w:w="85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4">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Adherence to community standards</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5">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Indicate where provided: section/figure legend</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D6">
            <w:pPr>
              <w:spacing w:line="225" w:lineRule="auto"/>
              <w:rPr>
                <w:rFonts w:ascii="Noto Sans" w:cs="Noto Sans" w:eastAsia="Noto Sans" w:hAnsi="Noto Sans"/>
                <w:b w:val="1"/>
                <w:color w:val="434343"/>
                <w:sz w:val="18"/>
                <w:szCs w:val="18"/>
              </w:rPr>
            </w:pPr>
            <w:r w:rsidDel="00000000" w:rsidR="00000000" w:rsidRPr="00000000">
              <w:rPr>
                <w:rFonts w:ascii="Noto Sans" w:cs="Noto Sans" w:eastAsia="Noto Sans" w:hAnsi="Noto Sans"/>
                <w:b w:val="1"/>
                <w:color w:val="434343"/>
                <w:sz w:val="18"/>
                <w:szCs w:val="18"/>
                <w:rtl w:val="0"/>
              </w:rPr>
              <w:t xml:space="preserve">N/A</w:t>
            </w:r>
          </w:p>
        </w:tc>
      </w:tr>
      <w:tr>
        <w:trPr>
          <w:cantSplit w:val="0"/>
          <w:trHeight w:val="9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State if relevant guidelines (e.g., ICMJE, MIBBI, ARRIVE, STRANGE) have been followed, and whether a checklist (e.g., CONSORT, PRISMA, ARRIVE) is provided with the manuscript.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spacing w:line="225" w:lineRule="auto"/>
              <w:rPr>
                <w:rFonts w:ascii="Noto Sans" w:cs="Noto Sans" w:eastAsia="Noto Sans" w:hAnsi="Noto Sans"/>
                <w:color w:val="434343"/>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9">
            <w:pPr>
              <w:spacing w:line="225" w:lineRule="auto"/>
              <w:rPr>
                <w:rFonts w:ascii="Noto Sans" w:cs="Noto Sans" w:eastAsia="Noto Sans" w:hAnsi="Noto Sans"/>
                <w:color w:val="434343"/>
                <w:sz w:val="18"/>
                <w:szCs w:val="18"/>
              </w:rPr>
            </w:pPr>
            <w:r w:rsidDel="00000000" w:rsidR="00000000" w:rsidRPr="00000000">
              <w:rPr>
                <w:rFonts w:ascii="Noto Sans" w:cs="Noto Sans" w:eastAsia="Noto Sans" w:hAnsi="Noto Sans"/>
                <w:color w:val="434343"/>
                <w:sz w:val="18"/>
                <w:szCs w:val="18"/>
                <w:rtl w:val="0"/>
              </w:rPr>
              <w:t xml:space="preserve">N/A</w:t>
            </w:r>
          </w:p>
        </w:tc>
      </w:tr>
    </w:tbl>
    <w:p w:rsidR="00000000" w:rsidDel="00000000" w:rsidP="00000000" w:rsidRDefault="00000000" w:rsidRPr="00000000" w14:paraId="000000DA">
      <w:pPr>
        <w:spacing w:line="227" w:lineRule="auto"/>
        <w:rPr>
          <w:rFonts w:ascii="Noto Sans" w:cs="Noto Sans" w:eastAsia="Noto Sans" w:hAnsi="Noto Sans"/>
          <w:b w:val="1"/>
          <w:color w:val="434343"/>
          <w:sz w:val="18"/>
          <w:szCs w:val="18"/>
        </w:rPr>
      </w:pPr>
      <w:r w:rsidDel="00000000" w:rsidR="00000000" w:rsidRPr="00000000">
        <w:rPr>
          <w:rtl w:val="0"/>
        </w:rPr>
      </w:r>
    </w:p>
    <w:p w:rsidR="00000000" w:rsidDel="00000000" w:rsidP="00000000" w:rsidRDefault="00000000" w:rsidRPr="00000000" w14:paraId="000000DB">
      <w:pPr>
        <w:spacing w:before="80" w:lineRule="auto"/>
        <w:rPr/>
      </w:pPr>
      <w:bookmarkStart w:colFirst="0" w:colLast="0" w:name="_heading=h.3znysh7" w:id="3"/>
      <w:bookmarkEnd w:id="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color w:val="ff0000"/>
        </w:rPr>
      </w:pPr>
      <w:r w:rsidDel="00000000" w:rsidR="00000000" w:rsidRPr="00000000">
        <w:rPr>
          <w:rtl w:val="0"/>
        </w:rPr>
        <w:t xml:space="preserve">* We provide the following guidance regarding transparent reporting and statistics; we also refer authors to </w:t>
      </w:r>
      <w:hyperlink r:id="rId15">
        <w:r w:rsidDel="00000000" w:rsidR="00000000" w:rsidRPr="00000000">
          <w:rPr>
            <w:color w:val="1155cc"/>
            <w:u w:val="single"/>
            <w:rtl w:val="0"/>
          </w:rPr>
          <w:t xml:space="preserve">Ten common statistical mistakes to watch out for when writing or reviewing a manuscript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b w:val="1"/>
          <w:rtl w:val="0"/>
        </w:rPr>
        <w:t xml:space="preserve">Sample-size estimation</w:t>
      </w:r>
    </w:p>
    <w:p w:rsidR="00000000" w:rsidDel="00000000" w:rsidP="00000000" w:rsidRDefault="00000000" w:rsidRPr="00000000" w14:paraId="000000E0">
      <w:pPr>
        <w:numPr>
          <w:ilvl w:val="0"/>
          <w:numId w:val="2"/>
        </w:numPr>
        <w:ind w:left="720" w:hanging="360"/>
        <w:rPr/>
      </w:pPr>
      <w:r w:rsidDel="00000000" w:rsidR="00000000" w:rsidRPr="00000000">
        <w:rPr>
          <w:rtl w:val="0"/>
        </w:rPr>
        <w:t xml:space="preserve">You should state whether an appropriate sample size was computed when the study was being designed</w:t>
      </w:r>
    </w:p>
    <w:p w:rsidR="00000000" w:rsidDel="00000000" w:rsidP="00000000" w:rsidRDefault="00000000" w:rsidRPr="00000000" w14:paraId="000000E1">
      <w:pPr>
        <w:numPr>
          <w:ilvl w:val="0"/>
          <w:numId w:val="2"/>
        </w:numPr>
        <w:ind w:left="720" w:hanging="360"/>
        <w:rPr/>
      </w:pPr>
      <w:r w:rsidDel="00000000" w:rsidR="00000000" w:rsidRPr="00000000">
        <w:rPr>
          <w:rtl w:val="0"/>
        </w:rPr>
        <w:t xml:space="preserve">You should state the statistical method of sample size computation and any required assumptions</w:t>
      </w:r>
    </w:p>
    <w:p w:rsidR="00000000" w:rsidDel="00000000" w:rsidP="00000000" w:rsidRDefault="00000000" w:rsidRPr="00000000" w14:paraId="000000E2">
      <w:pPr>
        <w:numPr>
          <w:ilvl w:val="0"/>
          <w:numId w:val="2"/>
        </w:numPr>
        <w:ind w:left="720" w:hanging="360"/>
        <w:rPr/>
      </w:pPr>
      <w:r w:rsidDel="00000000" w:rsidR="00000000" w:rsidRPr="00000000">
        <w:rPr>
          <w:rtl w:val="0"/>
        </w:rPr>
        <w:t xml:space="preserve">If no explicit power analysis was used, you should describe how you decided what sample (replicate) size (number) to use</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b w:val="1"/>
        </w:rPr>
      </w:pPr>
      <w:r w:rsidDel="00000000" w:rsidR="00000000" w:rsidRPr="00000000">
        <w:rPr>
          <w:b w:val="1"/>
          <w:rtl w:val="0"/>
        </w:rPr>
        <w:t xml:space="preserve">Replicates</w:t>
      </w:r>
    </w:p>
    <w:p w:rsidR="00000000" w:rsidDel="00000000" w:rsidP="00000000" w:rsidRDefault="00000000" w:rsidRPr="00000000" w14:paraId="000000E5">
      <w:pPr>
        <w:numPr>
          <w:ilvl w:val="0"/>
          <w:numId w:val="4"/>
        </w:numPr>
        <w:ind w:left="720" w:hanging="360"/>
        <w:rPr/>
      </w:pPr>
      <w:r w:rsidDel="00000000" w:rsidR="00000000" w:rsidRPr="00000000">
        <w:rPr>
          <w:rtl w:val="0"/>
        </w:rPr>
        <w:t xml:space="preserve">You should report how often each experiment was performed</w:t>
      </w:r>
    </w:p>
    <w:p w:rsidR="00000000" w:rsidDel="00000000" w:rsidP="00000000" w:rsidRDefault="00000000" w:rsidRPr="00000000" w14:paraId="000000E6">
      <w:pPr>
        <w:numPr>
          <w:ilvl w:val="0"/>
          <w:numId w:val="4"/>
        </w:numPr>
        <w:ind w:left="720" w:hanging="360"/>
        <w:rPr/>
      </w:pPr>
      <w:r w:rsidDel="00000000" w:rsidR="00000000" w:rsidRPr="00000000">
        <w:rPr>
          <w:rtl w:val="0"/>
        </w:rPr>
        <w:t xml:space="preserve">You should include a definition of biological versus technical replication</w:t>
      </w:r>
    </w:p>
    <w:p w:rsidR="00000000" w:rsidDel="00000000" w:rsidP="00000000" w:rsidRDefault="00000000" w:rsidRPr="00000000" w14:paraId="000000E7">
      <w:pPr>
        <w:numPr>
          <w:ilvl w:val="0"/>
          <w:numId w:val="4"/>
        </w:numPr>
        <w:ind w:left="720" w:hanging="360"/>
        <w:rPr/>
      </w:pPr>
      <w:r w:rsidDel="00000000" w:rsidR="00000000" w:rsidRPr="00000000">
        <w:rPr>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E8">
      <w:pPr>
        <w:numPr>
          <w:ilvl w:val="0"/>
          <w:numId w:val="4"/>
        </w:numPr>
        <w:ind w:left="720" w:hanging="360"/>
        <w:rPr/>
      </w:pPr>
      <w:r w:rsidDel="00000000" w:rsidR="00000000" w:rsidRPr="00000000">
        <w:rPr>
          <w:rtl w:val="0"/>
        </w:rPr>
        <w:t xml:space="preserve">If you encountered any outliers, you should describe how these were handled</w:t>
      </w:r>
    </w:p>
    <w:p w:rsidR="00000000" w:rsidDel="00000000" w:rsidP="00000000" w:rsidRDefault="00000000" w:rsidRPr="00000000" w14:paraId="000000E9">
      <w:pPr>
        <w:numPr>
          <w:ilvl w:val="0"/>
          <w:numId w:val="4"/>
        </w:numPr>
        <w:ind w:left="720" w:hanging="360"/>
        <w:rPr/>
      </w:pPr>
      <w:r w:rsidDel="00000000" w:rsidR="00000000" w:rsidRPr="00000000">
        <w:rPr>
          <w:rtl w:val="0"/>
        </w:rPr>
        <w:t xml:space="preserve">Criteria for exclusion/inclusion of data should be clearly stated</w:t>
      </w:r>
    </w:p>
    <w:p w:rsidR="00000000" w:rsidDel="00000000" w:rsidP="00000000" w:rsidRDefault="00000000" w:rsidRPr="00000000" w14:paraId="000000EA">
      <w:pPr>
        <w:numPr>
          <w:ilvl w:val="0"/>
          <w:numId w:val="4"/>
        </w:numPr>
        <w:ind w:left="720" w:hanging="360"/>
        <w:rPr/>
      </w:pPr>
      <w:r w:rsidDel="00000000" w:rsidR="00000000" w:rsidRPr="00000000">
        <w:rPr>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b w:val="1"/>
          <w:rtl w:val="0"/>
        </w:rPr>
        <w:t xml:space="preserve">Statistical reporting</w:t>
      </w:r>
    </w:p>
    <w:p w:rsidR="00000000" w:rsidDel="00000000" w:rsidP="00000000" w:rsidRDefault="00000000" w:rsidRPr="00000000" w14:paraId="000000ED">
      <w:pPr>
        <w:numPr>
          <w:ilvl w:val="0"/>
          <w:numId w:val="3"/>
        </w:numPr>
        <w:ind w:left="720" w:hanging="360"/>
        <w:rPr/>
      </w:pPr>
      <w:r w:rsidDel="00000000" w:rsidR="00000000" w:rsidRPr="00000000">
        <w:rPr>
          <w:rtl w:val="0"/>
        </w:rPr>
        <w:t xml:space="preserve">Statistical analysis methods should be described and justified</w:t>
      </w:r>
    </w:p>
    <w:p w:rsidR="00000000" w:rsidDel="00000000" w:rsidP="00000000" w:rsidRDefault="00000000" w:rsidRPr="00000000" w14:paraId="000000EE">
      <w:pPr>
        <w:numPr>
          <w:ilvl w:val="0"/>
          <w:numId w:val="3"/>
        </w:numPr>
        <w:ind w:left="720" w:hanging="360"/>
        <w:rPr/>
      </w:pPr>
      <w:r w:rsidDel="00000000" w:rsidR="00000000" w:rsidRPr="00000000">
        <w:rPr>
          <w:rtl w:val="0"/>
        </w:rPr>
        <w:t xml:space="preserve">Raw data should be presented in figures whenever informative to do so (typically when N per group is less than 10)</w:t>
      </w:r>
    </w:p>
    <w:p w:rsidR="00000000" w:rsidDel="00000000" w:rsidP="00000000" w:rsidRDefault="00000000" w:rsidRPr="00000000" w14:paraId="000000EF">
      <w:pPr>
        <w:numPr>
          <w:ilvl w:val="0"/>
          <w:numId w:val="3"/>
        </w:numPr>
        <w:ind w:left="720" w:hanging="360"/>
        <w:rPr/>
      </w:pPr>
      <w:r w:rsidDel="00000000" w:rsidR="00000000" w:rsidRPr="00000000">
        <w:rPr>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F0">
      <w:pPr>
        <w:numPr>
          <w:ilvl w:val="0"/>
          <w:numId w:val="3"/>
        </w:numPr>
        <w:ind w:left="720" w:hanging="360"/>
        <w:rPr/>
      </w:pPr>
      <w:r w:rsidDel="00000000" w:rsidR="00000000" w:rsidRPr="00000000">
        <w:rPr>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b w:val="1"/>
        </w:rPr>
      </w:pPr>
      <w:r w:rsidDel="00000000" w:rsidR="00000000" w:rsidRPr="00000000">
        <w:rPr>
          <w:b w:val="1"/>
          <w:rtl w:val="0"/>
        </w:rPr>
        <w:t xml:space="preserve">Group allocation</w:t>
      </w:r>
    </w:p>
    <w:p w:rsidR="00000000" w:rsidDel="00000000" w:rsidP="00000000" w:rsidRDefault="00000000" w:rsidRPr="00000000" w14:paraId="000000F3">
      <w:pPr>
        <w:numPr>
          <w:ilvl w:val="0"/>
          <w:numId w:val="1"/>
        </w:numPr>
        <w:ind w:left="720" w:hanging="360"/>
        <w:rPr/>
      </w:pPr>
      <w:r w:rsidDel="00000000" w:rsidR="00000000" w:rsidRPr="00000000">
        <w:rPr>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F4">
      <w:pPr>
        <w:numPr>
          <w:ilvl w:val="0"/>
          <w:numId w:val="1"/>
        </w:numPr>
        <w:ind w:left="720" w:hanging="360"/>
        <w:rPr/>
      </w:pPr>
      <w:r w:rsidDel="00000000" w:rsidR="00000000" w:rsidRPr="00000000">
        <w:rPr>
          <w:rtl w:val="0"/>
        </w:rPr>
        <w:t xml:space="preserve">Indicate if masking was used during group allocation, data collection and/or data analysis</w:t>
      </w:r>
    </w:p>
    <w:sectPr>
      <w:headerReference r:id="rId16" w:type="default"/>
      <w:headerReference r:id="rId17" w:type="first"/>
      <w:footerReference r:id="rId18" w:type="default"/>
      <w:pgSz w:h="16840" w:w="11910" w:orient="portrait"/>
      <w:pgMar w:bottom="280" w:top="1360" w:left="1040" w:right="12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9050" distT="19050" distL="19050" distR="19050">
          <wp:extent cx="1295400" cy="447675"/>
          <wp:effectExtent b="0" l="0" r="0" t="0"/>
          <wp:docPr descr="A picture containing text, clipart&#10;&#10;Description automatically generated" id="6" name="image2.jpg"/>
          <a:graphic>
            <a:graphicData uri="http://schemas.openxmlformats.org/drawingml/2006/picture">
              <pic:pic>
                <pic:nvPicPr>
                  <pic:cNvPr descr="A picture containing text, clipart&#10;&#10;Description automatically generated" id="0" name="image2.jpg"/>
                  <pic:cNvPicPr preferRelativeResize="0"/>
                </pic:nvPicPr>
                <pic:blipFill>
                  <a:blip r:embed="rId1"/>
                  <a:srcRect b="0" l="0" r="0" t="0"/>
                  <a:stretch>
                    <a:fillRect/>
                  </a:stretch>
                </pic:blipFill>
                <pic:spPr>
                  <a:xfrm>
                    <a:off x="0" y="0"/>
                    <a:ext cx="1295400" cy="4476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3506679</wp:posOffset>
          </wp:positionH>
          <wp:positionV relativeFrom="paragraph">
            <wp:posOffset>-443901</wp:posOffset>
          </wp:positionV>
          <wp:extent cx="3390900" cy="1038225"/>
          <wp:effectExtent b="0" l="0" r="0" t="0"/>
          <wp:wrapSquare wrapText="bothSides" distB="0" distT="0" distL="114300" distR="114300"/>
          <wp:docPr descr="A picture containing background pattern&#10;&#10;Description automatically generated" id="5" name="image1.jpg"/>
          <a:graphic>
            <a:graphicData uri="http://schemas.openxmlformats.org/drawingml/2006/picture">
              <pic:pic>
                <pic:nvPicPr>
                  <pic:cNvPr descr="A picture containing background pattern&#10;&#10;Description automatically generated" id="0" name="image1.jpg"/>
                  <pic:cNvPicPr preferRelativeResize="0"/>
                </pic:nvPicPr>
                <pic:blipFill>
                  <a:blip r:embed="rId2"/>
                  <a:srcRect b="0" l="55162" r="0" t="0"/>
                  <a:stretch>
                    <a:fillRect/>
                  </a:stretch>
                </pic:blipFill>
                <pic:spPr>
                  <a:xfrm>
                    <a:off x="0" y="0"/>
                    <a:ext cx="3390900" cy="103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15526"/>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val="1"/>
    <w:rsid w:val="004E2C31"/>
    <w:pPr>
      <w:tabs>
        <w:tab w:val="center" w:pos="4513"/>
        <w:tab w:val="right" w:pos="9026"/>
      </w:tabs>
    </w:pPr>
  </w:style>
  <w:style w:type="character" w:styleId="FooterChar" w:customStyle="1">
    <w:name w:val="Footer Char"/>
    <w:basedOn w:val="DefaultParagraphFont"/>
    <w:link w:val="Footer"/>
    <w:uiPriority w:val="99"/>
    <w:rsid w:val="004E2C3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8/d41586-020-01751-5" TargetMode="External"/><Relationship Id="rId10" Type="http://schemas.openxmlformats.org/officeDocument/2006/relationships/hyperlink" Target="http://www.plosbiology.org/article/info:doi/10.1371/journal.pbio.1000412" TargetMode="External"/><Relationship Id="rId13" Type="http://schemas.openxmlformats.org/officeDocument/2006/relationships/hyperlink" Target="https://scicrunch.org/resources" TargetMode="External"/><Relationship Id="rId12" Type="http://schemas.openxmlformats.org/officeDocument/2006/relationships/hyperlink" Target="https://reviewer.elifesciences.org/author-guide/journal-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iosharing.org/" TargetMode="External"/><Relationship Id="rId15" Type="http://schemas.openxmlformats.org/officeDocument/2006/relationships/hyperlink" Target="https://doi.org/10.7554/eLife.48175" TargetMode="External"/><Relationship Id="rId14" Type="http://schemas.openxmlformats.org/officeDocument/2006/relationships/hyperlink" Target="https://scicrunch.org/resources" TargetMode="External"/><Relationship Id="rId17" Type="http://schemas.openxmlformats.org/officeDocument/2006/relationships/header" Target="head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7p99LiBpb8dDvDMHDYki8AQ7Kw==">CgMxLjAyCGguZ2pkZ3hzMgloLjMwajB6bGwyCWguMWZvYjl0ZTIJaC4zem55c2g3OAByITFNMmZLQ05BMUpHeG83UmdRR0RuZ1BaZlI5dFdQRnI4Nw==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cp:coreProperties>
</file>