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B4D6" w14:textId="77777777" w:rsidR="00026F45" w:rsidRPr="00026F45" w:rsidRDefault="00026F45" w:rsidP="00026F45">
      <w:pPr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026F45">
        <w:rPr>
          <w:rFonts w:ascii="Times New Roman" w:eastAsia="Times New Roman" w:hAnsi="Times New Roman" w:cs="Times New Roman"/>
          <w:b/>
          <w:bCs/>
          <w:shd w:val="clear" w:color="auto" w:fill="FFFFFF"/>
        </w:rPr>
        <w:t>Supplementary file 1:</w:t>
      </w:r>
    </w:p>
    <w:p w14:paraId="733D5499" w14:textId="661146A2" w:rsidR="00026F45" w:rsidRPr="00026F45" w:rsidRDefault="00026F45" w:rsidP="00026F45">
      <w:pPr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026F45">
        <w:rPr>
          <w:rFonts w:ascii="Times New Roman" w:eastAsia="Times New Roman" w:hAnsi="Times New Roman" w:cs="Times New Roman"/>
          <w:b/>
          <w:bCs/>
          <w:shd w:val="clear" w:color="auto" w:fill="FFFFFF"/>
        </w:rPr>
        <w:t>Table 1. Sample variability</w:t>
      </w:r>
      <w:r w:rsidR="004B07D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among individual brains</w:t>
      </w:r>
    </w:p>
    <w:p w14:paraId="12E37024" w14:textId="77777777" w:rsidR="00026F45" w:rsidRPr="00026F45" w:rsidRDefault="00026F45" w:rsidP="00026F45">
      <w:pPr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6F45" w:rsidRPr="00026F45" w14:paraId="3FE601F5" w14:textId="77777777" w:rsidTr="005E2F51">
        <w:tc>
          <w:tcPr>
            <w:tcW w:w="4675" w:type="dxa"/>
          </w:tcPr>
          <w:p w14:paraId="3A51C09D" w14:textId="77777777" w:rsidR="00026F45" w:rsidRPr="00026F45" w:rsidRDefault="00026F45" w:rsidP="005E2F51">
            <w:pP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026F4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Variability type and source</w:t>
            </w:r>
          </w:p>
        </w:tc>
        <w:tc>
          <w:tcPr>
            <w:tcW w:w="4675" w:type="dxa"/>
          </w:tcPr>
          <w:p w14:paraId="6D570EF7" w14:textId="77777777" w:rsidR="00026F45" w:rsidRPr="00026F45" w:rsidRDefault="00026F45" w:rsidP="005E2F51">
            <w:pP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026F4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Measures to minimize, if possible</w:t>
            </w:r>
          </w:p>
        </w:tc>
      </w:tr>
      <w:tr w:rsidR="00026F45" w:rsidRPr="00026F45" w14:paraId="0EF3DF63" w14:textId="77777777" w:rsidTr="005E2F51">
        <w:tc>
          <w:tcPr>
            <w:tcW w:w="9350" w:type="dxa"/>
            <w:gridSpan w:val="2"/>
          </w:tcPr>
          <w:p w14:paraId="75E5E0F4" w14:textId="77777777" w:rsidR="00026F45" w:rsidRPr="00026F45" w:rsidRDefault="00026F45" w:rsidP="005E2F51">
            <w:pP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026F4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Biological Variations</w:t>
            </w:r>
          </w:p>
        </w:tc>
      </w:tr>
      <w:tr w:rsidR="00026F45" w:rsidRPr="00026F45" w14:paraId="0D0F5684" w14:textId="77777777" w:rsidTr="005E2F51">
        <w:tc>
          <w:tcPr>
            <w:tcW w:w="4675" w:type="dxa"/>
          </w:tcPr>
          <w:p w14:paraId="3CCD9E6D" w14:textId="77777777" w:rsidR="00026F45" w:rsidRPr="00026F45" w:rsidRDefault="00026F45" w:rsidP="005E2F51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6F45">
              <w:rPr>
                <w:rFonts w:ascii="Times New Roman" w:eastAsia="Times New Roman" w:hAnsi="Times New Roman" w:cs="Times New Roman"/>
                <w:shd w:val="clear" w:color="auto" w:fill="FFFFFF"/>
              </w:rPr>
              <w:t>Developmental rate: The rate might differ among individual pupae.</w:t>
            </w:r>
          </w:p>
        </w:tc>
        <w:tc>
          <w:tcPr>
            <w:tcW w:w="4675" w:type="dxa"/>
          </w:tcPr>
          <w:p w14:paraId="37437DAF" w14:textId="77777777" w:rsidR="00026F45" w:rsidRPr="00026F45" w:rsidRDefault="00026F45" w:rsidP="005E2F51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6F4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To minimize the variation in developmental rate, we followed an established protocol from our early studies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hd w:val="clear" w:color="auto" w:fill="FFFFFF"/>
                </w:rPr>
                <w:tag w:val="MENDELEY_CITATION_v3_eyJjaXRhdGlvbklEIjoiTUVOREVMRVlfQ0lUQVRJT05fZGQwNDk4OWMtZTFkMy00NWQ4LWFmYzktMTk1NTViN2FmODVlIiwicHJvcGVydGllcyI6eyJub3RlSW5kZXgiOjB9LCJpc0VkaXRlZCI6ZmFsc2UsIm1hbnVhbE92ZXJyaWRlIjp7ImlzTWFudWFsbHlPdmVycmlkZGVuIjpmYWxzZSwiY2l0ZXByb2NUZXh0IjoiKEplZmZlcmlzIGV0IGFsLiwgMjAwMSkiLCJtYW51YWxPdmVycmlkZVRleHQiOiIifSwiY2l0YXRpb25JdGVtcyI6W3siaWQiOiI5YzgzNDIwMy1iNGM2LTM0NzMtYWQ5Zi1kZGZiYmRlYjgyNDciLCJpdGVtRGF0YSI6eyJ0eXBlIjoiYXJ0aWNsZS1qb3VybmFsIiwiaWQiOiI5YzgzNDIwMy1iNGM2LTM0NzMtYWQ5Zi1kZGZiYmRlYjgyNDciLCJ0aXRsZSI6IlRhcmdldCBuZXVyb24gcHJlc3BlY2lmaWNhdGlvbiBpbiB0aGUgb2xmYWN0b3J5IG1hcCBvZiBEcm9zb3BoaWxhIiwiYXV0aG9yIjpbeyJmYW1pbHkiOiJKZWZmZXJpcyIsImdpdmVuIjoiR3JlZ29yeSBTLlguRS4iLCJwYXJzZS1uYW1lcyI6ZmFsc2UsImRyb3BwaW5nLXBhcnRpY2xlIjoiIiwibm9uLWRyb3BwaW5nLXBhcnRpY2xlIjoiIn0seyJmYW1pbHkiOiJNYXJpbiIsImdpdmVuIjoiRWxpemFiZXRoIEMuIiwicGFyc2UtbmFtZXMiOmZhbHNlLCJkcm9wcGluZy1wYXJ0aWNsZSI6IiIsIm5vbi1kcm9wcGluZy1wYXJ0aWNsZSI6IiJ9LHsiZmFtaWx5IjoiU3RvY2tlciIsImdpdmVuIjoiUmVpbmhhcmQgRi4iLCJwYXJzZS1uYW1lcyI6ZmFsc2UsImRyb3BwaW5nLXBhcnRpY2xlIjoiIiwibm9uLWRyb3BwaW5nLXBhcnRpY2xlIjoiIn0seyJmYW1pbHkiOiJMdW8iLCJnaXZlbiI6IkxpcXVuIiwicGFyc2UtbmFtZXMiOmZhbHNlLCJkcm9wcGluZy1wYXJ0aWNsZSI6IiIsIm5vbi1kcm9wcGluZy1wYXJ0aWNsZSI6IiJ9XSwiY29udGFpbmVyLXRpdGxlIjoiTmF0dXJlIiwiY29udGFpbmVyLXRpdGxlLXNob3J0IjoiTmF0dXJlIiwiYWNjZXNzZWQiOnsiZGF0ZS1wYXJ0cyI6W1syMDIyLDEwLDExXV19LCJET0kiOiIxMC4xMDM4LzM1MTAyNTc0IiwiSVNTTiI6IjAwMjgtMDgzNiIsIlBNSUQiOiIxMTcxOTkzMCIsIlVSTCI6Imh0dHBzOi8vcHVibWVkLm5jYmkubmxtLm5paC5nb3YvMTE3MTk5MzAvIiwiaXNzdWVkIjp7ImRhdGUtcGFydHMiOltbMjAwMSwxMSw4XV19LCJwYWdlIjoiMjA0LTIwOCIsImFic3RyYWN0IjoiSW4gRHJvc29waGlsYSBhbmQgbWljZSwgb2xmYWN0b3J5IHJlY2VwdG9yIG5ldXJvbnMgKE9STnMpIGV4cHJlc3NpbmcgdGhlIHNhbWUgcmVjZXB0b3JzIGhhdmUgY29udmVyZ2VudCBheG9uYWwgcHJvamVjdGlvbnMgdG8gc3BlY2lmaWMgZ2xvbWVydWxhciB0YXJnZXRzIGluIHRoZSBhbnRlbm5hbCBsb2JlL29sZmFjdG9yeSBidWxiLCBjcmVhdGluZyBhbiBvZG91ciBtYXAgaW4gdGhpcyBmaXJzdCBvbGZhY3Rvcnkgc3RydWN0dXJlIG9mIHRoZSBjZW50cmFsIG5lcnZvdXMgc3lzdGVtMS0zLiBQcm9qZWN0aW9uIG5ldXJvbnMgb2YgdGhlIERyb3NvcGhpbGEgYW50ZW5uYWwgbG9iZSBzZW5kIGRlbmRyaXRlcyBpbnRvIGdsb21lcnVsaSBhbmQgYXhvbnMgdG8gaGlnaGVyIGJyYWluIGNlbnRyZXM0LCB0aGVyZWJ5IHRyYW5zZmVycmluZyB0aGlzIG9kb3VyIG1hcCBmdXJ0aGVyIGludG8gdGhlIGJyYWluLiBIZXJlIHdlIHVzZSB0aGUgTUFSQ00gbWV0aG9kNSB0byBwZXJmb3JtIGEgc3lzdGVtYXRpYyBjbG9uYWwgYW5hbHlzaXMgb2YgcHJvamVjdGlvbiBuZXVyb25zLCBhbGxvd2luZyB1cyB0byBjb3JyZWxhdGUgbGluZWFnZSBhbmQgYmlydGggdGltZSBvZiBwcm9qZWN0aW9uIG5ldXJvbnMgd2l0aCB0aGVpciBnbG9tZXJ1bGFyIGNob2ljZS4gV2UgZGVtb25zdHJhdGUgdGhhdCBwcm9qZWN0aW9uIG5ldXJvbnMgYXJlIHByZXNwZWNpZmllZCBieSBsaW5lYWdlIGFuZCBiaXJ0aCBvcmRlciB0byBmb3JtIGEgc3luYXBzZSB3aXRoIHNwZWNpZmljIGluY29taW5nIE9STiBheG9ucywgYW5kIHRoZXJlZm9yZSB0byBjYXJyeSBzcGVjaWZpYyBvbGZhY3RvcnkgaW5mb3JtYXRpb24uIFRoaXMgcHJlc3BlY2lmaWNhdGlvbiBjb3VsZCBiZSB1c2VkIHRvIGhhcmR3aXJlIHRoZSBmbHkncyBvbGZhY3Rvcnkgc3lzdGVtLCBlbmFibGluZyBzdGVyZW90eXBlZCBiZWhhdmlvdXJhbCByZXNwb25zZXMgdG8gb2RvcmFudHMuIERldmVsb3BtZW50YWwgc3R1ZGllcyBsZWFkIHVzIHRvIGh5cG90aGVzaXplIHRoYXQgcmVjb2duaXRpb24gbW9sZWN1bGVzIGVuc3VyZSByZWNpcHJvY2FsbHkgc3BlY2lmaWMgY29ubmVjdGlvbnMgb2YgT1JOcyBhbmQgcHJvamVjdGlvbiBuZXVyb25zLiBUaGVzZSBzdHVkaWVzIGFsc28gaW1wbHkgYSBwcmV2aW91c2x5IHVuYW50aWNpcGF0ZWQgcm9sZSBmb3IgcHJlY2lzZSBkZW5kcml0aWMgdGFyZ2V0aW5nIGJ5IHBvc3RzeW5hcHRpYyBuZXVyb25zIGluIGRldGVybWluaW5nIGNvbm5lY3Rpb24gc3BlY2lmaWNpdHkuIiwicHVibGlzaGVyIjoiTmF0dXJlIiwiaXNzdWUiOiI2ODYwIiwidm9sdW1lIjoiNDE0In0sImlzVGVtcG9yYXJ5IjpmYWxzZX1dfQ=="/>
                <w:id w:val="-1485856973"/>
                <w:placeholder>
                  <w:docPart w:val="DD922DC9959C3141950B8B8DBA19B982"/>
                </w:placeholder>
              </w:sdtPr>
              <w:sdtContent>
                <w:r w:rsidRPr="00026F45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</w:rPr>
                  <w:t>(Jefferis et al., 2001)</w:t>
                </w:r>
              </w:sdtContent>
            </w:sdt>
            <w:r w:rsidRPr="00026F45">
              <w:rPr>
                <w:rFonts w:ascii="Times New Roman" w:eastAsia="Times New Roman" w:hAnsi="Times New Roman" w:cs="Times New Roman"/>
                <w:shd w:val="clear" w:color="auto" w:fill="FFFFFF"/>
              </w:rPr>
              <w:t>, collected 0–3h APF white pupae, and raised them until indicated developmental stages.</w:t>
            </w:r>
          </w:p>
          <w:p w14:paraId="3339845B" w14:textId="77777777" w:rsidR="00026F45" w:rsidRPr="00026F45" w:rsidRDefault="00026F45" w:rsidP="005E2F51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14:paraId="40977279" w14:textId="77777777" w:rsidR="00026F45" w:rsidRPr="00026F45" w:rsidRDefault="00026F45" w:rsidP="005E2F51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6F45">
              <w:rPr>
                <w:rFonts w:ascii="Times New Roman" w:eastAsia="Times New Roman" w:hAnsi="Times New Roman" w:cs="Times New Roman"/>
                <w:shd w:val="clear" w:color="auto" w:fill="FFFFFF"/>
              </w:rPr>
              <w:t>We utilized two independent binary systems to co-label different PN types in the same brain. This approach minimizes technical and biological variations, allowing us to draw direct comparisons without the need of a ‘standard’ brain.</w:t>
            </w:r>
          </w:p>
        </w:tc>
      </w:tr>
      <w:tr w:rsidR="00026F45" w:rsidRPr="00026F45" w14:paraId="7555AF38" w14:textId="77777777" w:rsidTr="005E2F51">
        <w:tc>
          <w:tcPr>
            <w:tcW w:w="4675" w:type="dxa"/>
          </w:tcPr>
          <w:p w14:paraId="2076AF2A" w14:textId="77777777" w:rsidR="00026F45" w:rsidRPr="00026F45" w:rsidRDefault="00026F45" w:rsidP="005E2F51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6F4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Cell number of each PN type: This can vary even in the left and right antennal lobes of the same brain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hd w:val="clear" w:color="auto" w:fill="FFFFFF"/>
                </w:rPr>
                <w:tag w:val="MENDELEY_CITATION_v3_eyJjaXRhdGlvbklEIjoiTUVOREVMRVlfQ0lUQVRJT05fNzI1ZTM4YWEtODE3MS00ZDRkLTk3MWMtYWM2Yjk0ZTdhZmY1IiwicHJvcGVydGllcyI6eyJub3RlSW5kZXgiOjB9LCJpc0VkaXRlZCI6ZmFsc2UsIm1hbnVhbE92ZXJyaWRlIjp7ImlzTWFudWFsbHlPdmVycmlkZGVuIjpmYWxzZSwiY2l0ZXByb2NUZXh0IjoiKEJhdGVzIGV0IGFsLiwgMjAyMCkiLCJtYW51YWxPdmVycmlkZVRleHQiOiIifSwiY2l0YXRpb25JdGVtcyI6W3siaWQiOiJjMzFhOTc5Ny1hOTVhLTM1YjgtYTVlMS01OTMzZGNkYjY5NGUiLCJpdGVtRGF0YSI6eyJ0eXBlIjoiYXJ0aWNsZS1qb3VybmFsIiwiaWQiOiJjMzFhOTc5Ny1hOTVhLTM1YjgtYTVlMS01OTMzZGNkYjY5NGUiLCJ0aXRsZSI6IkNvbXBsZXRlIENvbm5lY3RvbWljIFJlY29uc3RydWN0aW9uIG9mIE9sZmFjdG9yeSBQcm9qZWN0aW9uIE5ldXJvbnMgaW4gdGhlIEZseSBCcmFpbiIsImF1dGhvciI6W3siZmFtaWx5IjoiQmF0ZXMiLCJnaXZlbiI6IkFsZXhhbmRlciBTLiIsInBhcnNlLW5hbWVzIjpmYWxzZSwiZHJvcHBpbmctcGFydGljbGUiOiIiLCJub24tZHJvcHBpbmctcGFydGljbGUiOiIifSx7ImZhbWlseSI6IlNjaGxlZ2VsIiwiZ2l2ZW4iOiJQaGlsaXBwIiwicGFyc2UtbmFtZXMiOmZhbHNlLCJkcm9wcGluZy1wYXJ0aWNsZSI6IiIsIm5vbi1kcm9wcGluZy1wYXJ0aWNsZSI6IiJ9LHsiZmFtaWx5IjoiUm9iZXJ0cyIsImdpdmVuIjoiUnVhaXJpIEouVi4iLCJwYXJzZS1uYW1lcyI6ZmFsc2UsImRyb3BwaW5nLXBhcnRpY2xlIjoiIiwibm9uLWRyb3BwaW5nLXBhcnRpY2xlIjoiIn0seyJmYW1pbHkiOiJEcnVtbW9uZCIsImdpdmVuIjoiTmlrb2xhcyIsInBhcnNlLW5hbWVzIjpmYWxzZSwiZHJvcHBpbmctcGFydGljbGUiOiIiLCJub24tZHJvcHBpbmctcGFydGljbGUiOiIifSx7ImZhbWlseSI6IlRhbWltaSIsImdpdmVuIjoiSW1hYW4gRi5NLiIsInBhcnNlLW5hbWVzIjpmYWxzZSwiZHJvcHBpbmctcGFydGljbGUiOiIiLCJub24tZHJvcHBpbmctcGFydGljbGUiOiIifSx7ImZhbWlseSI6IlR1cm5idWxsIiwiZ2l2ZW4iOiJSb2JlcnQiLCJwYXJzZS1uYW1lcyI6ZmFsc2UsImRyb3BwaW5nLXBhcnRpY2xlIjoiIiwibm9uLWRyb3BwaW5nLXBhcnRpY2xlIjoiIn0seyJmYW1pbHkiOiJaaGFvIiwiZ2l2ZW4iOiJYaW5jaGVuZyIsInBhcnNlLW5hbWVzIjpmYWxzZSwiZHJvcHBpbmctcGFydGljbGUiOiIiLCJub24tZHJvcHBpbmctcGFydGljbGUiOiIifSx7ImZhbWlseSI6Ik1hcmluIiwiZ2l2ZW4iOiJFbGl6YWJldGggQy4iLCJwYXJzZS1uYW1lcyI6ZmFsc2UsImRyb3BwaW5nLXBhcnRpY2xlIjoiIiwibm9uLWRyb3BwaW5nLXBhcnRpY2xlIjoiIn0seyJmYW1pbHkiOiJQb3BvdmljaSIsImdpdmVuIjoiUGF0cmljaWEgRC4iLCJwYXJzZS1uYW1lcyI6ZmFsc2UsImRyb3BwaW5nLXBhcnRpY2xlIjoiIiwibm9uLWRyb3BwaW5nLXBhcnRpY2xlIjoiIn0seyJmYW1pbHkiOiJEaGF3YW4iLCJnaXZlbiI6IlNlcmVuZSIsInBhcnNlLW5hbWVzIjpmYWxzZSwiZHJvcHBpbmctcGFydGljbGUiOiIiLCJub24tZHJvcHBpbmctcGFydGljbGUiOiIifSx7ImZhbWlseSI6IkphbWFzYiIsImdpdmVuIjoiQXJpYW4iLCJwYXJzZS1uYW1lcyI6ZmFsc2UsImRyb3BwaW5nLXBhcnRpY2xlIjoiIiwibm9uLWRyb3BwaW5nLXBhcnRpY2xlIjoiIn0seyJmYW1pbHkiOiJKYXZpZXIiLCJnaXZlbiI6IkFsZXhhbmRyZSIsInBhcnNlLW5hbWVzIjpmYWxzZSwiZHJvcHBpbmctcGFydGljbGUiOiIiLCJub24tZHJvcHBpbmctcGFydGljbGUiOiIifSx7ImZhbWlseSI6IlNlcnJhdG9zYSBDYXBkZXZpbGEiLCJnaXZlbiI6IkxhaWEiLCJwYXJzZS1uYW1lcyI6ZmFsc2UsImRyb3BwaW5nLXBhcnRpY2xlIjoiIiwibm9uLWRyb3BwaW5nLXBhcnRpY2xlIjoiIn0seyJmYW1pbHkiOiJMaSIsImdpdmVuIjoiRmVuZyIsInBhcnNlLW5hbWVzIjpmYWxzZSwiZHJvcHBpbmctcGFydGljbGUiOiIiLCJub24tZHJvcHBpbmctcGFydGljbGUiOiIifSx7ImZhbWlseSI6IlJ1YmluIiwiZ2l2ZW4iOiJHZXJhbGQgTS4iLCJwYXJzZS1uYW1lcyI6ZmFsc2UsImRyb3BwaW5nLXBhcnRpY2xlIjoiIiwibm9uLWRyb3BwaW5nLXBhcnRpY2xlIjoiIn0seyJmYW1pbHkiOiJXYWRkZWxsIiwiZ2l2ZW4iOiJTY290dCIsInBhcnNlLW5hbWVzIjpmYWxzZSwiZHJvcHBpbmctcGFydGljbGUiOiIiLCJub24tZHJvcHBpbmctcGFydGljbGUiOiIifSx7ImZhbWlseSI6IkJvY2siLCJnaXZlbiI6IkRhdmkgRC4iLCJwYXJzZS1uYW1lcyI6ZmFsc2UsImRyb3BwaW5nLXBhcnRpY2xlIjoiIiwibm9uLWRyb3BwaW5nLXBhcnRpY2xlIjoiIn0seyJmYW1pbHkiOiJDb3N0YSIsImdpdmVuIjoiTWFydGEiLCJwYXJzZS1uYW1lcyI6ZmFsc2UsImRyb3BwaW5nLXBhcnRpY2xlIjoiIiwibm9uLWRyb3BwaW5nLXBhcnRpY2xlIjoiIn0seyJmYW1pbHkiOiJKZWZmZXJpcyIsImdpdmVuIjoiR3JlZ29yeSBTLlguRS4iLCJwYXJzZS1uYW1lcyI6ZmFsc2UsImRyb3BwaW5nLXBhcnRpY2xlIjoiIiwibm9uLWRyb3BwaW5nLXBhcnRpY2xlIjoiIn1dLCJjb250YWluZXItdGl0bGUiOiJDdXJyZW50IGJpb2xvZ3kgOiBDQiIsImNvbnRhaW5lci10aXRsZS1zaG9ydCI6IkN1cnIgQmlvbCIsImFjY2Vzc2VkIjp7ImRhdGUtcGFydHMiOltbMjAyMiwxMSwyN11dfSwiRE9JIjoiMTAuMTAxNi9KLkNVQi4yMDIwLjA2LjA0MiIsIklTU04iOiIxODc5LTA0NDUiLCJQTUlEIjoiMzI2MTk0ODUiLCJVUkwiOiJodHRwczovL3B1Ym1lZC5uY2JpLm5sbS5uaWguZ292LzMyNjE5NDg1LyIsImlzc3VlZCI6eyJkYXRlLXBhcnRzIjpbWzIwMjAsOCwxN11dfSwicGFnZSI6IjMxODMtMzE5OS5lNiIsImFic3RyYWN0IjoiTmVydm91cyBzeXN0ZW1zIGNvbnRhaW4gc2Vuc29yeSBuZXVyb25zLCBsb2NhbCBuZXVyb25zLCBwcm9qZWN0aW9uIG5ldXJvbnMsIGFuZCBtb3RvciBuZXVyb25zLiBUbyB1bmRlcnN0YW5kIGhvdyB0aGVzZSBidWlsZGluZyBibG9ja3MgZm9ybSB3aG9sZSBjaXJjdWl0cywgd2UgbXVzdCBkaXN0aWwgdGhlc2UgYnJvYWQgY2xhc3NlcyBpbnRvIG5ldXJvbmFsIGNlbGwgdHlwZXMgYW5kIGRlc2NyaWJlIHRoZWlyIG5ldHdvcmsgY29ubmVjdGl2aXR5LiBVc2luZyBhbiBlbGVjdHJvbiBtaWNyb2dyYXBoIGRhdGFzZXQgZm9yIGFuIGVudGlyZSBEcm9zb3BoaWxhIG1lbGFub2dhc3RlciBicmFpbiwgd2UgcmVjb25zdHJ1Y3QgdGhlIGZpcnN0IGNvbXBsZXRlIGludmVudG9yeSBvZiBvbGZhY3RvcnkgcHJvamVjdGlvbnMgY29ubmVjdGluZyB0aGUgYW50ZW5uYWwgbG9iZSwgdGhlIGluc2VjdCBhbmFsb2cgb2YgdGhlIG1hbW1hbGlhbiBvbGZhY3RvcnkgYnVsYiwgdG8gaGlnaGVyLW9yZGVyIGJyYWluIHJlZ2lvbnMgaW4gYW4gYWR1bHQgYW5pbWFsIGJyYWluLiBXZSB0aGVuIGNvbm5lY3QgdGhpcyBpbnZlbnRvcnkgdG8gZXh0YW50IGRhdGEgaW4gdGhlIGxpdGVyYXR1cmUsIHByb3ZpZGluZyBzeW5hcHRpYy1yZXNvbHV0aW9uIOKAnGhvbG90eXBlc+KAnSBib3RoIGZvciBoZWF2aWx5IGludmVzdGlnYXRlZCBhbmQgcHJldmlvdXNseSB1bmtub3duIGNlbGwgdHlwZXMuIFByb2plY3Rpb24gbmV1cm9ucyBhcmUgYXBwcm94aW1hdGVseSB0d2ljZSBhcyBudW1lcm91cyBhcyByZXBvcnRlZCBieSBsaWdodCBsZXZlbCBzdHVkaWVzOyBjZWxsIHR5cGVzIGFyZSBzdGVyZW90eXBlZCwgYnV0IG5vdCBpZGVudGljYWwsIGluIGNlbGwgYW5kIHN5bmFwc2UgbnVtYmVycyBiZXR3ZWVuIGJyYWluIGhlbWlzcGhlcmVzLiBUaGUgbGF0ZXJhbCBob3JuLCB0aGUgaW5zZWN0IGFuYWxvZyBvZiB0aGUgbWFtbWFsaWFuIGNvcnRpY2FsIGFteWdkYWxhLCBpcyB0aGUgbWFpbiB0YXJnZXQgZm9yIHRoaXMgb2xmYWN0b3J5IGluZm9ybWF0aW9uIGFuZCBoYXMgYmVlbiBzaG93biB0byBndWlkZSBpbm5hdGUgYmVoYXZpb3IuIEhlcmUsIHdlIGZpbmQgbmV3IGNvbm5lY3Rpdml0eSBtb3RpZnMsIGluY2x1ZGluZyBheG8tYXhvbmljIGNvbm5lY3Rpdml0eSBiZXR3ZWVuIHByb2plY3Rpb24gbmV1cm9ucywgZmVlZGJhY2ssIGFuZCBsYXRlcmFsIGluaGliaXRpb24gb2YgdGhlc2UgYXhvbnMgYnkgYSBsYXJnZSBwb3B1bGF0aW9uIG9mIG5ldXJvbnMsIGFuZCB0aGUgY29udmVyZ2VuY2Ugb2YgZGlmZmVyZW50IGlucHV0cywgaW5jbHVkaW5nIG5vbi1vbGZhY3RvcnkgaW5wdXRzIGFuZCBtZW1vcnktcmVsYXRlZCBmZWVkYmFjayBvbnRvIHRoaXJkLW9yZGVyIG9sZmFjdG9yeSBuZXVyb25zLiBUaGVzZSBmZWF0dXJlcyBhcmUgbGVzcyBwcm9taW5lbnQgaW4gdGhlIG11c2hyb29tIGJvZHkgY2FseXgsIHRoZSBpbnNlY3QgYW5hbG9nIG9mIHRoZSBtYW1tYWxpYW4gcGlyaWZvcm0gY29ydGV4IGFuZCBhIGNlbnRlciBmb3IgYXNzb2NpYXRpdmUgbWVtb3J5LiBPdXIgd29yayBwcm92aWRlcyBhIGNvbXBsZXRlIG5ldXJvYW5hdG9taWNhbCBwbGF0Zm9ybSBmb3IgZnV0dXJlIHN0dWRpZXMgb2YgdGhlIGFkdWx0IERyb3NvcGhpbGEgb2xmYWN0b3J5IHN5c3RlbS4iLCJwdWJsaXNoZXIiOiJDdXJyIEJpb2wiLCJpc3N1ZSI6IjE2Iiwidm9sdW1lIjoiMzAifSwiaXNUZW1wb3JhcnkiOmZhbHNlfV19"/>
                <w:id w:val="-2013057742"/>
                <w:placeholder>
                  <w:docPart w:val="DD922DC9959C3141950B8B8DBA19B982"/>
                </w:placeholder>
              </w:sdtPr>
              <w:sdtContent>
                <w:r w:rsidRPr="00026F45">
                  <w:rPr>
                    <w:rFonts w:ascii="Times New Roman" w:eastAsia="Times New Roman" w:hAnsi="Times New Roman" w:cs="Times New Roman"/>
                    <w:color w:val="000000"/>
                    <w:shd w:val="clear" w:color="auto" w:fill="FFFFFF"/>
                  </w:rPr>
                  <w:t>(Bates et al., 2020)</w:t>
                </w:r>
              </w:sdtContent>
            </w:sdt>
            <w:r w:rsidRPr="00026F45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4675" w:type="dxa"/>
          </w:tcPr>
          <w:p w14:paraId="042AB45B" w14:textId="77777777" w:rsidR="00026F45" w:rsidRPr="00026F45" w:rsidRDefault="00026F45" w:rsidP="005E2F51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6F4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The initial dendrite targeting position appears to be independent of the cell number (compare dendrite targeting of multiple DL1 PNs in </w:t>
            </w:r>
            <w:r w:rsidRPr="00026F4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Figure 3A</w:t>
            </w:r>
            <w:r w:rsidRPr="00026F4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vertAlign w:val="subscript"/>
              </w:rPr>
              <w:t>3</w:t>
            </w:r>
            <w:r w:rsidRPr="00026F4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with that of single DL1 PN in </w:t>
            </w:r>
            <w:r w:rsidRPr="00026F4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Figure 3D</w:t>
            </w:r>
            <w:r w:rsidRPr="00026F4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vertAlign w:val="subscript"/>
              </w:rPr>
              <w:t>3</w:t>
            </w:r>
            <w:r w:rsidRPr="00026F45">
              <w:rPr>
                <w:rFonts w:ascii="Times New Roman" w:eastAsia="Times New Roman" w:hAnsi="Times New Roman" w:cs="Times New Roman"/>
                <w:shd w:val="clear" w:color="auto" w:fill="FFFFFF"/>
              </w:rPr>
              <w:t>).</w:t>
            </w:r>
          </w:p>
        </w:tc>
      </w:tr>
      <w:tr w:rsidR="00026F45" w:rsidRPr="00026F45" w14:paraId="537F799A" w14:textId="77777777" w:rsidTr="005E2F51">
        <w:tc>
          <w:tcPr>
            <w:tcW w:w="4675" w:type="dxa"/>
          </w:tcPr>
          <w:p w14:paraId="732FDEF7" w14:textId="77777777" w:rsidR="00026F45" w:rsidRPr="00026F45" w:rsidRDefault="00026F45" w:rsidP="005E2F51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6F45">
              <w:rPr>
                <w:rFonts w:ascii="Times New Roman" w:eastAsia="Times New Roman" w:hAnsi="Times New Roman" w:cs="Times New Roman"/>
                <w:shd w:val="clear" w:color="auto" w:fill="FFFFFF"/>
              </w:rPr>
              <w:t>Cell body positions of the same PN type: For example, DL1 cell bodies can be found on either the anterior (</w:t>
            </w:r>
            <w:r w:rsidRPr="00026F4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Figure 3D</w:t>
            </w:r>
            <w:r w:rsidRPr="00026F4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vertAlign w:val="subscript"/>
              </w:rPr>
              <w:t>2</w:t>
            </w:r>
            <w:r w:rsidRPr="00026F45">
              <w:rPr>
                <w:rFonts w:ascii="Times New Roman" w:eastAsia="Times New Roman" w:hAnsi="Times New Roman" w:cs="Times New Roman"/>
                <w:shd w:val="clear" w:color="auto" w:fill="FFFFFF"/>
              </w:rPr>
              <w:t>) or the dorsal (</w:t>
            </w:r>
            <w:r w:rsidRPr="00026F4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Figure 3D</w:t>
            </w:r>
            <w:r w:rsidRPr="00026F4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vertAlign w:val="subscript"/>
              </w:rPr>
              <w:t>3</w:t>
            </w:r>
            <w:r w:rsidRPr="00026F45">
              <w:rPr>
                <w:rFonts w:ascii="Times New Roman" w:eastAsia="Times New Roman" w:hAnsi="Times New Roman" w:cs="Times New Roman"/>
                <w:shd w:val="clear" w:color="auto" w:fill="FFFFFF"/>
              </w:rPr>
              <w:t>) side of the antennal lobe.</w:t>
            </w:r>
          </w:p>
        </w:tc>
        <w:tc>
          <w:tcPr>
            <w:tcW w:w="4675" w:type="dxa"/>
          </w:tcPr>
          <w:p w14:paraId="0E89B207" w14:textId="77777777" w:rsidR="00026F45" w:rsidRPr="00026F45" w:rsidRDefault="00026F45" w:rsidP="005E2F51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6F4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The initial dendrite targeting position appears to be independent of the cell body position (compare dendrite targeting in </w:t>
            </w:r>
            <w:r w:rsidRPr="00026F4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Figure 3D</w:t>
            </w:r>
            <w:r w:rsidRPr="00026F4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vertAlign w:val="subscript"/>
              </w:rPr>
              <w:t>2–3</w:t>
            </w:r>
            <w:r w:rsidRPr="00026F45">
              <w:rPr>
                <w:rFonts w:ascii="Times New Roman" w:eastAsia="Times New Roman" w:hAnsi="Times New Roman" w:cs="Times New Roman"/>
                <w:shd w:val="clear" w:color="auto" w:fill="FFFFFF"/>
              </w:rPr>
              <w:t>).</w:t>
            </w:r>
          </w:p>
        </w:tc>
      </w:tr>
      <w:tr w:rsidR="00026F45" w:rsidRPr="00026F45" w14:paraId="4215850F" w14:textId="77777777" w:rsidTr="005E2F51">
        <w:tc>
          <w:tcPr>
            <w:tcW w:w="9350" w:type="dxa"/>
            <w:gridSpan w:val="2"/>
          </w:tcPr>
          <w:p w14:paraId="5C68F896" w14:textId="77777777" w:rsidR="00026F45" w:rsidRPr="00026F45" w:rsidRDefault="00026F45" w:rsidP="005E2F51">
            <w:pP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026F4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Technical Variations</w:t>
            </w:r>
          </w:p>
        </w:tc>
      </w:tr>
      <w:tr w:rsidR="00026F45" w:rsidRPr="00026F45" w14:paraId="63A9242C" w14:textId="77777777" w:rsidTr="005E2F51">
        <w:tc>
          <w:tcPr>
            <w:tcW w:w="4675" w:type="dxa"/>
          </w:tcPr>
          <w:p w14:paraId="4E9E5FDF" w14:textId="77777777" w:rsidR="00026F45" w:rsidRPr="00026F45" w:rsidRDefault="00026F45" w:rsidP="005E2F51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6F45">
              <w:rPr>
                <w:rFonts w:ascii="Times New Roman" w:eastAsia="Times New Roman" w:hAnsi="Times New Roman" w:cs="Times New Roman"/>
                <w:shd w:val="clear" w:color="auto" w:fill="FFFFFF"/>
              </w:rPr>
              <w:t>Mounting angles</w:t>
            </w:r>
          </w:p>
        </w:tc>
        <w:tc>
          <w:tcPr>
            <w:tcW w:w="4675" w:type="dxa"/>
          </w:tcPr>
          <w:p w14:paraId="2CD0DC88" w14:textId="77777777" w:rsidR="00026F45" w:rsidRPr="00026F45" w:rsidRDefault="00026F45" w:rsidP="005E2F51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6F45">
              <w:rPr>
                <w:rFonts w:ascii="Times New Roman" w:eastAsia="Times New Roman" w:hAnsi="Times New Roman" w:cs="Times New Roman"/>
                <w:shd w:val="clear" w:color="auto" w:fill="FFFFFF"/>
              </w:rPr>
              <w:t>We excluded mounted brains that were twisted, stretched, damaged, or improperly orientated.</w:t>
            </w:r>
          </w:p>
        </w:tc>
      </w:tr>
      <w:tr w:rsidR="00026F45" w:rsidRPr="00026F45" w14:paraId="34D85F85" w14:textId="77777777" w:rsidTr="005E2F51">
        <w:tc>
          <w:tcPr>
            <w:tcW w:w="4675" w:type="dxa"/>
          </w:tcPr>
          <w:p w14:paraId="6ADD92DC" w14:textId="77777777" w:rsidR="00026F45" w:rsidRPr="00026F45" w:rsidRDefault="00026F45" w:rsidP="005E2F51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6F45">
              <w:rPr>
                <w:rFonts w:ascii="Times New Roman" w:eastAsia="Times New Roman" w:hAnsi="Times New Roman" w:cs="Times New Roman"/>
                <w:shd w:val="clear" w:color="auto" w:fill="FFFFFF"/>
              </w:rPr>
              <w:t>Staining efficiency</w:t>
            </w:r>
          </w:p>
        </w:tc>
        <w:tc>
          <w:tcPr>
            <w:tcW w:w="4675" w:type="dxa"/>
          </w:tcPr>
          <w:p w14:paraId="5157EAD2" w14:textId="77777777" w:rsidR="00026F45" w:rsidRPr="00026F45" w:rsidRDefault="00026F45" w:rsidP="005E2F51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6F45">
              <w:rPr>
                <w:rFonts w:ascii="Times New Roman" w:eastAsia="Times New Roman" w:hAnsi="Times New Roman" w:cs="Times New Roman"/>
                <w:shd w:val="clear" w:color="auto" w:fill="FFFFFF"/>
              </w:rPr>
              <w:t>We excluded brains that were stained unevenly (as revealed by the Ncad neuropil staining).</w:t>
            </w:r>
          </w:p>
        </w:tc>
      </w:tr>
      <w:tr w:rsidR="00026F45" w:rsidRPr="00026F45" w14:paraId="38A34724" w14:textId="77777777" w:rsidTr="005E2F51">
        <w:tc>
          <w:tcPr>
            <w:tcW w:w="4675" w:type="dxa"/>
          </w:tcPr>
          <w:p w14:paraId="6BD53400" w14:textId="77777777" w:rsidR="00026F45" w:rsidRPr="00026F45" w:rsidRDefault="00026F45" w:rsidP="005E2F51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6F45">
              <w:rPr>
                <w:rFonts w:ascii="Times New Roman" w:eastAsia="Times New Roman" w:hAnsi="Times New Roman" w:cs="Times New Roman"/>
                <w:shd w:val="clear" w:color="auto" w:fill="FFFFFF"/>
              </w:rPr>
              <w:t>Genetic design: Given the random nature of FLP/</w:t>
            </w:r>
            <w:r w:rsidRPr="00026F45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FRT</w:t>
            </w:r>
            <w:r w:rsidRPr="00026F4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recombination, we speculate that we might only label a subset of neurons of a given PN type, and thus the number of PNs being labeled should vary among individual samples.</w:t>
            </w:r>
          </w:p>
        </w:tc>
        <w:tc>
          <w:tcPr>
            <w:tcW w:w="4675" w:type="dxa"/>
          </w:tcPr>
          <w:p w14:paraId="6D38D72A" w14:textId="77777777" w:rsidR="00026F45" w:rsidRPr="00026F45" w:rsidRDefault="00026F45" w:rsidP="005E2F51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6F45">
              <w:rPr>
                <w:rFonts w:ascii="Times New Roman" w:eastAsia="Times New Roman" w:hAnsi="Times New Roman" w:cs="Times New Roman"/>
                <w:shd w:val="clear" w:color="auto" w:fill="FFFFFF"/>
              </w:rPr>
              <w:t>As mentioned above, variation in cell number should have no effects on dendrite targeting.</w:t>
            </w:r>
          </w:p>
        </w:tc>
      </w:tr>
    </w:tbl>
    <w:p w14:paraId="6AED04AB" w14:textId="77777777" w:rsidR="00026F45" w:rsidRPr="00026F45" w:rsidRDefault="00026F45" w:rsidP="00026F45">
      <w:pPr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14:paraId="7338FD0C" w14:textId="77777777" w:rsidR="00696749" w:rsidRDefault="00696749"/>
    <w:sectPr w:rsidR="00696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45"/>
    <w:rsid w:val="00026F45"/>
    <w:rsid w:val="004B07D3"/>
    <w:rsid w:val="0069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2482A"/>
  <w15:chartTrackingRefBased/>
  <w15:docId w15:val="{3138D3C7-EB57-EB4E-A7D3-2C370865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922DC9959C3141950B8B8DBA19B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D3326-F4AA-8146-9055-53745E2F7C18}"/>
      </w:docPartPr>
      <w:docPartBody>
        <w:p w:rsidR="006A252B" w:rsidRDefault="007157A7" w:rsidP="007157A7">
          <w:pPr>
            <w:pStyle w:val="DD922DC9959C3141950B8B8DBA19B982"/>
          </w:pPr>
          <w:r w:rsidRPr="006F24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A7"/>
    <w:rsid w:val="006A252B"/>
    <w:rsid w:val="007157A7"/>
    <w:rsid w:val="00D87B6C"/>
    <w:rsid w:val="00E7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7A7"/>
    <w:rPr>
      <w:color w:val="808080"/>
    </w:rPr>
  </w:style>
  <w:style w:type="paragraph" w:customStyle="1" w:styleId="DD922DC9959C3141950B8B8DBA19B982">
    <w:name w:val="DD922DC9959C3141950B8B8DBA19B982"/>
    <w:rsid w:val="007157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 Lam Wong</dc:creator>
  <cp:keywords/>
  <dc:description/>
  <cp:lastModifiedBy>Kin Lam Wong</cp:lastModifiedBy>
  <cp:revision>2</cp:revision>
  <dcterms:created xsi:type="dcterms:W3CDTF">2023-03-06T18:39:00Z</dcterms:created>
  <dcterms:modified xsi:type="dcterms:W3CDTF">2023-03-07T19:27:00Z</dcterms:modified>
</cp:coreProperties>
</file>