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1786"/>
        <w:gridCol w:w="1786"/>
      </w:tblGrid>
      <w:tr w:rsidR="00D4273A" w:rsidRPr="00DC4440" w14:paraId="6782585D" w14:textId="77777777" w:rsidTr="000820CC">
        <w:trPr>
          <w:trHeight w:val="300"/>
        </w:trPr>
        <w:tc>
          <w:tcPr>
            <w:tcW w:w="1960" w:type="dxa"/>
            <w:noWrap/>
            <w:hideMark/>
          </w:tcPr>
          <w:p w14:paraId="78443220" w14:textId="77777777" w:rsidR="00D4273A" w:rsidRPr="00DC4440" w:rsidRDefault="00D4273A" w:rsidP="000820CC"/>
        </w:tc>
        <w:tc>
          <w:tcPr>
            <w:tcW w:w="1786" w:type="dxa"/>
            <w:noWrap/>
            <w:hideMark/>
          </w:tcPr>
          <w:p w14:paraId="6B43F048" w14:textId="77777777" w:rsidR="00D4273A" w:rsidRPr="00DC4440" w:rsidRDefault="00D4273A" w:rsidP="000820CC">
            <w:r w:rsidRPr="00AD4765">
              <w:rPr>
                <w:i/>
              </w:rPr>
              <w:t>Sa</w:t>
            </w:r>
            <w:r>
              <w:t xml:space="preserve"> </w:t>
            </w:r>
            <w:proofErr w:type="spellStart"/>
            <w:r>
              <w:t>GpsB</w:t>
            </w:r>
            <w:r w:rsidRPr="00AD4765">
              <w:rPr>
                <w:vertAlign w:val="superscript"/>
              </w:rPr>
              <w:t>WT</w:t>
            </w:r>
            <w:r w:rsidRPr="00AD4765">
              <w:rPr>
                <w:vertAlign w:val="subscript"/>
              </w:rPr>
              <w:t>FL</w:t>
            </w:r>
            <w:proofErr w:type="spellEnd"/>
            <w:r w:rsidRPr="00DC4440">
              <w:t xml:space="preserve"> </w:t>
            </w:r>
          </w:p>
        </w:tc>
        <w:tc>
          <w:tcPr>
            <w:tcW w:w="1786" w:type="dxa"/>
            <w:noWrap/>
            <w:hideMark/>
          </w:tcPr>
          <w:p w14:paraId="2865E156" w14:textId="77777777" w:rsidR="00D4273A" w:rsidRPr="00DC4440" w:rsidRDefault="00D4273A" w:rsidP="000820CC">
            <w:r w:rsidRPr="00AD4765">
              <w:rPr>
                <w:i/>
              </w:rPr>
              <w:t>Sa</w:t>
            </w:r>
            <w:r>
              <w:t xml:space="preserve"> </w:t>
            </w:r>
            <w:proofErr w:type="spellStart"/>
            <w:r>
              <w:t>GpsB</w:t>
            </w:r>
            <w:r w:rsidRPr="00AD4765">
              <w:rPr>
                <w:vertAlign w:val="superscript"/>
              </w:rPr>
              <w:t>ΔMAD</w:t>
            </w:r>
            <w:r>
              <w:rPr>
                <w:vertAlign w:val="subscript"/>
              </w:rPr>
              <w:t>FL</w:t>
            </w:r>
            <w:proofErr w:type="spellEnd"/>
            <w:r w:rsidRPr="00DC4440">
              <w:t xml:space="preserve"> </w:t>
            </w:r>
          </w:p>
        </w:tc>
      </w:tr>
      <w:tr w:rsidR="00D4273A" w:rsidRPr="00DC4440" w14:paraId="3F5DD8CB" w14:textId="77777777" w:rsidTr="000820CC">
        <w:trPr>
          <w:trHeight w:val="300"/>
        </w:trPr>
        <w:tc>
          <w:tcPr>
            <w:tcW w:w="1960" w:type="dxa"/>
            <w:noWrap/>
            <w:hideMark/>
          </w:tcPr>
          <w:p w14:paraId="0E84C380" w14:textId="77777777" w:rsidR="00D4273A" w:rsidRPr="00DC4440" w:rsidRDefault="00D4273A" w:rsidP="000820CC">
            <w:r w:rsidRPr="00701123">
              <w:rPr>
                <w:i/>
              </w:rPr>
              <w:t>Sa</w:t>
            </w:r>
            <w:r w:rsidRPr="00DC4440">
              <w:t xml:space="preserve"> </w:t>
            </w:r>
            <w:proofErr w:type="spellStart"/>
            <w:r w:rsidRPr="00DC4440">
              <w:t>FtsZ</w:t>
            </w:r>
            <w:proofErr w:type="spellEnd"/>
            <w:r w:rsidRPr="00DC4440">
              <w:t xml:space="preserve"> (325-390)</w:t>
            </w:r>
          </w:p>
        </w:tc>
        <w:tc>
          <w:tcPr>
            <w:tcW w:w="1786" w:type="dxa"/>
            <w:noWrap/>
            <w:hideMark/>
          </w:tcPr>
          <w:p w14:paraId="164CC591" w14:textId="77777777" w:rsidR="00D4273A" w:rsidRPr="00DC4440" w:rsidRDefault="00D4273A" w:rsidP="000820CC">
            <w:r w:rsidRPr="00DC4440">
              <w:t>40.2</w:t>
            </w:r>
            <w:r>
              <w:t>1</w:t>
            </w:r>
            <w:r w:rsidRPr="00DC4440">
              <w:t xml:space="preserve"> ± 1.</w:t>
            </w:r>
            <w:r>
              <w:t>77 µM</w:t>
            </w:r>
          </w:p>
        </w:tc>
        <w:tc>
          <w:tcPr>
            <w:tcW w:w="1786" w:type="dxa"/>
            <w:noWrap/>
            <w:hideMark/>
          </w:tcPr>
          <w:p w14:paraId="1A440AC5" w14:textId="77777777" w:rsidR="00D4273A" w:rsidRPr="00DC4440" w:rsidRDefault="00D4273A" w:rsidP="000820CC">
            <w:r w:rsidRPr="00DC4440">
              <w:t>74.01 ± 4.34</w:t>
            </w:r>
            <w:r>
              <w:t xml:space="preserve"> µM</w:t>
            </w:r>
          </w:p>
        </w:tc>
      </w:tr>
      <w:tr w:rsidR="00D4273A" w:rsidRPr="00DC4440" w14:paraId="471C529C" w14:textId="77777777" w:rsidTr="000820CC">
        <w:trPr>
          <w:trHeight w:val="300"/>
        </w:trPr>
        <w:tc>
          <w:tcPr>
            <w:tcW w:w="1960" w:type="dxa"/>
            <w:noWrap/>
            <w:hideMark/>
          </w:tcPr>
          <w:p w14:paraId="0E52CA8D" w14:textId="77777777" w:rsidR="00D4273A" w:rsidRPr="00DC4440" w:rsidRDefault="00D4273A" w:rsidP="000820CC">
            <w:r w:rsidRPr="00701123">
              <w:rPr>
                <w:i/>
              </w:rPr>
              <w:t>Sa</w:t>
            </w:r>
            <w:r w:rsidRPr="00DC4440">
              <w:t xml:space="preserve"> </w:t>
            </w:r>
            <w:proofErr w:type="spellStart"/>
            <w:r w:rsidRPr="00DC4440">
              <w:t>FtsZ</w:t>
            </w:r>
            <w:proofErr w:type="spellEnd"/>
            <w:r w:rsidRPr="00DC4440">
              <w:t xml:space="preserve"> (379-390)</w:t>
            </w:r>
          </w:p>
        </w:tc>
        <w:tc>
          <w:tcPr>
            <w:tcW w:w="1786" w:type="dxa"/>
            <w:noWrap/>
            <w:hideMark/>
          </w:tcPr>
          <w:p w14:paraId="19313ECB" w14:textId="77777777" w:rsidR="00D4273A" w:rsidRPr="00DC4440" w:rsidRDefault="00D4273A" w:rsidP="000820CC">
            <w:r w:rsidRPr="00DC4440">
              <w:t>73.63</w:t>
            </w:r>
            <w:r>
              <w:t xml:space="preserve"> </w:t>
            </w:r>
            <w:r w:rsidRPr="00DC4440">
              <w:t>±</w:t>
            </w:r>
            <w:r>
              <w:t xml:space="preserve"> 9.43 µM</w:t>
            </w:r>
          </w:p>
        </w:tc>
        <w:tc>
          <w:tcPr>
            <w:tcW w:w="1786" w:type="dxa"/>
            <w:noWrap/>
            <w:hideMark/>
          </w:tcPr>
          <w:p w14:paraId="1142B4BC" w14:textId="77777777" w:rsidR="00D4273A" w:rsidRPr="00DC4440" w:rsidRDefault="00D4273A" w:rsidP="000820CC">
            <w:r w:rsidRPr="00DC4440">
              <w:t>&gt;200</w:t>
            </w:r>
            <w:r>
              <w:t xml:space="preserve"> µM</w:t>
            </w:r>
          </w:p>
        </w:tc>
      </w:tr>
      <w:tr w:rsidR="00D4273A" w:rsidRPr="00DC4440" w14:paraId="19D2E069" w14:textId="77777777" w:rsidTr="000820CC">
        <w:trPr>
          <w:trHeight w:val="300"/>
        </w:trPr>
        <w:tc>
          <w:tcPr>
            <w:tcW w:w="1960" w:type="dxa"/>
            <w:noWrap/>
            <w:hideMark/>
          </w:tcPr>
          <w:p w14:paraId="2499FAFF" w14:textId="77777777" w:rsidR="00D4273A" w:rsidRPr="00DC4440" w:rsidRDefault="00D4273A" w:rsidP="000820CC">
            <w:r w:rsidRPr="00701123">
              <w:rPr>
                <w:i/>
              </w:rPr>
              <w:t>Sa</w:t>
            </w:r>
            <w:r w:rsidRPr="00DC4440">
              <w:t xml:space="preserve"> </w:t>
            </w:r>
            <w:proofErr w:type="spellStart"/>
            <w:r w:rsidRPr="00DC4440">
              <w:t>FtsZ</w:t>
            </w:r>
            <w:proofErr w:type="spellEnd"/>
            <w:r w:rsidRPr="00DC4440">
              <w:t xml:space="preserve"> (383-390)</w:t>
            </w:r>
          </w:p>
        </w:tc>
        <w:tc>
          <w:tcPr>
            <w:tcW w:w="1786" w:type="dxa"/>
            <w:noWrap/>
            <w:hideMark/>
          </w:tcPr>
          <w:p w14:paraId="423ED7B0" w14:textId="77777777" w:rsidR="00D4273A" w:rsidRPr="00DC4440" w:rsidRDefault="00D4273A" w:rsidP="000820CC">
            <w:r w:rsidRPr="00DC4440">
              <w:t>17.76</w:t>
            </w:r>
            <w:r>
              <w:t xml:space="preserve"> </w:t>
            </w:r>
            <w:r w:rsidRPr="00DC4440">
              <w:t>±</w:t>
            </w:r>
            <w:r>
              <w:t xml:space="preserve"> 1.25 µM</w:t>
            </w:r>
          </w:p>
        </w:tc>
        <w:tc>
          <w:tcPr>
            <w:tcW w:w="1786" w:type="dxa"/>
            <w:noWrap/>
            <w:hideMark/>
          </w:tcPr>
          <w:p w14:paraId="7FE5469D" w14:textId="77777777" w:rsidR="00D4273A" w:rsidRPr="00DC4440" w:rsidRDefault="00D4273A" w:rsidP="000820CC">
            <w:r w:rsidRPr="00DC4440">
              <w:t>59.68</w:t>
            </w:r>
            <w:r>
              <w:t xml:space="preserve"> </w:t>
            </w:r>
            <w:r w:rsidRPr="00DC4440">
              <w:t xml:space="preserve">± </w:t>
            </w:r>
            <w:r w:rsidRPr="00701123">
              <w:t>4.</w:t>
            </w:r>
            <w:r>
              <w:t>49 µM</w:t>
            </w:r>
          </w:p>
        </w:tc>
      </w:tr>
      <w:tr w:rsidR="00D4273A" w:rsidRPr="00DC4440" w14:paraId="64FC801E" w14:textId="77777777" w:rsidTr="000820CC">
        <w:trPr>
          <w:trHeight w:val="300"/>
        </w:trPr>
        <w:tc>
          <w:tcPr>
            <w:tcW w:w="1960" w:type="dxa"/>
            <w:noWrap/>
            <w:hideMark/>
          </w:tcPr>
          <w:p w14:paraId="49F7DADC" w14:textId="77777777" w:rsidR="00D4273A" w:rsidRPr="00DC4440" w:rsidRDefault="00D4273A" w:rsidP="000820CC">
            <w:r w:rsidRPr="00701123">
              <w:rPr>
                <w:i/>
              </w:rPr>
              <w:t>Sa</w:t>
            </w:r>
            <w:r>
              <w:t xml:space="preserve"> </w:t>
            </w:r>
            <w:r w:rsidRPr="00DC4440">
              <w:t>PBP4</w:t>
            </w:r>
            <w:r>
              <w:t xml:space="preserve"> (423-431)</w:t>
            </w:r>
          </w:p>
        </w:tc>
        <w:tc>
          <w:tcPr>
            <w:tcW w:w="1786" w:type="dxa"/>
            <w:noWrap/>
            <w:hideMark/>
          </w:tcPr>
          <w:p w14:paraId="44940509" w14:textId="77777777" w:rsidR="00D4273A" w:rsidRPr="00DC4440" w:rsidRDefault="00D4273A" w:rsidP="000820CC">
            <w:r w:rsidRPr="00DC4440">
              <w:t>48.61 ± 1.38</w:t>
            </w:r>
            <w:r>
              <w:t xml:space="preserve"> µM</w:t>
            </w:r>
          </w:p>
        </w:tc>
        <w:tc>
          <w:tcPr>
            <w:tcW w:w="1786" w:type="dxa"/>
            <w:noWrap/>
            <w:hideMark/>
          </w:tcPr>
          <w:p w14:paraId="7D91FF4F" w14:textId="77777777" w:rsidR="00D4273A" w:rsidRPr="00DC4440" w:rsidRDefault="00D4273A" w:rsidP="000820CC">
            <w:r w:rsidRPr="00DC4440">
              <w:t>&gt;200</w:t>
            </w:r>
            <w:r>
              <w:t xml:space="preserve"> µM</w:t>
            </w:r>
          </w:p>
        </w:tc>
      </w:tr>
    </w:tbl>
    <w:p w14:paraId="45CBFA01" w14:textId="77777777" w:rsidR="00D4273A" w:rsidRPr="00E75A65" w:rsidRDefault="00D4273A" w:rsidP="00D4273A">
      <w:pPr>
        <w:spacing w:line="240" w:lineRule="auto"/>
      </w:pPr>
      <w:r>
        <w:br/>
        <w:t xml:space="preserve">Supplementary File </w:t>
      </w:r>
      <w:proofErr w:type="gramStart"/>
      <w:r>
        <w:t xml:space="preserve">2 </w:t>
      </w:r>
      <w:r>
        <w:rPr>
          <w:b/>
        </w:rPr>
        <w:t xml:space="preserve"> –</w:t>
      </w:r>
      <w:proofErr w:type="gramEnd"/>
      <w:r>
        <w:rPr>
          <w:b/>
        </w:rPr>
        <w:t xml:space="preserve"> </w:t>
      </w:r>
      <w:r>
        <w:t xml:space="preserve"> SPR dissociation constants (K</w:t>
      </w:r>
      <w:r w:rsidRPr="0001702B">
        <w:rPr>
          <w:vertAlign w:val="subscript"/>
        </w:rPr>
        <w:t>D</w:t>
      </w:r>
      <w:r>
        <w:t xml:space="preserve">) of </w:t>
      </w:r>
      <w:r w:rsidRPr="00AD4765">
        <w:rPr>
          <w:i/>
        </w:rPr>
        <w:t>Sa</w:t>
      </w:r>
      <w:r>
        <w:t xml:space="preserve"> </w:t>
      </w:r>
      <w:proofErr w:type="spellStart"/>
      <w:r>
        <w:t>FtsZ</w:t>
      </w:r>
      <w:proofErr w:type="spellEnd"/>
      <w:r>
        <w:t xml:space="preserve"> and </w:t>
      </w:r>
      <w:r w:rsidRPr="00AD4765">
        <w:rPr>
          <w:i/>
        </w:rPr>
        <w:t>Sa</w:t>
      </w:r>
      <w:r>
        <w:t xml:space="preserve"> PBP4 derived peptides for </w:t>
      </w:r>
      <w:r w:rsidRPr="00AD4765">
        <w:rPr>
          <w:i/>
        </w:rPr>
        <w:t>Sa</w:t>
      </w:r>
      <w:r>
        <w:t xml:space="preserve"> </w:t>
      </w:r>
      <w:proofErr w:type="spellStart"/>
      <w:r>
        <w:t>GpsB</w:t>
      </w:r>
      <w:r w:rsidRPr="00AD4765">
        <w:rPr>
          <w:vertAlign w:val="superscript"/>
        </w:rPr>
        <w:t>WT</w:t>
      </w:r>
      <w:r w:rsidRPr="00AD4765">
        <w:rPr>
          <w:vertAlign w:val="subscript"/>
        </w:rPr>
        <w:t>FL</w:t>
      </w:r>
      <w:proofErr w:type="spellEnd"/>
      <w:r>
        <w:rPr>
          <w:vertAlign w:val="subscript"/>
        </w:rPr>
        <w:t xml:space="preserve"> </w:t>
      </w:r>
      <w:r>
        <w:t xml:space="preserve">and </w:t>
      </w:r>
      <w:r w:rsidRPr="00AD4765">
        <w:rPr>
          <w:i/>
        </w:rPr>
        <w:t>Sa</w:t>
      </w:r>
      <w:r>
        <w:t xml:space="preserve"> </w:t>
      </w:r>
      <w:proofErr w:type="spellStart"/>
      <w:r>
        <w:t>GpsB</w:t>
      </w:r>
      <w:r w:rsidRPr="00AD4765">
        <w:rPr>
          <w:vertAlign w:val="superscript"/>
        </w:rPr>
        <w:t>ΔMAD</w:t>
      </w:r>
      <w:r>
        <w:rPr>
          <w:vertAlign w:val="subscript"/>
        </w:rPr>
        <w:t>FL</w:t>
      </w:r>
      <w:proofErr w:type="spellEnd"/>
      <w:r>
        <w:t xml:space="preserve">. Concentration response </w:t>
      </w:r>
      <w:proofErr w:type="spellStart"/>
      <w:r>
        <w:t>sensorgrams</w:t>
      </w:r>
      <w:proofErr w:type="spellEnd"/>
      <w:r>
        <w:t xml:space="preserve"> are shown in Supplementary Figure 7.</w:t>
      </w:r>
    </w:p>
    <w:p w14:paraId="0717E279" w14:textId="77777777" w:rsidR="00A55793" w:rsidRDefault="00A55793"/>
    <w:sectPr w:rsidR="00A55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3A"/>
    <w:rsid w:val="0037249A"/>
    <w:rsid w:val="0063100F"/>
    <w:rsid w:val="007316E5"/>
    <w:rsid w:val="00A55793"/>
    <w:rsid w:val="00D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941C"/>
  <w15:chartTrackingRefBased/>
  <w15:docId w15:val="{34A0EAB5-C0CA-49BB-B0DB-39AFF4E3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73A"/>
  </w:style>
  <w:style w:type="paragraph" w:styleId="Heading1">
    <w:name w:val="heading 1"/>
    <w:basedOn w:val="Normal"/>
    <w:next w:val="Normal"/>
    <w:link w:val="Heading1Char"/>
    <w:uiPriority w:val="9"/>
    <w:qFormat/>
    <w:rsid w:val="00D42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7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Sacco, Michael</dc:creator>
  <cp:keywords/>
  <dc:description/>
  <cp:lastModifiedBy>Sacco, Michael</cp:lastModifiedBy>
  <cp:revision>1</cp:revision>
  <dcterms:created xsi:type="dcterms:W3CDTF">2024-01-15T05:54:00Z</dcterms:created>
  <dcterms:modified xsi:type="dcterms:W3CDTF">2024-01-15T05:54:00Z</dcterms:modified>
</cp:coreProperties>
</file>