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EB37" w14:textId="4DE52E8D" w:rsidR="00000C70" w:rsidRPr="00000C70" w:rsidRDefault="00000C70" w:rsidP="00000C70">
      <w:pPr>
        <w:widowControl/>
        <w:autoSpaceDE w:val="0"/>
        <w:autoSpaceDN w:val="0"/>
        <w:adjustRightInd w:val="0"/>
        <w:spacing w:afterLines="50" w:after="156" w:line="480" w:lineRule="auto"/>
        <w:outlineLvl w:val="0"/>
        <w:rPr>
          <w:rFonts w:ascii="Times New Roman" w:eastAsia="宋体" w:hAnsi="Times New Roman" w:cs="Times New Roman"/>
          <w:b/>
          <w:color w:val="FF0000"/>
          <w:kern w:val="0"/>
          <w:sz w:val="22"/>
        </w:rPr>
      </w:pPr>
      <w:r w:rsidRPr="00000C70">
        <w:rPr>
          <w:rFonts w:ascii="Times New Roman" w:eastAsia="宋体" w:hAnsi="Times New Roman" w:cs="Times New Roman"/>
          <w:b/>
          <w:color w:val="FF0000"/>
          <w:kern w:val="0"/>
          <w:sz w:val="22"/>
          <w:lang w:eastAsia="en-US"/>
        </w:rPr>
        <w:t xml:space="preserve">Supplementary File </w:t>
      </w:r>
      <w:r w:rsidR="005A7339">
        <w:rPr>
          <w:rFonts w:ascii="Times New Roman" w:eastAsia="宋体" w:hAnsi="Times New Roman" w:cs="Times New Roman"/>
          <w:b/>
          <w:color w:val="FF0000"/>
          <w:kern w:val="0"/>
          <w:sz w:val="22"/>
          <w:lang w:eastAsia="en-US"/>
        </w:rPr>
        <w:t>4</w:t>
      </w:r>
      <w:r w:rsidRPr="00000C70">
        <w:rPr>
          <w:rFonts w:ascii="Times New Roman" w:eastAsia="宋体" w:hAnsi="Times New Roman" w:cs="Times New Roman"/>
          <w:b/>
          <w:color w:val="FF0000"/>
          <w:kern w:val="0"/>
          <w:sz w:val="22"/>
          <w:lang w:eastAsia="en-US"/>
        </w:rPr>
        <w:t>. Antibodies used in the study</w:t>
      </w:r>
    </w:p>
    <w:tbl>
      <w:tblPr>
        <w:tblpPr w:leftFromText="180" w:rightFromText="180" w:vertAnchor="page" w:horzAnchor="margin" w:tblpY="1966"/>
        <w:tblW w:w="8931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84"/>
        <w:gridCol w:w="2020"/>
        <w:gridCol w:w="673"/>
        <w:gridCol w:w="1985"/>
      </w:tblGrid>
      <w:tr w:rsidR="00000C70" w:rsidRPr="00000C70" w14:paraId="363418D6" w14:textId="77777777" w:rsidTr="00D971FC">
        <w:trPr>
          <w:trHeight w:val="523"/>
        </w:trPr>
        <w:tc>
          <w:tcPr>
            <w:tcW w:w="3969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BDA7506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2"/>
                <w:lang w:eastAsia="en-US"/>
              </w:rPr>
            </w:pPr>
            <w:r w:rsidRPr="00000C70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2"/>
                <w:lang w:eastAsia="en-US"/>
              </w:rPr>
              <w:t>Antibody</w:t>
            </w:r>
          </w:p>
        </w:tc>
        <w:tc>
          <w:tcPr>
            <w:tcW w:w="2304" w:type="dxa"/>
            <w:gridSpan w:val="2"/>
            <w:tcBorders>
              <w:top w:val="single" w:sz="18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56C82B10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2"/>
                <w:lang w:eastAsia="en-US"/>
              </w:rPr>
            </w:pPr>
            <w:r w:rsidRPr="00000C70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2"/>
                <w:lang w:eastAsia="en-US"/>
              </w:rPr>
              <w:t xml:space="preserve">Manufacturer </w:t>
            </w:r>
          </w:p>
        </w:tc>
        <w:tc>
          <w:tcPr>
            <w:tcW w:w="2658" w:type="dxa"/>
            <w:gridSpan w:val="2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828F461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2"/>
              </w:rPr>
              <w:t>Catalogue number</w:t>
            </w:r>
          </w:p>
        </w:tc>
      </w:tr>
      <w:tr w:rsidR="00000C70" w:rsidRPr="00000C70" w14:paraId="3F0E847A" w14:textId="77777777" w:rsidTr="00A979B5">
        <w:trPr>
          <w:trHeight w:hRule="exact" w:val="567"/>
        </w:trPr>
        <w:tc>
          <w:tcPr>
            <w:tcW w:w="4253" w:type="dxa"/>
            <w:gridSpan w:val="2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07A99D4A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000C7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FITC anti-mouse CD3</w:t>
            </w:r>
          </w:p>
        </w:tc>
        <w:tc>
          <w:tcPr>
            <w:tcW w:w="2693" w:type="dxa"/>
            <w:gridSpan w:val="2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1103E7AB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BioLegend</w:t>
            </w:r>
          </w:p>
        </w:tc>
        <w:tc>
          <w:tcPr>
            <w:tcW w:w="1985" w:type="dxa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5DDB3F0B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US"/>
              </w:rPr>
              <w:t>100203</w:t>
            </w:r>
          </w:p>
        </w:tc>
      </w:tr>
      <w:tr w:rsidR="00000C70" w:rsidRPr="00000C70" w14:paraId="5AB0D616" w14:textId="77777777" w:rsidTr="009566B3">
        <w:trPr>
          <w:trHeight w:hRule="exact" w:val="567"/>
        </w:trPr>
        <w:tc>
          <w:tcPr>
            <w:tcW w:w="4253" w:type="dxa"/>
            <w:gridSpan w:val="2"/>
            <w:shd w:val="clear" w:color="auto" w:fill="auto"/>
            <w:vAlign w:val="center"/>
          </w:tcPr>
          <w:p w14:paraId="2AFD2359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US"/>
              </w:rPr>
              <w:t>FITC Rat IgG2b, κ Isotype Ctrl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C41DDCE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000C7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BioLegend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E704D3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US"/>
              </w:rPr>
              <w:t>400605</w:t>
            </w:r>
          </w:p>
        </w:tc>
      </w:tr>
      <w:tr w:rsidR="00000C70" w:rsidRPr="00000C70" w14:paraId="3AD0883C" w14:textId="77777777" w:rsidTr="009566B3">
        <w:trPr>
          <w:trHeight w:hRule="exact" w:val="567"/>
        </w:trPr>
        <w:tc>
          <w:tcPr>
            <w:tcW w:w="4253" w:type="dxa"/>
            <w:gridSpan w:val="2"/>
            <w:shd w:val="clear" w:color="auto" w:fill="auto"/>
            <w:vAlign w:val="center"/>
          </w:tcPr>
          <w:p w14:paraId="4D11F61D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US"/>
              </w:rPr>
              <w:t>PerCP/Cy5.5 anti-mouse/human CD11b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51B947F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000C7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BioLegend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1C9D6F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US"/>
              </w:rPr>
              <w:t>101227</w:t>
            </w:r>
          </w:p>
        </w:tc>
      </w:tr>
      <w:tr w:rsidR="00000C70" w:rsidRPr="00000C70" w14:paraId="442D29DB" w14:textId="77777777" w:rsidTr="009566B3">
        <w:trPr>
          <w:trHeight w:hRule="exact" w:val="567"/>
        </w:trPr>
        <w:tc>
          <w:tcPr>
            <w:tcW w:w="4253" w:type="dxa"/>
            <w:gridSpan w:val="2"/>
            <w:shd w:val="clear" w:color="auto" w:fill="auto"/>
            <w:vAlign w:val="center"/>
          </w:tcPr>
          <w:p w14:paraId="6D0748A0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US"/>
              </w:rPr>
              <w:t>PerCP/Cy5.5 Rat IgG2b, κ Isotype Ctrl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B7A125E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000C7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BioLegend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1F7DE3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US"/>
              </w:rPr>
              <w:t>400631</w:t>
            </w:r>
          </w:p>
        </w:tc>
      </w:tr>
      <w:tr w:rsidR="00000C70" w:rsidRPr="00000C70" w14:paraId="34D1475D" w14:textId="77777777" w:rsidTr="009566B3">
        <w:trPr>
          <w:trHeight w:hRule="exact" w:val="567"/>
        </w:trPr>
        <w:tc>
          <w:tcPr>
            <w:tcW w:w="4253" w:type="dxa"/>
            <w:gridSpan w:val="2"/>
            <w:shd w:val="clear" w:color="auto" w:fill="auto"/>
            <w:vAlign w:val="center"/>
          </w:tcPr>
          <w:p w14:paraId="13AB9FD6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US"/>
              </w:rPr>
              <w:t>APC anti-mouse CD19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A1F9016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000C7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BioLegend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E7706F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US"/>
              </w:rPr>
              <w:t>152409</w:t>
            </w:r>
          </w:p>
        </w:tc>
      </w:tr>
      <w:tr w:rsidR="00000C70" w:rsidRPr="00000C70" w14:paraId="582FA5EE" w14:textId="77777777" w:rsidTr="009566B3">
        <w:trPr>
          <w:trHeight w:hRule="exact" w:val="567"/>
        </w:trPr>
        <w:tc>
          <w:tcPr>
            <w:tcW w:w="4253" w:type="dxa"/>
            <w:gridSpan w:val="2"/>
            <w:shd w:val="clear" w:color="auto" w:fill="auto"/>
            <w:vAlign w:val="center"/>
          </w:tcPr>
          <w:p w14:paraId="5BAB89FC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US"/>
              </w:rPr>
              <w:t>APC Rat IgG2a, κ Isotype Ctrl Antibody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ED96229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000C7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BioLegend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97A206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US"/>
              </w:rPr>
              <w:t>400511</w:t>
            </w:r>
          </w:p>
        </w:tc>
      </w:tr>
      <w:tr w:rsidR="00000C70" w:rsidRPr="00000C70" w14:paraId="1F2ED374" w14:textId="77777777" w:rsidTr="009566B3">
        <w:trPr>
          <w:trHeight w:hRule="exact" w:val="567"/>
        </w:trPr>
        <w:tc>
          <w:tcPr>
            <w:tcW w:w="4253" w:type="dxa"/>
            <w:gridSpan w:val="2"/>
            <w:shd w:val="clear" w:color="auto" w:fill="auto"/>
            <w:vAlign w:val="center"/>
          </w:tcPr>
          <w:p w14:paraId="36FD8EED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US"/>
              </w:rPr>
              <w:t>TruStain fcX™ (anti-mouse CD16/32)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860F06A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000C7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BioLegend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F3F5EF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US"/>
              </w:rPr>
              <w:t>101319</w:t>
            </w:r>
          </w:p>
        </w:tc>
      </w:tr>
      <w:tr w:rsidR="00000C70" w:rsidRPr="00000C70" w14:paraId="5CF733D4" w14:textId="77777777" w:rsidTr="009566B3">
        <w:trPr>
          <w:trHeight w:hRule="exact" w:val="567"/>
        </w:trPr>
        <w:tc>
          <w:tcPr>
            <w:tcW w:w="4253" w:type="dxa"/>
            <w:gridSpan w:val="2"/>
            <w:shd w:val="clear" w:color="auto" w:fill="auto"/>
            <w:vAlign w:val="center"/>
          </w:tcPr>
          <w:p w14:paraId="6272C5E8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000C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US"/>
              </w:rPr>
              <w:t>FAM76B  monoclonal antibody (mouse)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81F3B08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Homemade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289560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US"/>
              </w:rPr>
            </w:pPr>
          </w:p>
        </w:tc>
      </w:tr>
      <w:tr w:rsidR="00000C70" w:rsidRPr="00000C70" w14:paraId="294602B9" w14:textId="77777777" w:rsidTr="009566B3">
        <w:trPr>
          <w:trHeight w:hRule="exact" w:val="567"/>
        </w:trPr>
        <w:tc>
          <w:tcPr>
            <w:tcW w:w="4253" w:type="dxa"/>
            <w:gridSpan w:val="2"/>
            <w:shd w:val="clear" w:color="auto" w:fill="auto"/>
            <w:vAlign w:val="center"/>
          </w:tcPr>
          <w:p w14:paraId="128C2F73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Rabbit anti-hnRNPA2B1 polyclonal antibody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70503AE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Abcam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6AE6D5" w14:textId="77777777" w:rsidR="00000C70" w:rsidRPr="00000C70" w:rsidRDefault="00000C70" w:rsidP="00000C70">
            <w:pPr>
              <w:widowControl/>
              <w:pBdr>
                <w:bottom w:val="single" w:sz="12" w:space="10" w:color="DEDFDF"/>
              </w:pBdr>
              <w:shd w:val="clear" w:color="auto" w:fill="FFFFFF"/>
              <w:spacing w:after="96" w:line="400" w:lineRule="exact"/>
              <w:jc w:val="lef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000C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US"/>
              </w:rPr>
              <w:t>ab31645</w:t>
            </w:r>
          </w:p>
          <w:p w14:paraId="4E262AD5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US"/>
              </w:rPr>
            </w:pPr>
          </w:p>
        </w:tc>
      </w:tr>
      <w:tr w:rsidR="00000C70" w:rsidRPr="00000C70" w14:paraId="34B82126" w14:textId="77777777" w:rsidTr="009566B3">
        <w:trPr>
          <w:trHeight w:hRule="exact" w:val="567"/>
        </w:trPr>
        <w:tc>
          <w:tcPr>
            <w:tcW w:w="4253" w:type="dxa"/>
            <w:gridSpan w:val="2"/>
            <w:shd w:val="clear" w:color="auto" w:fill="auto"/>
            <w:vAlign w:val="center"/>
          </w:tcPr>
          <w:p w14:paraId="7DE348C6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Mouse anti-Flag monoclonal antibody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36BBE68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Cell signaling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74539B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14793</w:t>
            </w:r>
          </w:p>
        </w:tc>
      </w:tr>
      <w:tr w:rsidR="00000C70" w:rsidRPr="00000C70" w14:paraId="2E91EEA7" w14:textId="77777777" w:rsidTr="009566B3">
        <w:trPr>
          <w:trHeight w:hRule="exact" w:val="567"/>
        </w:trPr>
        <w:tc>
          <w:tcPr>
            <w:tcW w:w="4253" w:type="dxa"/>
            <w:gridSpan w:val="2"/>
            <w:shd w:val="clear" w:color="auto" w:fill="auto"/>
            <w:vAlign w:val="center"/>
          </w:tcPr>
          <w:p w14:paraId="16DC7F5B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Goat anti-IBA1 polyclonal antibody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40E83A7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Abcam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DD5CFB" w14:textId="77777777" w:rsidR="00000C70" w:rsidRPr="00000C70" w:rsidRDefault="00000C70" w:rsidP="00000C70">
            <w:pPr>
              <w:widowControl/>
              <w:pBdr>
                <w:bottom w:val="single" w:sz="12" w:space="10" w:color="DEDFDF"/>
              </w:pBdr>
              <w:shd w:val="clear" w:color="auto" w:fill="FFFFFF"/>
              <w:spacing w:after="96" w:line="400" w:lineRule="exact"/>
              <w:jc w:val="left"/>
              <w:textAlignment w:val="baseline"/>
              <w:outlineLvl w:val="0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ab5076</w:t>
            </w:r>
          </w:p>
          <w:p w14:paraId="5644F5AE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00C70" w:rsidRPr="00000C70" w14:paraId="11659D44" w14:textId="77777777" w:rsidTr="00D971FC">
        <w:trPr>
          <w:trHeight w:hRule="exact" w:val="567"/>
        </w:trPr>
        <w:tc>
          <w:tcPr>
            <w:tcW w:w="4253" w:type="dxa"/>
            <w:gridSpan w:val="2"/>
            <w:tcBorders>
              <w:bottom w:val="single" w:sz="18" w:space="0" w:color="000000" w:themeColor="text1"/>
            </w:tcBorders>
            <w:shd w:val="clear" w:color="auto" w:fill="auto"/>
            <w:vAlign w:val="center"/>
          </w:tcPr>
          <w:p w14:paraId="2F7D395C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000C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US"/>
              </w:rPr>
              <w:t xml:space="preserve">Mouse anti-GAPDH </w:t>
            </w:r>
            <w:r w:rsidRPr="00000C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monoclonal antibody</w:t>
            </w:r>
          </w:p>
        </w:tc>
        <w:tc>
          <w:tcPr>
            <w:tcW w:w="2693" w:type="dxa"/>
            <w:gridSpan w:val="2"/>
            <w:tcBorders>
              <w:bottom w:val="single" w:sz="18" w:space="0" w:color="000000" w:themeColor="text1"/>
            </w:tcBorders>
            <w:shd w:val="clear" w:color="auto" w:fill="auto"/>
            <w:vAlign w:val="center"/>
          </w:tcPr>
          <w:p w14:paraId="720E5D34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Proteintech</w:t>
            </w:r>
          </w:p>
        </w:tc>
        <w:tc>
          <w:tcPr>
            <w:tcW w:w="1985" w:type="dxa"/>
            <w:tcBorders>
              <w:bottom w:val="single" w:sz="18" w:space="0" w:color="000000" w:themeColor="text1"/>
            </w:tcBorders>
            <w:shd w:val="clear" w:color="auto" w:fill="auto"/>
            <w:vAlign w:val="center"/>
          </w:tcPr>
          <w:p w14:paraId="2C1A8B7A" w14:textId="77777777" w:rsidR="00000C70" w:rsidRPr="00000C70" w:rsidRDefault="00000C70" w:rsidP="00000C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00C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60004-1-Ig</w:t>
            </w:r>
          </w:p>
        </w:tc>
      </w:tr>
    </w:tbl>
    <w:p w14:paraId="024EFA4C" w14:textId="77777777" w:rsidR="00000C70" w:rsidRPr="00000C70" w:rsidRDefault="00000C70" w:rsidP="00000C70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58CDC97B" w14:textId="77777777" w:rsidR="00470311" w:rsidRDefault="00470311"/>
    <w:sectPr w:rsidR="00470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58526" w14:textId="77777777" w:rsidR="00AF5C8D" w:rsidRDefault="00AF5C8D" w:rsidP="00000C70">
      <w:r>
        <w:separator/>
      </w:r>
    </w:p>
  </w:endnote>
  <w:endnote w:type="continuationSeparator" w:id="0">
    <w:p w14:paraId="245999D0" w14:textId="77777777" w:rsidR="00AF5C8D" w:rsidRDefault="00AF5C8D" w:rsidP="0000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3E5A6" w14:textId="77777777" w:rsidR="00AF5C8D" w:rsidRDefault="00AF5C8D" w:rsidP="00000C70">
      <w:r>
        <w:separator/>
      </w:r>
    </w:p>
  </w:footnote>
  <w:footnote w:type="continuationSeparator" w:id="0">
    <w:p w14:paraId="154C22D3" w14:textId="77777777" w:rsidR="00AF5C8D" w:rsidRDefault="00AF5C8D" w:rsidP="00000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DC"/>
    <w:rsid w:val="00000C70"/>
    <w:rsid w:val="00470311"/>
    <w:rsid w:val="005A7339"/>
    <w:rsid w:val="00A979B5"/>
    <w:rsid w:val="00AF5C8D"/>
    <w:rsid w:val="00B63BDC"/>
    <w:rsid w:val="00D173A3"/>
    <w:rsid w:val="00D9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7CE40"/>
  <w15:chartTrackingRefBased/>
  <w15:docId w15:val="{3B0F791E-3EE5-4C01-BE8A-ABAD7EFB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C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C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C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Dongyang</dc:creator>
  <cp:keywords/>
  <dc:description/>
  <cp:lastModifiedBy>wang Dongyang</cp:lastModifiedBy>
  <cp:revision>5</cp:revision>
  <dcterms:created xsi:type="dcterms:W3CDTF">2023-06-01T14:40:00Z</dcterms:created>
  <dcterms:modified xsi:type="dcterms:W3CDTF">2023-06-02T14:31:00Z</dcterms:modified>
</cp:coreProperties>
</file>