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0F50" w14:textId="3C814475" w:rsidR="00EB12DB" w:rsidRPr="001F226C" w:rsidRDefault="00EB12DB" w:rsidP="00A564EB">
      <w:pPr>
        <w:spacing w:line="480" w:lineRule="auto"/>
        <w:contextualSpacing/>
        <w:jc w:val="both"/>
        <w:rPr>
          <w:rFonts w:ascii="Times New Roman" w:hAnsi="Times New Roman" w:cs="Times New Roman"/>
          <w:sz w:val="20"/>
          <w:szCs w:val="20"/>
          <w:lang w:val="en-GB"/>
        </w:rPr>
        <w:sectPr w:rsidR="00EB12DB" w:rsidRPr="001F226C" w:rsidSect="00A564EB">
          <w:footerReference w:type="default" r:id="rId11"/>
          <w:type w:val="continuous"/>
          <w:pgSz w:w="16838" w:h="11906" w:orient="landscape"/>
          <w:pgMar w:top="1134" w:right="1134" w:bottom="1134" w:left="1134" w:header="720" w:footer="720" w:gutter="0"/>
          <w:cols w:space="720"/>
        </w:sectPr>
      </w:pPr>
    </w:p>
    <w:p w14:paraId="4F496FA1" w14:textId="3B40AF7F" w:rsidR="007F4785" w:rsidRPr="001F226C" w:rsidRDefault="00A564EB">
      <w:pPr>
        <w:pStyle w:val="Table"/>
        <w:rPr>
          <w:rFonts w:ascii="Times New Roman" w:hAnsi="Times New Roman" w:cs="Times New Roman"/>
          <w:sz w:val="20"/>
          <w:szCs w:val="20"/>
          <w:lang w:val="en-GB"/>
        </w:rPr>
      </w:pPr>
      <w:r>
        <w:rPr>
          <w:rFonts w:ascii="Times New Roman" w:hAnsi="Times New Roman" w:cs="Times New Roman"/>
          <w:b/>
          <w:bCs/>
          <w:i w:val="0"/>
          <w:iCs w:val="0"/>
          <w:sz w:val="20"/>
          <w:szCs w:val="20"/>
          <w:lang w:val="en-GB"/>
        </w:rPr>
        <w:t>Supplementary file</w:t>
      </w:r>
      <w:r w:rsidR="00A851EC" w:rsidRPr="001F226C">
        <w:rPr>
          <w:rFonts w:ascii="Times New Roman" w:hAnsi="Times New Roman" w:cs="Times New Roman"/>
          <w:b/>
          <w:bCs/>
          <w:i w:val="0"/>
          <w:iCs w:val="0"/>
          <w:sz w:val="20"/>
          <w:szCs w:val="20"/>
          <w:lang w:val="en-GB"/>
        </w:rPr>
        <w:t xml:space="preserve"> </w:t>
      </w:r>
      <w:r w:rsidR="0023159C" w:rsidRPr="001F226C">
        <w:rPr>
          <w:rFonts w:ascii="Times New Roman" w:hAnsi="Times New Roman" w:cs="Times New Roman"/>
          <w:b/>
          <w:bCs/>
          <w:i w:val="0"/>
          <w:iCs w:val="0"/>
          <w:sz w:val="20"/>
          <w:szCs w:val="20"/>
          <w:lang w:val="en-GB"/>
        </w:rPr>
        <w:t xml:space="preserve">1. List of </w:t>
      </w:r>
      <w:r w:rsidR="00482CE0" w:rsidRPr="001F226C">
        <w:rPr>
          <w:rFonts w:ascii="Times New Roman" w:hAnsi="Times New Roman" w:cs="Times New Roman"/>
          <w:b/>
          <w:bCs/>
          <w:i w:val="0"/>
          <w:iCs w:val="0"/>
          <w:sz w:val="20"/>
          <w:szCs w:val="20"/>
          <w:lang w:val="en-GB"/>
        </w:rPr>
        <w:t>model parameters.</w:t>
      </w:r>
    </w:p>
    <w:tbl>
      <w:tblPr>
        <w:tblW w:w="13618" w:type="dxa"/>
        <w:tblLayout w:type="fixed"/>
        <w:tblCellMar>
          <w:left w:w="10" w:type="dxa"/>
          <w:right w:w="10" w:type="dxa"/>
        </w:tblCellMar>
        <w:tblLook w:val="0000" w:firstRow="0" w:lastRow="0" w:firstColumn="0" w:lastColumn="0" w:noHBand="0" w:noVBand="0"/>
      </w:tblPr>
      <w:tblGrid>
        <w:gridCol w:w="2547"/>
        <w:gridCol w:w="3118"/>
        <w:gridCol w:w="3828"/>
        <w:gridCol w:w="4125"/>
      </w:tblGrid>
      <w:tr w:rsidR="00DB12FC" w:rsidRPr="001F226C" w14:paraId="4F496FA6" w14:textId="77777777" w:rsidTr="00F867CE">
        <w:tc>
          <w:tcPr>
            <w:tcW w:w="254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F496FA2" w14:textId="77777777" w:rsidR="007F4785" w:rsidRPr="001F226C" w:rsidRDefault="0023159C">
            <w:pPr>
              <w:pStyle w:val="TableContents"/>
              <w:rPr>
                <w:rFonts w:ascii="Times New Roman" w:hAnsi="Times New Roman" w:cs="Times New Roman"/>
                <w:b/>
                <w:bCs/>
                <w:sz w:val="16"/>
                <w:szCs w:val="16"/>
                <w:lang w:val="en-GB"/>
              </w:rPr>
            </w:pPr>
            <w:r w:rsidRPr="001F226C">
              <w:rPr>
                <w:rFonts w:ascii="Times New Roman" w:hAnsi="Times New Roman" w:cs="Times New Roman"/>
                <w:b/>
                <w:bCs/>
                <w:sz w:val="16"/>
                <w:szCs w:val="16"/>
                <w:lang w:val="en-GB"/>
              </w:rPr>
              <w:t>Notation</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F496FA3" w14:textId="77777777" w:rsidR="007F4785" w:rsidRPr="001F226C" w:rsidRDefault="0023159C">
            <w:pPr>
              <w:pStyle w:val="TableContents"/>
              <w:rPr>
                <w:rFonts w:ascii="Times New Roman" w:hAnsi="Times New Roman" w:cs="Times New Roman"/>
                <w:b/>
                <w:bCs/>
                <w:sz w:val="16"/>
                <w:szCs w:val="16"/>
                <w:lang w:val="en-GB"/>
              </w:rPr>
            </w:pPr>
            <w:r w:rsidRPr="001F226C">
              <w:rPr>
                <w:rFonts w:ascii="Times New Roman" w:hAnsi="Times New Roman" w:cs="Times New Roman"/>
                <w:b/>
                <w:bCs/>
                <w:sz w:val="16"/>
                <w:szCs w:val="16"/>
                <w:lang w:val="en-GB"/>
              </w:rPr>
              <w:t>Description</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F496FA4" w14:textId="17A9936E" w:rsidR="007F4785" w:rsidRPr="001F226C" w:rsidRDefault="00690C58">
            <w:pPr>
              <w:pStyle w:val="TableContents"/>
              <w:rPr>
                <w:rFonts w:ascii="Times New Roman" w:hAnsi="Times New Roman" w:cs="Times New Roman"/>
                <w:b/>
                <w:bCs/>
                <w:sz w:val="16"/>
                <w:szCs w:val="16"/>
                <w:lang w:val="en-GB"/>
              </w:rPr>
            </w:pPr>
            <w:r w:rsidRPr="001F226C">
              <w:rPr>
                <w:rFonts w:ascii="Times New Roman" w:hAnsi="Times New Roman" w:cs="Times New Roman"/>
                <w:b/>
                <w:bCs/>
                <w:sz w:val="16"/>
                <w:szCs w:val="16"/>
                <w:lang w:val="en-GB"/>
              </w:rPr>
              <w:t>V</w:t>
            </w:r>
            <w:r w:rsidR="00E35D4D" w:rsidRPr="001F226C">
              <w:rPr>
                <w:rFonts w:ascii="Times New Roman" w:hAnsi="Times New Roman" w:cs="Times New Roman"/>
                <w:b/>
                <w:bCs/>
                <w:sz w:val="16"/>
                <w:szCs w:val="16"/>
                <w:lang w:val="en-GB"/>
              </w:rPr>
              <w:t>alues</w:t>
            </w:r>
            <w:r w:rsidR="00CE281A" w:rsidRPr="001F226C">
              <w:rPr>
                <w:rFonts w:ascii="Times New Roman" w:hAnsi="Times New Roman" w:cs="Times New Roman"/>
                <w:b/>
                <w:bCs/>
                <w:sz w:val="16"/>
                <w:szCs w:val="16"/>
                <w:lang w:val="en-GB"/>
              </w:rPr>
              <w:t xml:space="preserve"> / r</w:t>
            </w:r>
            <w:r w:rsidR="0023159C" w:rsidRPr="001F226C">
              <w:rPr>
                <w:rFonts w:ascii="Times New Roman" w:hAnsi="Times New Roman" w:cs="Times New Roman"/>
                <w:b/>
                <w:bCs/>
                <w:sz w:val="16"/>
                <w:szCs w:val="16"/>
                <w:lang w:val="en-GB"/>
              </w:rPr>
              <w:t>ange</w:t>
            </w:r>
            <w:r w:rsidR="00CE281A" w:rsidRPr="001F226C">
              <w:rPr>
                <w:rFonts w:ascii="Times New Roman" w:hAnsi="Times New Roman" w:cs="Times New Roman"/>
                <w:b/>
                <w:bCs/>
                <w:sz w:val="16"/>
                <w:szCs w:val="16"/>
                <w:lang w:val="en-GB"/>
              </w:rPr>
              <w:t>s</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F496FA5" w14:textId="48DB240C" w:rsidR="007F4785" w:rsidRPr="001F226C" w:rsidRDefault="0023159C">
            <w:pPr>
              <w:pStyle w:val="TableContents"/>
              <w:rPr>
                <w:rFonts w:ascii="Times New Roman" w:hAnsi="Times New Roman" w:cs="Times New Roman"/>
                <w:b/>
                <w:bCs/>
                <w:sz w:val="16"/>
                <w:szCs w:val="16"/>
                <w:lang w:val="en-GB"/>
              </w:rPr>
            </w:pPr>
            <w:r w:rsidRPr="001F226C">
              <w:rPr>
                <w:rFonts w:ascii="Times New Roman" w:hAnsi="Times New Roman" w:cs="Times New Roman"/>
                <w:b/>
                <w:bCs/>
                <w:sz w:val="16"/>
                <w:szCs w:val="16"/>
                <w:lang w:val="en-GB"/>
              </w:rPr>
              <w:t>Reference</w:t>
            </w:r>
          </w:p>
        </w:tc>
      </w:tr>
      <w:tr w:rsidR="00DB12FC" w:rsidRPr="001F226C" w14:paraId="4F496FA8" w14:textId="77777777">
        <w:tc>
          <w:tcPr>
            <w:tcW w:w="13618" w:type="dxa"/>
            <w:gridSpan w:val="4"/>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F496FA7" w14:textId="77777777" w:rsidR="007F4785" w:rsidRPr="001F226C" w:rsidRDefault="0023159C">
            <w:pPr>
              <w:pStyle w:val="TableContents"/>
              <w:rPr>
                <w:rFonts w:ascii="Times New Roman" w:hAnsi="Times New Roman" w:cs="Times New Roman"/>
                <w:i/>
                <w:iCs/>
                <w:sz w:val="16"/>
                <w:szCs w:val="16"/>
                <w:lang w:val="en-GB"/>
              </w:rPr>
            </w:pPr>
            <w:r w:rsidRPr="001F226C">
              <w:rPr>
                <w:rFonts w:ascii="Times New Roman" w:hAnsi="Times New Roman" w:cs="Times New Roman"/>
                <w:i/>
                <w:iCs/>
                <w:sz w:val="16"/>
                <w:szCs w:val="16"/>
                <w:lang w:val="en-GB"/>
              </w:rPr>
              <w:t>Demography</w:t>
            </w:r>
          </w:p>
        </w:tc>
      </w:tr>
      <w:tr w:rsidR="00DB12FC" w:rsidRPr="001F226C" w14:paraId="4F496FAD" w14:textId="77777777" w:rsidTr="00F867CE">
        <w:tc>
          <w:tcPr>
            <w:tcW w:w="2547" w:type="dxa"/>
            <w:tcBorders>
              <w:left w:val="single" w:sz="2" w:space="0" w:color="000000"/>
              <w:bottom w:val="single" w:sz="2" w:space="0" w:color="000000"/>
            </w:tcBorders>
            <w:shd w:val="clear" w:color="auto" w:fill="auto"/>
            <w:tcMar>
              <w:top w:w="55" w:type="dxa"/>
              <w:left w:w="55" w:type="dxa"/>
              <w:bottom w:w="55" w:type="dxa"/>
              <w:right w:w="55" w:type="dxa"/>
            </w:tcMar>
          </w:tcPr>
          <w:p w14:paraId="4F496FA9" w14:textId="1F7B2659" w:rsidR="007F4785" w:rsidRPr="001F226C" w:rsidRDefault="00000000">
            <w:pPr>
              <w:pStyle w:val="TableContents"/>
              <w:jc w:val="center"/>
              <w:rPr>
                <w:rFonts w:ascii="Times New Roman" w:hAnsi="Times New Roman" w:cs="Times New Roman"/>
                <w:sz w:val="16"/>
                <w:szCs w:val="16"/>
                <w:lang w:val="en-GB"/>
              </w:rPr>
            </w:pPr>
            <m:oMath>
              <m:sSub>
                <m:sSubPr>
                  <m:ctrlPr>
                    <w:rPr>
                      <w:rFonts w:ascii="Cambria Math" w:hAnsi="Cambria Math" w:cs="Times New Roman"/>
                      <w:sz w:val="16"/>
                      <w:szCs w:val="16"/>
                      <w:lang w:val="en-GB"/>
                    </w:rPr>
                  </m:ctrlPr>
                </m:sSubPr>
                <m:e>
                  <m:r>
                    <w:rPr>
                      <w:rFonts w:ascii="Cambria Math" w:hAnsi="Cambria Math" w:cs="Times New Roman"/>
                      <w:sz w:val="16"/>
                      <w:szCs w:val="16"/>
                      <w:lang w:val="en-GB"/>
                    </w:rPr>
                    <m:t>m</m:t>
                  </m:r>
                </m:e>
                <m:sub>
                  <m:r>
                    <w:rPr>
                      <w:rFonts w:ascii="Cambria Math" w:hAnsi="Cambria Math" w:cs="Times New Roman"/>
                      <w:sz w:val="16"/>
                      <w:szCs w:val="16"/>
                      <w:lang w:val="en-GB"/>
                    </w:rPr>
                    <m:t>g, age</m:t>
                  </m:r>
                </m:sub>
              </m:sSub>
            </m:oMath>
            <w:r w:rsidR="00644397" w:rsidRPr="001F226C">
              <w:rPr>
                <w:rFonts w:ascii="Times New Roman" w:hAnsi="Times New Roman" w:cs="Times New Roman"/>
                <w:sz w:val="16"/>
                <w:szCs w:val="16"/>
                <w:lang w:val="en-GB"/>
              </w:rPr>
              <w:t xml:space="preserve"> </w:t>
            </w:r>
          </w:p>
        </w:tc>
        <w:tc>
          <w:tcPr>
            <w:tcW w:w="3118" w:type="dxa"/>
            <w:tcBorders>
              <w:left w:val="single" w:sz="2" w:space="0" w:color="000000"/>
              <w:bottom w:val="single" w:sz="2" w:space="0" w:color="000000"/>
            </w:tcBorders>
            <w:shd w:val="clear" w:color="auto" w:fill="auto"/>
            <w:tcMar>
              <w:top w:w="55" w:type="dxa"/>
              <w:left w:w="55" w:type="dxa"/>
              <w:bottom w:w="55" w:type="dxa"/>
              <w:right w:w="55" w:type="dxa"/>
            </w:tcMar>
          </w:tcPr>
          <w:p w14:paraId="4F496FAA" w14:textId="07421B21" w:rsidR="007F4785" w:rsidRPr="001F226C" w:rsidRDefault="0023159C">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Gender- and age-specific mortality</w:t>
            </w:r>
          </w:p>
        </w:tc>
        <w:tc>
          <w:tcPr>
            <w:tcW w:w="3828" w:type="dxa"/>
            <w:tcBorders>
              <w:left w:val="single" w:sz="2" w:space="0" w:color="000000"/>
              <w:bottom w:val="single" w:sz="2" w:space="0" w:color="000000"/>
            </w:tcBorders>
            <w:shd w:val="clear" w:color="auto" w:fill="auto"/>
            <w:tcMar>
              <w:top w:w="0" w:type="dxa"/>
              <w:left w:w="10" w:type="dxa"/>
              <w:bottom w:w="0" w:type="dxa"/>
              <w:right w:w="10" w:type="dxa"/>
            </w:tcMar>
          </w:tcPr>
          <w:p w14:paraId="4F496FAB" w14:textId="2382C06F" w:rsidR="007F4785" w:rsidRPr="001F226C" w:rsidRDefault="002B498B">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See</w:t>
            </w:r>
            <w:r w:rsidRPr="00104B8E">
              <w:rPr>
                <w:rFonts w:ascii="Times New Roman" w:hAnsi="Times New Roman" w:cs="Times New Roman"/>
                <w:b/>
                <w:bCs/>
                <w:sz w:val="16"/>
                <w:szCs w:val="16"/>
                <w:lang w:val="en-GB"/>
              </w:rPr>
              <w:t xml:space="preserve"> </w:t>
            </w:r>
            <w:r w:rsidR="005E61FC" w:rsidRPr="005E61FC">
              <w:rPr>
                <w:rFonts w:ascii="Times New Roman" w:hAnsi="Times New Roman" w:cs="Times New Roman"/>
                <w:b/>
                <w:bCs/>
                <w:sz w:val="16"/>
                <w:szCs w:val="16"/>
                <w:lang w:val="en-GB"/>
              </w:rPr>
              <w:t>Appendix 1-</w:t>
            </w:r>
            <w:r w:rsidR="00A851EC" w:rsidRPr="00104B8E">
              <w:rPr>
                <w:rFonts w:ascii="Times New Roman" w:hAnsi="Times New Roman" w:cs="Times New Roman"/>
                <w:b/>
                <w:bCs/>
                <w:sz w:val="16"/>
                <w:szCs w:val="16"/>
                <w:lang w:val="en-GB"/>
              </w:rPr>
              <w:t xml:space="preserve">Table </w:t>
            </w:r>
            <w:r w:rsidR="00EE31E8" w:rsidRPr="00104B8E">
              <w:rPr>
                <w:rFonts w:ascii="Times New Roman" w:hAnsi="Times New Roman" w:cs="Times New Roman"/>
                <w:b/>
                <w:bCs/>
                <w:sz w:val="16"/>
                <w:szCs w:val="16"/>
                <w:lang w:val="en-GB"/>
              </w:rPr>
              <w:t>4</w:t>
            </w:r>
          </w:p>
        </w:tc>
        <w:tc>
          <w:tcPr>
            <w:tcW w:w="41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F496FAC" w14:textId="774873ED" w:rsidR="007F4785" w:rsidRPr="00E9639D" w:rsidRDefault="00564A1D">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B</w:t>
            </w:r>
            <w:r w:rsidR="00CB3E6B" w:rsidRPr="001F226C">
              <w:rPr>
                <w:rFonts w:ascii="Times New Roman" w:hAnsi="Times New Roman" w:cs="Times New Roman"/>
                <w:sz w:val="16"/>
                <w:szCs w:val="16"/>
                <w:lang w:val="en-GB"/>
              </w:rPr>
              <w:t xml:space="preserve">ased </w:t>
            </w:r>
            <w:r w:rsidR="00950D9C" w:rsidRPr="001F226C">
              <w:rPr>
                <w:rFonts w:ascii="Times New Roman" w:hAnsi="Times New Roman" w:cs="Times New Roman"/>
                <w:sz w:val="16"/>
                <w:szCs w:val="16"/>
                <w:lang w:val="en-GB"/>
              </w:rPr>
              <w:t xml:space="preserve">UN life tables of </w:t>
            </w:r>
            <w:r w:rsidR="00B7747D" w:rsidRPr="001F226C">
              <w:rPr>
                <w:rFonts w:ascii="Times New Roman" w:hAnsi="Times New Roman" w:cs="Times New Roman"/>
                <w:sz w:val="16"/>
                <w:szCs w:val="16"/>
                <w:lang w:val="en-GB"/>
              </w:rPr>
              <w:t xml:space="preserve">India in </w:t>
            </w:r>
            <w:r w:rsidR="00950D9C" w:rsidRPr="001F226C">
              <w:rPr>
                <w:rFonts w:ascii="Times New Roman" w:hAnsi="Times New Roman" w:cs="Times New Roman"/>
                <w:sz w:val="16"/>
                <w:szCs w:val="16"/>
                <w:lang w:val="en-GB"/>
              </w:rPr>
              <w:t>2015-2020</w:t>
            </w:r>
            <w:r w:rsidR="003134AE" w:rsidRPr="001F226C">
              <w:rPr>
                <w:rFonts w:ascii="Times New Roman" w:hAnsi="Times New Roman" w:cs="Times New Roman"/>
                <w:sz w:val="20"/>
                <w:szCs w:val="20"/>
                <w:lang w:val="en-GB"/>
              </w:rPr>
              <w:t>.</w:t>
            </w:r>
            <w:r w:rsidR="00E9639D" w:rsidRPr="00E9639D">
              <w:rPr>
                <w:rFonts w:ascii="Times New Roman" w:hAnsi="Times New Roman" w:cs="Times New Roman"/>
                <w:sz w:val="20"/>
                <w:szCs w:val="20"/>
                <w:vertAlign w:val="superscript"/>
                <w:lang w:val="en-GB"/>
              </w:rPr>
              <w:t>1</w:t>
            </w:r>
          </w:p>
        </w:tc>
      </w:tr>
      <w:tr w:rsidR="00DB12FC" w:rsidRPr="001F226C" w14:paraId="64EA4744" w14:textId="77777777" w:rsidTr="00F867CE">
        <w:tc>
          <w:tcPr>
            <w:tcW w:w="2547" w:type="dxa"/>
            <w:tcBorders>
              <w:left w:val="single" w:sz="2" w:space="0" w:color="000000"/>
              <w:bottom w:val="single" w:sz="2" w:space="0" w:color="000000"/>
            </w:tcBorders>
            <w:shd w:val="clear" w:color="auto" w:fill="auto"/>
            <w:tcMar>
              <w:top w:w="55" w:type="dxa"/>
              <w:left w:w="55" w:type="dxa"/>
              <w:bottom w:w="55" w:type="dxa"/>
              <w:right w:w="55" w:type="dxa"/>
            </w:tcMar>
          </w:tcPr>
          <w:p w14:paraId="16471C7B" w14:textId="3C340038" w:rsidR="00564A1D" w:rsidRPr="001F226C" w:rsidRDefault="00564A1D">
            <w:pPr>
              <w:pStyle w:val="TableContents"/>
              <w:jc w:val="center"/>
              <w:rPr>
                <w:rFonts w:ascii="Times New Roman" w:hAnsi="Times New Roman" w:cs="Times New Roman"/>
                <w:sz w:val="16"/>
                <w:szCs w:val="16"/>
                <w:lang w:val="en-GB"/>
              </w:rPr>
            </w:pPr>
            <m:oMathPara>
              <m:oMath>
                <m:r>
                  <w:rPr>
                    <w:rFonts w:ascii="Cambria Math" w:hAnsi="Cambria Math" w:cs="Times New Roman"/>
                    <w:sz w:val="16"/>
                    <w:szCs w:val="16"/>
                    <w:lang w:val="en-GB"/>
                  </w:rPr>
                  <m:t>b</m:t>
                </m:r>
              </m:oMath>
            </m:oMathPara>
          </w:p>
        </w:tc>
        <w:tc>
          <w:tcPr>
            <w:tcW w:w="3118" w:type="dxa"/>
            <w:tcBorders>
              <w:left w:val="single" w:sz="2" w:space="0" w:color="000000"/>
              <w:bottom w:val="single" w:sz="2" w:space="0" w:color="000000"/>
            </w:tcBorders>
            <w:shd w:val="clear" w:color="auto" w:fill="auto"/>
            <w:tcMar>
              <w:top w:w="55" w:type="dxa"/>
              <w:left w:w="55" w:type="dxa"/>
              <w:bottom w:w="55" w:type="dxa"/>
              <w:right w:w="55" w:type="dxa"/>
            </w:tcMar>
          </w:tcPr>
          <w:p w14:paraId="411C58CD" w14:textId="3B0790C1" w:rsidR="00564A1D" w:rsidRPr="001F226C" w:rsidRDefault="002365BE">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 xml:space="preserve">Population </w:t>
            </w:r>
            <w:r w:rsidR="00026AAC" w:rsidRPr="001F226C">
              <w:rPr>
                <w:rFonts w:ascii="Times New Roman" w:hAnsi="Times New Roman" w:cs="Times New Roman"/>
                <w:sz w:val="16"/>
                <w:szCs w:val="16"/>
                <w:lang w:val="en-GB"/>
              </w:rPr>
              <w:t xml:space="preserve">sex-specific </w:t>
            </w:r>
            <w:r w:rsidRPr="001F226C">
              <w:rPr>
                <w:rFonts w:ascii="Times New Roman" w:hAnsi="Times New Roman" w:cs="Times New Roman"/>
                <w:sz w:val="16"/>
                <w:szCs w:val="16"/>
                <w:lang w:val="en-GB"/>
              </w:rPr>
              <w:t>birth rate</w:t>
            </w:r>
          </w:p>
        </w:tc>
        <w:tc>
          <w:tcPr>
            <w:tcW w:w="3828" w:type="dxa"/>
            <w:tcBorders>
              <w:left w:val="single" w:sz="2" w:space="0" w:color="000000"/>
              <w:bottom w:val="single" w:sz="2" w:space="0" w:color="000000"/>
            </w:tcBorders>
            <w:shd w:val="clear" w:color="auto" w:fill="auto"/>
            <w:tcMar>
              <w:top w:w="0" w:type="dxa"/>
              <w:left w:w="10" w:type="dxa"/>
              <w:bottom w:w="0" w:type="dxa"/>
              <w:right w:w="10" w:type="dxa"/>
            </w:tcMar>
          </w:tcPr>
          <w:p w14:paraId="3CA80350" w14:textId="13DFAE39" w:rsidR="003E259A" w:rsidRPr="001F226C" w:rsidRDefault="002B498B">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 xml:space="preserve">Set such that the total population stays constant given </w:t>
            </w:r>
            <m:oMath>
              <m:sSub>
                <m:sSubPr>
                  <m:ctrlPr>
                    <w:rPr>
                      <w:rFonts w:ascii="Cambria Math" w:hAnsi="Cambria Math" w:cs="Times New Roman"/>
                      <w:sz w:val="16"/>
                      <w:szCs w:val="16"/>
                      <w:lang w:val="en-GB"/>
                    </w:rPr>
                  </m:ctrlPr>
                </m:sSubPr>
                <m:e>
                  <m:r>
                    <w:rPr>
                      <w:rFonts w:ascii="Cambria Math" w:hAnsi="Cambria Math" w:cs="Times New Roman"/>
                      <w:sz w:val="16"/>
                      <w:szCs w:val="16"/>
                      <w:lang w:val="en-GB"/>
                    </w:rPr>
                    <m:t>m</m:t>
                  </m:r>
                </m:e>
                <m:sub>
                  <m:r>
                    <w:rPr>
                      <w:rFonts w:ascii="Cambria Math" w:hAnsi="Cambria Math" w:cs="Times New Roman"/>
                      <w:sz w:val="16"/>
                      <w:szCs w:val="16"/>
                      <w:lang w:val="en-GB"/>
                    </w:rPr>
                    <m:t>g, age</m:t>
                  </m:r>
                </m:sub>
              </m:sSub>
            </m:oMath>
            <w:r w:rsidR="00930E15" w:rsidRPr="001F226C">
              <w:rPr>
                <w:rFonts w:ascii="Times New Roman" w:hAnsi="Times New Roman" w:cs="Times New Roman"/>
                <w:sz w:val="16"/>
                <w:szCs w:val="16"/>
                <w:lang w:val="en-GB"/>
              </w:rPr>
              <w:t xml:space="preserve"> and 50%-50% distribution of female and male </w:t>
            </w:r>
            <w:proofErr w:type="gramStart"/>
            <w:r w:rsidR="003E259A">
              <w:rPr>
                <w:rFonts w:ascii="Times New Roman" w:hAnsi="Times New Roman" w:cs="Times New Roman"/>
                <w:sz w:val="16"/>
                <w:szCs w:val="16"/>
                <w:lang w:val="en-GB"/>
              </w:rPr>
              <w:t>new-borns</w:t>
            </w:r>
            <w:proofErr w:type="gramEnd"/>
          </w:p>
          <w:p w14:paraId="77877A33" w14:textId="180B5E1A" w:rsidR="00930E15" w:rsidRPr="001F226C" w:rsidRDefault="00930E15">
            <w:pPr>
              <w:pStyle w:val="TableContents"/>
              <w:rPr>
                <w:rFonts w:ascii="Times New Roman" w:hAnsi="Times New Roman" w:cs="Times New Roman"/>
                <w:sz w:val="16"/>
                <w:szCs w:val="16"/>
                <w:lang w:val="en-GB"/>
              </w:rPr>
            </w:pPr>
          </w:p>
        </w:tc>
        <w:tc>
          <w:tcPr>
            <w:tcW w:w="41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367EC8B" w14:textId="5452C999" w:rsidR="00564A1D" w:rsidRPr="001F226C" w:rsidRDefault="002B498B">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NA</w:t>
            </w:r>
          </w:p>
        </w:tc>
      </w:tr>
      <w:tr w:rsidR="00DB12FC" w:rsidRPr="001F226C" w14:paraId="4F496FB4" w14:textId="77777777">
        <w:tc>
          <w:tcPr>
            <w:tcW w:w="13618" w:type="dxa"/>
            <w:gridSpan w:val="4"/>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F496FB3" w14:textId="103BB58B" w:rsidR="00CE281A" w:rsidRPr="001F226C" w:rsidRDefault="00CE281A" w:rsidP="00CE281A">
            <w:pPr>
              <w:pStyle w:val="TableContents"/>
              <w:rPr>
                <w:rFonts w:ascii="Times New Roman" w:hAnsi="Times New Roman" w:cs="Times New Roman"/>
                <w:i/>
                <w:iCs/>
                <w:sz w:val="16"/>
                <w:szCs w:val="16"/>
                <w:lang w:val="en-GB"/>
              </w:rPr>
            </w:pPr>
            <w:r w:rsidRPr="001F226C">
              <w:rPr>
                <w:rFonts w:ascii="Times New Roman" w:hAnsi="Times New Roman" w:cs="Times New Roman"/>
                <w:i/>
                <w:iCs/>
                <w:sz w:val="16"/>
                <w:szCs w:val="16"/>
                <w:lang w:val="en-GB"/>
              </w:rPr>
              <w:t xml:space="preserve">Sexual </w:t>
            </w:r>
            <w:r w:rsidR="00F254B5" w:rsidRPr="001F226C">
              <w:rPr>
                <w:rFonts w:ascii="Times New Roman" w:hAnsi="Times New Roman" w:cs="Times New Roman"/>
                <w:i/>
                <w:iCs/>
                <w:sz w:val="16"/>
                <w:szCs w:val="16"/>
                <w:lang w:val="en-GB"/>
              </w:rPr>
              <w:t xml:space="preserve">contact </w:t>
            </w:r>
            <w:r w:rsidRPr="001F226C">
              <w:rPr>
                <w:rFonts w:ascii="Times New Roman" w:hAnsi="Times New Roman" w:cs="Times New Roman"/>
                <w:i/>
                <w:iCs/>
                <w:sz w:val="16"/>
                <w:szCs w:val="16"/>
                <w:lang w:val="en-GB"/>
              </w:rPr>
              <w:t>b</w:t>
            </w:r>
            <w:r w:rsidR="006D281C" w:rsidRPr="001F226C">
              <w:rPr>
                <w:rFonts w:ascii="Times New Roman" w:hAnsi="Times New Roman" w:cs="Times New Roman"/>
                <w:i/>
                <w:iCs/>
                <w:sz w:val="16"/>
                <w:szCs w:val="16"/>
                <w:lang w:val="en-GB"/>
              </w:rPr>
              <w:t>ehaviour</w:t>
            </w:r>
          </w:p>
        </w:tc>
      </w:tr>
      <w:tr w:rsidR="00DB12FC" w:rsidRPr="001F226C" w14:paraId="207D5D17" w14:textId="77777777" w:rsidTr="00F867CE">
        <w:tc>
          <w:tcPr>
            <w:tcW w:w="2547" w:type="dxa"/>
            <w:tcBorders>
              <w:left w:val="single" w:sz="2" w:space="0" w:color="000000"/>
              <w:bottom w:val="single" w:sz="2" w:space="0" w:color="000000"/>
            </w:tcBorders>
            <w:shd w:val="clear" w:color="auto" w:fill="auto"/>
            <w:tcMar>
              <w:top w:w="55" w:type="dxa"/>
              <w:left w:w="55" w:type="dxa"/>
              <w:bottom w:w="55" w:type="dxa"/>
              <w:right w:w="55" w:type="dxa"/>
            </w:tcMar>
          </w:tcPr>
          <w:p w14:paraId="7F289945" w14:textId="520A3CD8" w:rsidR="00242B7E" w:rsidRPr="001F226C" w:rsidRDefault="00000000" w:rsidP="00CE281A">
            <w:pPr>
              <w:pStyle w:val="TableContents"/>
              <w:jc w:val="center"/>
              <w:rPr>
                <w:rFonts w:ascii="Times New Roman" w:hAnsi="Times New Roman" w:cs="Times New Roman"/>
                <w:sz w:val="16"/>
                <w:szCs w:val="16"/>
                <w:lang w:val="en-GB"/>
              </w:rPr>
            </w:pPr>
            <m:oMathPara>
              <m:oMath>
                <m:sSub>
                  <m:sSubPr>
                    <m:ctrlPr>
                      <w:rPr>
                        <w:rFonts w:ascii="Cambria Math" w:hAnsi="Cambria Math" w:cs="Times New Roman"/>
                        <w:sz w:val="16"/>
                        <w:szCs w:val="16"/>
                        <w:lang w:val="en-GB"/>
                      </w:rPr>
                    </m:ctrlPr>
                  </m:sSubPr>
                  <m:e>
                    <m:r>
                      <w:rPr>
                        <w:rFonts w:ascii="Cambria Math" w:hAnsi="Cambria Math" w:cs="Times New Roman"/>
                        <w:sz w:val="16"/>
                        <w:szCs w:val="16"/>
                        <w:lang w:val="en-GB"/>
                      </w:rPr>
                      <m:t>p</m:t>
                    </m:r>
                  </m:e>
                  <m:sub>
                    <m:r>
                      <w:rPr>
                        <w:rFonts w:ascii="Cambria Math" w:hAnsi="Cambria Math" w:cs="Times New Roman"/>
                        <w:sz w:val="16"/>
                        <w:szCs w:val="16"/>
                        <w:lang w:val="en-GB"/>
                      </w:rPr>
                      <m:t>W,1</m:t>
                    </m:r>
                  </m:sub>
                </m:sSub>
                <m:r>
                  <w:rPr>
                    <w:rFonts w:ascii="Cambria Math" w:hAnsi="Cambria Math" w:cs="Times New Roman"/>
                    <w:sz w:val="16"/>
                    <w:szCs w:val="16"/>
                    <w:lang w:val="en-GB"/>
                  </w:rPr>
                  <m:t xml:space="preserve">, </m:t>
                </m:r>
                <m:sSub>
                  <m:sSubPr>
                    <m:ctrlPr>
                      <w:rPr>
                        <w:rFonts w:ascii="Cambria Math" w:hAnsi="Cambria Math" w:cs="Times New Roman"/>
                        <w:sz w:val="16"/>
                        <w:szCs w:val="16"/>
                        <w:lang w:val="en-GB"/>
                      </w:rPr>
                    </m:ctrlPr>
                  </m:sSubPr>
                  <m:e>
                    <m:r>
                      <w:rPr>
                        <w:rFonts w:ascii="Cambria Math" w:hAnsi="Cambria Math" w:cs="Times New Roman"/>
                        <w:sz w:val="16"/>
                        <w:szCs w:val="16"/>
                        <w:lang w:val="en-GB"/>
                      </w:rPr>
                      <m:t>p</m:t>
                    </m:r>
                  </m:e>
                  <m:sub>
                    <m:r>
                      <w:rPr>
                        <w:rFonts w:ascii="Cambria Math" w:hAnsi="Cambria Math" w:cs="Times New Roman"/>
                        <w:sz w:val="16"/>
                        <w:szCs w:val="16"/>
                        <w:lang w:val="en-GB"/>
                      </w:rPr>
                      <m:t>M,1</m:t>
                    </m:r>
                  </m:sub>
                </m:sSub>
              </m:oMath>
            </m:oMathPara>
          </w:p>
        </w:tc>
        <w:tc>
          <w:tcPr>
            <w:tcW w:w="3118" w:type="dxa"/>
            <w:tcBorders>
              <w:left w:val="single" w:sz="2" w:space="0" w:color="000000"/>
              <w:bottom w:val="single" w:sz="2" w:space="0" w:color="000000"/>
            </w:tcBorders>
            <w:shd w:val="clear" w:color="auto" w:fill="auto"/>
            <w:tcMar>
              <w:top w:w="55" w:type="dxa"/>
              <w:left w:w="55" w:type="dxa"/>
              <w:bottom w:w="55" w:type="dxa"/>
              <w:right w:w="55" w:type="dxa"/>
            </w:tcMar>
          </w:tcPr>
          <w:p w14:paraId="538CF303" w14:textId="6702AE7C" w:rsidR="00242B7E" w:rsidRPr="001F226C" w:rsidRDefault="00242B7E" w:rsidP="00CE281A">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 xml:space="preserve">Probability of being assigned to risk group </w:t>
            </w:r>
            <w:r w:rsidR="00D57C79" w:rsidRPr="001F226C">
              <w:rPr>
                <w:rFonts w:ascii="Times New Roman" w:hAnsi="Times New Roman" w:cs="Times New Roman"/>
                <w:sz w:val="16"/>
                <w:szCs w:val="16"/>
                <w:lang w:val="en-GB"/>
              </w:rPr>
              <w:t>1</w:t>
            </w:r>
            <w:r w:rsidRPr="001F226C">
              <w:rPr>
                <w:rFonts w:ascii="Times New Roman" w:hAnsi="Times New Roman" w:cs="Times New Roman"/>
                <w:sz w:val="16"/>
                <w:szCs w:val="16"/>
                <w:lang w:val="en-GB"/>
              </w:rPr>
              <w:t xml:space="preserve"> </w:t>
            </w:r>
            <w:r w:rsidR="003942D3" w:rsidRPr="001F226C">
              <w:rPr>
                <w:rFonts w:ascii="Times New Roman" w:hAnsi="Times New Roman" w:cs="Times New Roman"/>
                <w:sz w:val="16"/>
                <w:szCs w:val="16"/>
                <w:lang w:val="en-GB"/>
              </w:rPr>
              <w:t xml:space="preserve">in </w:t>
            </w:r>
            <w:r w:rsidR="00490DE9" w:rsidRPr="001F226C">
              <w:rPr>
                <w:rFonts w:ascii="Times New Roman" w:hAnsi="Times New Roman" w:cs="Times New Roman"/>
                <w:sz w:val="16"/>
                <w:szCs w:val="16"/>
                <w:lang w:val="en-GB"/>
              </w:rPr>
              <w:t xml:space="preserve">women </w:t>
            </w:r>
            <w:r w:rsidR="00BF4AB1" w:rsidRPr="001F226C">
              <w:rPr>
                <w:rFonts w:ascii="Times New Roman" w:hAnsi="Times New Roman" w:cs="Times New Roman"/>
                <w:sz w:val="16"/>
                <w:szCs w:val="16"/>
                <w:lang w:val="en-GB"/>
              </w:rPr>
              <w:t xml:space="preserve">and </w:t>
            </w:r>
            <w:r w:rsidR="003942D3" w:rsidRPr="001F226C">
              <w:rPr>
                <w:rFonts w:ascii="Times New Roman" w:hAnsi="Times New Roman" w:cs="Times New Roman"/>
                <w:sz w:val="16"/>
                <w:szCs w:val="16"/>
                <w:lang w:val="en-GB"/>
              </w:rPr>
              <w:t>men</w:t>
            </w:r>
          </w:p>
        </w:tc>
        <w:tc>
          <w:tcPr>
            <w:tcW w:w="3828" w:type="dxa"/>
            <w:tcBorders>
              <w:left w:val="single" w:sz="2" w:space="0" w:color="000000"/>
              <w:bottom w:val="single" w:sz="2" w:space="0" w:color="000000"/>
            </w:tcBorders>
            <w:shd w:val="clear" w:color="auto" w:fill="auto"/>
            <w:tcMar>
              <w:top w:w="0" w:type="dxa"/>
              <w:left w:w="10" w:type="dxa"/>
              <w:bottom w:w="0" w:type="dxa"/>
              <w:right w:w="10" w:type="dxa"/>
            </w:tcMar>
          </w:tcPr>
          <w:p w14:paraId="6153992C" w14:textId="46F79020" w:rsidR="00242B7E" w:rsidRPr="001F226C" w:rsidRDefault="00490DE9" w:rsidP="00CE281A">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 xml:space="preserve">1.3%, </w:t>
            </w:r>
            <w:r w:rsidR="00360FC9" w:rsidRPr="001F226C">
              <w:rPr>
                <w:rFonts w:ascii="Times New Roman" w:hAnsi="Times New Roman" w:cs="Times New Roman"/>
                <w:sz w:val="16"/>
                <w:szCs w:val="16"/>
                <w:lang w:val="en-GB"/>
              </w:rPr>
              <w:t xml:space="preserve">3.3% </w:t>
            </w:r>
            <w:r w:rsidR="00E66A08" w:rsidRPr="001F226C">
              <w:rPr>
                <w:rFonts w:ascii="Times New Roman" w:hAnsi="Times New Roman" w:cs="Times New Roman"/>
                <w:sz w:val="16"/>
                <w:szCs w:val="16"/>
                <w:lang w:val="en-GB"/>
              </w:rPr>
              <w:t>for West</w:t>
            </w:r>
            <w:r w:rsidR="00AA6542" w:rsidRPr="001F226C">
              <w:rPr>
                <w:rFonts w:ascii="Times New Roman" w:hAnsi="Times New Roman" w:cs="Times New Roman"/>
                <w:sz w:val="16"/>
                <w:szCs w:val="16"/>
                <w:lang w:val="en-GB"/>
              </w:rPr>
              <w:t xml:space="preserve"> Bengal</w:t>
            </w:r>
            <w:r w:rsidR="00AA6542" w:rsidRPr="001F226C">
              <w:rPr>
                <w:rFonts w:ascii="Times New Roman" w:hAnsi="Times New Roman" w:cs="Times New Roman"/>
                <w:sz w:val="16"/>
                <w:szCs w:val="16"/>
                <w:lang w:val="en-GB"/>
              </w:rPr>
              <w:br/>
            </w:r>
            <w:r w:rsidRPr="001F226C">
              <w:rPr>
                <w:rFonts w:ascii="Times New Roman" w:hAnsi="Times New Roman" w:cs="Times New Roman"/>
                <w:sz w:val="16"/>
                <w:szCs w:val="16"/>
                <w:lang w:val="en-GB"/>
              </w:rPr>
              <w:t xml:space="preserve">1.7%, </w:t>
            </w:r>
            <w:r w:rsidR="00360FC9" w:rsidRPr="001F226C">
              <w:rPr>
                <w:rFonts w:ascii="Times New Roman" w:hAnsi="Times New Roman" w:cs="Times New Roman"/>
                <w:sz w:val="16"/>
                <w:szCs w:val="16"/>
                <w:lang w:val="en-GB"/>
              </w:rPr>
              <w:t xml:space="preserve">2.8% </w:t>
            </w:r>
            <w:r w:rsidR="00AA6542" w:rsidRPr="001F226C">
              <w:rPr>
                <w:rFonts w:ascii="Times New Roman" w:hAnsi="Times New Roman" w:cs="Times New Roman"/>
                <w:sz w:val="16"/>
                <w:szCs w:val="16"/>
                <w:lang w:val="en-GB"/>
              </w:rPr>
              <w:t>for Tamil Nadu</w:t>
            </w:r>
          </w:p>
        </w:tc>
        <w:tc>
          <w:tcPr>
            <w:tcW w:w="41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F281A14" w14:textId="4BD83243" w:rsidR="00242B7E" w:rsidRPr="001F226C" w:rsidRDefault="002410CC" w:rsidP="00CE281A">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Proportion of virgin</w:t>
            </w:r>
            <w:r w:rsidR="00804641" w:rsidRPr="001F226C">
              <w:rPr>
                <w:rFonts w:ascii="Times New Roman" w:hAnsi="Times New Roman" w:cs="Times New Roman"/>
                <w:sz w:val="16"/>
                <w:szCs w:val="16"/>
                <w:lang w:val="en-GB"/>
              </w:rPr>
              <w:t>s</w:t>
            </w:r>
            <w:r w:rsidRPr="001F226C">
              <w:rPr>
                <w:rFonts w:ascii="Times New Roman" w:hAnsi="Times New Roman" w:cs="Times New Roman"/>
                <w:sz w:val="16"/>
                <w:szCs w:val="16"/>
                <w:lang w:val="en-GB"/>
              </w:rPr>
              <w:t xml:space="preserve"> in the age group 30-49 </w:t>
            </w:r>
            <w:r w:rsidR="00D332B1" w:rsidRPr="001F226C">
              <w:rPr>
                <w:rFonts w:ascii="Times New Roman" w:hAnsi="Times New Roman" w:cs="Times New Roman"/>
                <w:sz w:val="16"/>
                <w:szCs w:val="16"/>
                <w:lang w:val="en-GB"/>
              </w:rPr>
              <w:t>estimated by</w:t>
            </w:r>
            <w:r w:rsidRPr="001F226C">
              <w:rPr>
                <w:rFonts w:ascii="Times New Roman" w:hAnsi="Times New Roman" w:cs="Times New Roman"/>
                <w:sz w:val="16"/>
                <w:szCs w:val="16"/>
                <w:lang w:val="en-GB"/>
              </w:rPr>
              <w:t xml:space="preserve"> </w:t>
            </w:r>
            <w:r w:rsidR="00804641" w:rsidRPr="001F226C">
              <w:rPr>
                <w:rFonts w:ascii="Times New Roman" w:hAnsi="Times New Roman" w:cs="Times New Roman"/>
                <w:sz w:val="16"/>
                <w:szCs w:val="16"/>
                <w:lang w:val="en-GB"/>
              </w:rPr>
              <w:t>DHS</w:t>
            </w:r>
            <w:r w:rsidR="00D6140E" w:rsidRPr="001F226C">
              <w:rPr>
                <w:rFonts w:ascii="Times New Roman" w:hAnsi="Times New Roman" w:cs="Times New Roman"/>
                <w:sz w:val="16"/>
                <w:szCs w:val="16"/>
                <w:lang w:val="en-GB"/>
              </w:rPr>
              <w:t xml:space="preserve"> in West Bengal and Tamil Nadu</w:t>
            </w:r>
            <w:r w:rsidR="00F43E4E" w:rsidRPr="001F226C">
              <w:rPr>
                <w:rFonts w:ascii="Times New Roman" w:hAnsi="Times New Roman" w:cs="Times New Roman"/>
                <w:sz w:val="16"/>
                <w:szCs w:val="16"/>
                <w:lang w:val="en-GB"/>
              </w:rPr>
              <w:t>.</w:t>
            </w:r>
            <w:r w:rsidR="00E9639D" w:rsidRPr="00E9639D">
              <w:rPr>
                <w:rFonts w:ascii="Times New Roman" w:hAnsi="Times New Roman" w:cs="Times New Roman"/>
                <w:sz w:val="16"/>
                <w:szCs w:val="16"/>
                <w:vertAlign w:val="superscript"/>
                <w:lang w:val="en-GB"/>
              </w:rPr>
              <w:t>2</w:t>
            </w:r>
            <w:r w:rsidR="00E9639D" w:rsidRPr="001F226C">
              <w:rPr>
                <w:rFonts w:ascii="Times New Roman" w:hAnsi="Times New Roman" w:cs="Times New Roman"/>
                <w:sz w:val="16"/>
                <w:szCs w:val="16"/>
                <w:lang w:val="en-GB"/>
              </w:rPr>
              <w:t xml:space="preserve"> </w:t>
            </w:r>
          </w:p>
        </w:tc>
      </w:tr>
      <w:tr w:rsidR="00DB12FC" w:rsidRPr="001F226C" w14:paraId="01BC7FD9" w14:textId="77777777" w:rsidTr="00F867CE">
        <w:tc>
          <w:tcPr>
            <w:tcW w:w="2547" w:type="dxa"/>
            <w:tcBorders>
              <w:left w:val="single" w:sz="2" w:space="0" w:color="000000"/>
              <w:bottom w:val="single" w:sz="2" w:space="0" w:color="000000"/>
            </w:tcBorders>
            <w:shd w:val="clear" w:color="auto" w:fill="auto"/>
            <w:tcMar>
              <w:top w:w="55" w:type="dxa"/>
              <w:left w:w="55" w:type="dxa"/>
              <w:bottom w:w="55" w:type="dxa"/>
              <w:right w:w="55" w:type="dxa"/>
            </w:tcMar>
          </w:tcPr>
          <w:p w14:paraId="4E19959D" w14:textId="50DB88D6" w:rsidR="00384E48" w:rsidRPr="001F226C" w:rsidRDefault="00000000" w:rsidP="004834E2">
            <w:pPr>
              <w:pStyle w:val="TableContents"/>
              <w:jc w:val="center"/>
              <w:rPr>
                <w:rFonts w:ascii="Times New Roman" w:hAnsi="Times New Roman" w:cs="Times New Roman"/>
                <w:sz w:val="16"/>
                <w:szCs w:val="16"/>
                <w:lang w:val="en-GB"/>
              </w:rPr>
            </w:pPr>
            <m:oMathPara>
              <m:oMath>
                <m:sSub>
                  <m:sSubPr>
                    <m:ctrlPr>
                      <w:rPr>
                        <w:rFonts w:ascii="Cambria Math" w:hAnsi="Cambria Math" w:cs="Times New Roman"/>
                        <w:sz w:val="16"/>
                        <w:szCs w:val="16"/>
                        <w:lang w:val="en-GB"/>
                      </w:rPr>
                    </m:ctrlPr>
                  </m:sSubPr>
                  <m:e>
                    <m:r>
                      <w:rPr>
                        <w:rFonts w:ascii="Cambria Math" w:hAnsi="Cambria Math" w:cs="Times New Roman"/>
                        <w:sz w:val="16"/>
                        <w:szCs w:val="16"/>
                        <w:lang w:val="en-GB"/>
                      </w:rPr>
                      <m:t>p</m:t>
                    </m:r>
                  </m:e>
                  <m:sub>
                    <m:r>
                      <w:rPr>
                        <w:rFonts w:ascii="Cambria Math" w:hAnsi="Cambria Math" w:cs="Times New Roman"/>
                        <w:sz w:val="16"/>
                        <w:szCs w:val="16"/>
                        <w:lang w:val="en-GB"/>
                      </w:rPr>
                      <m:t>M,3</m:t>
                    </m:r>
                  </m:sub>
                </m:sSub>
                <m:r>
                  <w:rPr>
                    <w:rFonts w:ascii="Cambria Math" w:hAnsi="Cambria Math" w:cs="Times New Roman"/>
                    <w:sz w:val="16"/>
                    <w:szCs w:val="16"/>
                    <w:lang w:val="en-GB"/>
                  </w:rPr>
                  <m:t>,</m:t>
                </m:r>
                <m:sSub>
                  <m:sSubPr>
                    <m:ctrlPr>
                      <w:rPr>
                        <w:rFonts w:ascii="Cambria Math" w:hAnsi="Cambria Math" w:cs="Times New Roman"/>
                        <w:sz w:val="16"/>
                        <w:szCs w:val="16"/>
                        <w:lang w:val="en-GB"/>
                      </w:rPr>
                    </m:ctrlPr>
                  </m:sSubPr>
                  <m:e>
                    <m:r>
                      <w:rPr>
                        <w:rFonts w:ascii="Cambria Math" w:hAnsi="Cambria Math" w:cs="Times New Roman"/>
                        <w:sz w:val="16"/>
                        <w:szCs w:val="16"/>
                        <w:lang w:val="en-GB"/>
                      </w:rPr>
                      <m:t>p</m:t>
                    </m:r>
                  </m:e>
                  <m:sub>
                    <m:r>
                      <w:rPr>
                        <w:rFonts w:ascii="Cambria Math" w:hAnsi="Cambria Math" w:cs="Times New Roman"/>
                        <w:sz w:val="16"/>
                        <w:szCs w:val="16"/>
                        <w:lang w:val="en-GB"/>
                      </w:rPr>
                      <m:t>M,4</m:t>
                    </m:r>
                  </m:sub>
                </m:sSub>
                <m:r>
                  <w:rPr>
                    <w:rFonts w:ascii="Cambria Math" w:hAnsi="Cambria Math" w:cs="Times New Roman"/>
                    <w:sz w:val="16"/>
                    <w:szCs w:val="16"/>
                    <w:lang w:val="en-GB"/>
                  </w:rPr>
                  <m:t>,</m:t>
                </m:r>
                <m:sSub>
                  <m:sSubPr>
                    <m:ctrlPr>
                      <w:rPr>
                        <w:rFonts w:ascii="Cambria Math" w:hAnsi="Cambria Math" w:cs="Times New Roman"/>
                        <w:sz w:val="16"/>
                        <w:szCs w:val="16"/>
                        <w:lang w:val="en-GB"/>
                      </w:rPr>
                    </m:ctrlPr>
                  </m:sSubPr>
                  <m:e>
                    <m:r>
                      <w:rPr>
                        <w:rFonts w:ascii="Cambria Math" w:hAnsi="Cambria Math" w:cs="Times New Roman"/>
                        <w:sz w:val="16"/>
                        <w:szCs w:val="16"/>
                        <w:lang w:val="en-GB"/>
                      </w:rPr>
                      <m:t>p</m:t>
                    </m:r>
                  </m:e>
                  <m:sub>
                    <m:r>
                      <w:rPr>
                        <w:rFonts w:ascii="Cambria Math" w:hAnsi="Cambria Math" w:cs="Times New Roman"/>
                        <w:sz w:val="16"/>
                        <w:szCs w:val="16"/>
                        <w:lang w:val="en-GB"/>
                      </w:rPr>
                      <m:t>M,5</m:t>
                    </m:r>
                  </m:sub>
                </m:sSub>
              </m:oMath>
            </m:oMathPara>
          </w:p>
        </w:tc>
        <w:tc>
          <w:tcPr>
            <w:tcW w:w="3118" w:type="dxa"/>
            <w:tcBorders>
              <w:left w:val="single" w:sz="2" w:space="0" w:color="000000"/>
              <w:bottom w:val="single" w:sz="2" w:space="0" w:color="000000"/>
            </w:tcBorders>
            <w:shd w:val="clear" w:color="auto" w:fill="auto"/>
            <w:tcMar>
              <w:top w:w="55" w:type="dxa"/>
              <w:left w:w="55" w:type="dxa"/>
              <w:bottom w:w="55" w:type="dxa"/>
              <w:right w:w="55" w:type="dxa"/>
            </w:tcMar>
          </w:tcPr>
          <w:p w14:paraId="468D9309" w14:textId="5680AF05" w:rsidR="00384E48" w:rsidRPr="001F226C" w:rsidRDefault="00674A1B" w:rsidP="00535DD2">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 xml:space="preserve">Probability of being assigned to risk group 3, 4, and </w:t>
            </w:r>
            <w:r w:rsidR="00EA3377" w:rsidRPr="001F226C">
              <w:rPr>
                <w:rFonts w:ascii="Times New Roman" w:hAnsi="Times New Roman" w:cs="Times New Roman"/>
                <w:sz w:val="16"/>
                <w:szCs w:val="16"/>
                <w:lang w:val="en-GB"/>
              </w:rPr>
              <w:t>5 in</w:t>
            </w:r>
            <w:r w:rsidRPr="001F226C">
              <w:rPr>
                <w:rFonts w:ascii="Times New Roman" w:hAnsi="Times New Roman" w:cs="Times New Roman"/>
                <w:sz w:val="16"/>
                <w:szCs w:val="16"/>
                <w:lang w:val="en-GB"/>
              </w:rPr>
              <w:t xml:space="preserve"> men</w:t>
            </w:r>
          </w:p>
        </w:tc>
        <w:tc>
          <w:tcPr>
            <w:tcW w:w="3828" w:type="dxa"/>
            <w:tcBorders>
              <w:left w:val="single" w:sz="2" w:space="0" w:color="000000"/>
              <w:bottom w:val="single" w:sz="2" w:space="0" w:color="000000"/>
            </w:tcBorders>
            <w:shd w:val="clear" w:color="auto" w:fill="auto"/>
            <w:tcMar>
              <w:top w:w="0" w:type="dxa"/>
              <w:left w:w="10" w:type="dxa"/>
              <w:bottom w:w="0" w:type="dxa"/>
              <w:right w:w="10" w:type="dxa"/>
            </w:tcMar>
          </w:tcPr>
          <w:p w14:paraId="404E996F" w14:textId="345ACD4A" w:rsidR="00384E48" w:rsidRPr="001F226C" w:rsidRDefault="00AE66E6" w:rsidP="00535DD2">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3.6%, 4.7%, 1.4% for West Bengal</w:t>
            </w:r>
            <w:r w:rsidR="00C607B6" w:rsidRPr="001F226C">
              <w:rPr>
                <w:rFonts w:ascii="Times New Roman" w:hAnsi="Times New Roman" w:cs="Times New Roman"/>
                <w:sz w:val="16"/>
                <w:szCs w:val="16"/>
                <w:lang w:val="en-GB"/>
              </w:rPr>
              <w:br/>
            </w:r>
            <w:r w:rsidR="00EA4A99" w:rsidRPr="001F226C">
              <w:rPr>
                <w:rFonts w:ascii="Times New Roman" w:hAnsi="Times New Roman" w:cs="Times New Roman"/>
                <w:sz w:val="16"/>
                <w:szCs w:val="16"/>
                <w:lang w:val="en-GB"/>
              </w:rPr>
              <w:t>7.9%, 4.6%, 2.2% for Tamil Nadu</w:t>
            </w:r>
          </w:p>
        </w:tc>
        <w:tc>
          <w:tcPr>
            <w:tcW w:w="41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611703" w14:textId="45F38FE8" w:rsidR="003D0E0E" w:rsidRPr="001F226C" w:rsidRDefault="00B609B8" w:rsidP="00535DD2">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 xml:space="preserve">Based on </w:t>
            </w:r>
            <w:r w:rsidR="00E40BDF" w:rsidRPr="001F226C">
              <w:rPr>
                <w:rFonts w:ascii="Times New Roman" w:hAnsi="Times New Roman" w:cs="Times New Roman"/>
                <w:sz w:val="16"/>
                <w:szCs w:val="16"/>
                <w:lang w:val="en-GB"/>
              </w:rPr>
              <w:t xml:space="preserve">Table 1 </w:t>
            </w:r>
            <w:r w:rsidR="00980994" w:rsidRPr="001F226C">
              <w:rPr>
                <w:rFonts w:ascii="Times New Roman" w:hAnsi="Times New Roman" w:cs="Times New Roman"/>
                <w:sz w:val="16"/>
                <w:szCs w:val="16"/>
                <w:lang w:val="en-GB"/>
              </w:rPr>
              <w:t xml:space="preserve">of </w:t>
            </w:r>
            <w:proofErr w:type="spellStart"/>
            <w:r w:rsidR="00E40BDF" w:rsidRPr="001F226C">
              <w:rPr>
                <w:rFonts w:ascii="Times New Roman" w:hAnsi="Times New Roman" w:cs="Times New Roman"/>
                <w:sz w:val="16"/>
                <w:szCs w:val="16"/>
                <w:lang w:val="en-GB"/>
              </w:rPr>
              <w:t>Gaffey</w:t>
            </w:r>
            <w:proofErr w:type="spellEnd"/>
            <w:r w:rsidR="00E40BDF" w:rsidRPr="001F226C">
              <w:rPr>
                <w:rFonts w:ascii="Times New Roman" w:hAnsi="Times New Roman" w:cs="Times New Roman"/>
                <w:sz w:val="16"/>
                <w:szCs w:val="16"/>
                <w:lang w:val="en-GB"/>
              </w:rPr>
              <w:t xml:space="preserve"> et al</w:t>
            </w:r>
            <w:r w:rsidR="00E9639D">
              <w:rPr>
                <w:rFonts w:ascii="Times New Roman" w:hAnsi="Times New Roman" w:cs="Times New Roman"/>
                <w:sz w:val="16"/>
                <w:szCs w:val="16"/>
                <w:lang w:val="en-GB"/>
              </w:rPr>
              <w:t>.</w:t>
            </w:r>
            <w:r w:rsidR="00E9639D" w:rsidRPr="00E9639D">
              <w:rPr>
                <w:rFonts w:ascii="Times New Roman" w:hAnsi="Times New Roman" w:cs="Times New Roman"/>
                <w:sz w:val="16"/>
                <w:szCs w:val="16"/>
                <w:vertAlign w:val="superscript"/>
                <w:lang w:val="en-GB"/>
              </w:rPr>
              <w:t>3</w:t>
            </w:r>
            <w:r w:rsidR="00E9639D">
              <w:rPr>
                <w:rFonts w:ascii="Times New Roman" w:hAnsi="Times New Roman" w:cs="Times New Roman"/>
                <w:sz w:val="16"/>
                <w:szCs w:val="16"/>
                <w:lang w:val="en-GB"/>
              </w:rPr>
              <w:t xml:space="preserve"> </w:t>
            </w:r>
            <w:r w:rsidR="00D332B1" w:rsidRPr="001F226C">
              <w:rPr>
                <w:rFonts w:ascii="Times New Roman" w:hAnsi="Times New Roman" w:cs="Times New Roman"/>
                <w:sz w:val="16"/>
                <w:szCs w:val="16"/>
                <w:lang w:val="en-GB"/>
              </w:rPr>
              <w:t>The r</w:t>
            </w:r>
            <w:r w:rsidR="00A21E7B" w:rsidRPr="001F226C">
              <w:rPr>
                <w:rFonts w:ascii="Times New Roman" w:hAnsi="Times New Roman" w:cs="Times New Roman"/>
                <w:sz w:val="16"/>
                <w:szCs w:val="16"/>
                <w:lang w:val="en-GB"/>
              </w:rPr>
              <w:t xml:space="preserve">ows </w:t>
            </w:r>
            <w:r w:rsidR="0046561C" w:rsidRPr="001F226C">
              <w:rPr>
                <w:rFonts w:ascii="Times New Roman" w:hAnsi="Times New Roman" w:cs="Times New Roman"/>
                <w:sz w:val="16"/>
                <w:szCs w:val="16"/>
                <w:lang w:val="en-GB"/>
              </w:rPr>
              <w:t xml:space="preserve">for low- </w:t>
            </w:r>
            <w:proofErr w:type="gramStart"/>
            <w:r w:rsidR="0046561C" w:rsidRPr="001F226C">
              <w:rPr>
                <w:rFonts w:ascii="Times New Roman" w:hAnsi="Times New Roman" w:cs="Times New Roman"/>
                <w:sz w:val="16"/>
                <w:szCs w:val="16"/>
                <w:lang w:val="en-GB"/>
              </w:rPr>
              <w:t>and  high</w:t>
            </w:r>
            <w:proofErr w:type="gramEnd"/>
            <w:r w:rsidR="0046561C" w:rsidRPr="001F226C">
              <w:rPr>
                <w:rFonts w:ascii="Times New Roman" w:hAnsi="Times New Roman" w:cs="Times New Roman"/>
                <w:sz w:val="16"/>
                <w:szCs w:val="16"/>
                <w:lang w:val="en-GB"/>
              </w:rPr>
              <w:t xml:space="preserve">-HIV states were used for </w:t>
            </w:r>
            <w:r w:rsidR="00084FBB" w:rsidRPr="001F226C">
              <w:rPr>
                <w:rFonts w:ascii="Times New Roman" w:hAnsi="Times New Roman" w:cs="Times New Roman"/>
                <w:sz w:val="16"/>
                <w:szCs w:val="16"/>
                <w:lang w:val="en-GB"/>
              </w:rPr>
              <w:t>West Bengal and Tamil Nadu</w:t>
            </w:r>
            <w:r w:rsidR="0046561C" w:rsidRPr="001F226C">
              <w:rPr>
                <w:rFonts w:ascii="Times New Roman" w:hAnsi="Times New Roman" w:cs="Times New Roman"/>
                <w:sz w:val="16"/>
                <w:szCs w:val="16"/>
                <w:lang w:val="en-GB"/>
              </w:rPr>
              <w:t>, respectively. Risk group</w:t>
            </w:r>
            <w:r w:rsidR="00C73D13" w:rsidRPr="001F226C">
              <w:rPr>
                <w:rFonts w:ascii="Times New Roman" w:hAnsi="Times New Roman" w:cs="Times New Roman"/>
                <w:sz w:val="16"/>
                <w:szCs w:val="16"/>
                <w:lang w:val="en-GB"/>
              </w:rPr>
              <w:t>s</w:t>
            </w:r>
            <w:r w:rsidR="0046561C" w:rsidRPr="001F226C">
              <w:rPr>
                <w:rFonts w:ascii="Times New Roman" w:hAnsi="Times New Roman" w:cs="Times New Roman"/>
                <w:sz w:val="16"/>
                <w:szCs w:val="16"/>
                <w:lang w:val="en-GB"/>
              </w:rPr>
              <w:t xml:space="preserve"> 3</w:t>
            </w:r>
            <w:r w:rsidR="00C73D13" w:rsidRPr="001F226C">
              <w:rPr>
                <w:rFonts w:ascii="Times New Roman" w:hAnsi="Times New Roman" w:cs="Times New Roman"/>
                <w:sz w:val="16"/>
                <w:szCs w:val="16"/>
                <w:lang w:val="en-GB"/>
              </w:rPr>
              <w:t>, 4 and 5</w:t>
            </w:r>
            <w:r w:rsidR="009E6D48" w:rsidRPr="001F226C">
              <w:rPr>
                <w:rFonts w:ascii="Times New Roman" w:hAnsi="Times New Roman" w:cs="Times New Roman"/>
                <w:sz w:val="16"/>
                <w:szCs w:val="16"/>
                <w:lang w:val="en-GB"/>
              </w:rPr>
              <w:t xml:space="preserve"> </w:t>
            </w:r>
            <w:r w:rsidR="00C73D13" w:rsidRPr="001F226C">
              <w:rPr>
                <w:rFonts w:ascii="Times New Roman" w:hAnsi="Times New Roman" w:cs="Times New Roman"/>
                <w:sz w:val="16"/>
                <w:szCs w:val="16"/>
                <w:lang w:val="en-GB"/>
              </w:rPr>
              <w:t xml:space="preserve">were </w:t>
            </w:r>
            <w:r w:rsidR="009E6D48" w:rsidRPr="001F226C">
              <w:rPr>
                <w:rFonts w:ascii="Times New Roman" w:hAnsi="Times New Roman" w:cs="Times New Roman"/>
                <w:sz w:val="16"/>
                <w:szCs w:val="16"/>
                <w:lang w:val="en-GB"/>
              </w:rPr>
              <w:t xml:space="preserve">based on the </w:t>
            </w:r>
            <w:r w:rsidR="00AB75E6" w:rsidRPr="001F226C">
              <w:rPr>
                <w:rFonts w:ascii="Times New Roman" w:hAnsi="Times New Roman" w:cs="Times New Roman"/>
                <w:sz w:val="16"/>
                <w:szCs w:val="16"/>
                <w:lang w:val="en-GB"/>
              </w:rPr>
              <w:t xml:space="preserve">proportion </w:t>
            </w:r>
            <w:r w:rsidR="00084FBB" w:rsidRPr="001F226C">
              <w:rPr>
                <w:rFonts w:ascii="Times New Roman" w:hAnsi="Times New Roman" w:cs="Times New Roman"/>
                <w:sz w:val="16"/>
                <w:szCs w:val="16"/>
                <w:lang w:val="en-GB"/>
              </w:rPr>
              <w:t xml:space="preserve">of </w:t>
            </w:r>
            <w:r w:rsidR="00C73D13" w:rsidRPr="001F226C">
              <w:rPr>
                <w:rFonts w:ascii="Times New Roman" w:hAnsi="Times New Roman" w:cs="Times New Roman"/>
                <w:sz w:val="16"/>
                <w:szCs w:val="16"/>
                <w:lang w:val="en-GB"/>
              </w:rPr>
              <w:t>sexually</w:t>
            </w:r>
            <w:r w:rsidR="009E6D48" w:rsidRPr="001F226C">
              <w:rPr>
                <w:rFonts w:ascii="Times New Roman" w:hAnsi="Times New Roman" w:cs="Times New Roman"/>
                <w:sz w:val="16"/>
                <w:szCs w:val="16"/>
                <w:lang w:val="en-GB"/>
              </w:rPr>
              <w:t xml:space="preserve"> active </w:t>
            </w:r>
            <w:r w:rsidR="00C73D13" w:rsidRPr="001F226C">
              <w:rPr>
                <w:rFonts w:ascii="Times New Roman" w:hAnsi="Times New Roman" w:cs="Times New Roman"/>
                <w:sz w:val="16"/>
                <w:szCs w:val="16"/>
                <w:lang w:val="en-GB"/>
              </w:rPr>
              <w:t xml:space="preserve">married </w:t>
            </w:r>
            <w:r w:rsidR="009E6D48" w:rsidRPr="001F226C">
              <w:rPr>
                <w:rFonts w:ascii="Times New Roman" w:hAnsi="Times New Roman" w:cs="Times New Roman"/>
                <w:sz w:val="16"/>
                <w:szCs w:val="16"/>
                <w:lang w:val="en-GB"/>
              </w:rPr>
              <w:t>men</w:t>
            </w:r>
            <w:r w:rsidR="00C73D13" w:rsidRPr="001F226C">
              <w:rPr>
                <w:rFonts w:ascii="Times New Roman" w:hAnsi="Times New Roman" w:cs="Times New Roman"/>
                <w:sz w:val="16"/>
                <w:szCs w:val="16"/>
                <w:lang w:val="en-GB"/>
              </w:rPr>
              <w:t xml:space="preserve"> </w:t>
            </w:r>
            <w:r w:rsidR="00BF3725" w:rsidRPr="001F226C">
              <w:rPr>
                <w:rFonts w:ascii="Times New Roman" w:hAnsi="Times New Roman" w:cs="Times New Roman"/>
                <w:sz w:val="16"/>
                <w:szCs w:val="16"/>
                <w:lang w:val="en-GB"/>
              </w:rPr>
              <w:t xml:space="preserve">having </w:t>
            </w:r>
            <w:r w:rsidR="00C73D13" w:rsidRPr="001F226C">
              <w:rPr>
                <w:rFonts w:ascii="Times New Roman" w:hAnsi="Times New Roman" w:cs="Times New Roman"/>
                <w:sz w:val="16"/>
                <w:szCs w:val="16"/>
                <w:lang w:val="en-GB"/>
              </w:rPr>
              <w:t>non-regular partner</w:t>
            </w:r>
            <w:r w:rsidR="00BF3725" w:rsidRPr="001F226C">
              <w:rPr>
                <w:rFonts w:ascii="Times New Roman" w:hAnsi="Times New Roman" w:cs="Times New Roman"/>
                <w:sz w:val="16"/>
                <w:szCs w:val="16"/>
                <w:lang w:val="en-GB"/>
              </w:rPr>
              <w:t>s</w:t>
            </w:r>
            <w:r w:rsidR="00C73D13" w:rsidRPr="001F226C">
              <w:rPr>
                <w:rFonts w:ascii="Times New Roman" w:hAnsi="Times New Roman" w:cs="Times New Roman"/>
                <w:sz w:val="16"/>
                <w:szCs w:val="16"/>
                <w:lang w:val="en-GB"/>
              </w:rPr>
              <w:t xml:space="preserve">, sexually active unmarried men </w:t>
            </w:r>
            <w:r w:rsidR="00BF3725" w:rsidRPr="001F226C">
              <w:rPr>
                <w:rFonts w:ascii="Times New Roman" w:hAnsi="Times New Roman" w:cs="Times New Roman"/>
                <w:sz w:val="16"/>
                <w:szCs w:val="16"/>
                <w:lang w:val="en-GB"/>
              </w:rPr>
              <w:t xml:space="preserve">having </w:t>
            </w:r>
            <w:r w:rsidR="00C73D13" w:rsidRPr="001F226C">
              <w:rPr>
                <w:rFonts w:ascii="Times New Roman" w:hAnsi="Times New Roman" w:cs="Times New Roman"/>
                <w:sz w:val="16"/>
                <w:szCs w:val="16"/>
                <w:lang w:val="en-GB"/>
              </w:rPr>
              <w:t>non-regular partner</w:t>
            </w:r>
            <w:r w:rsidR="00BF3725" w:rsidRPr="001F226C">
              <w:rPr>
                <w:rFonts w:ascii="Times New Roman" w:hAnsi="Times New Roman" w:cs="Times New Roman"/>
                <w:sz w:val="16"/>
                <w:szCs w:val="16"/>
                <w:lang w:val="en-GB"/>
              </w:rPr>
              <w:t xml:space="preserve">s but </w:t>
            </w:r>
            <w:r w:rsidR="00D47700" w:rsidRPr="001F226C">
              <w:rPr>
                <w:rFonts w:ascii="Times New Roman" w:hAnsi="Times New Roman" w:cs="Times New Roman"/>
                <w:sz w:val="16"/>
                <w:szCs w:val="16"/>
                <w:lang w:val="en-GB"/>
              </w:rPr>
              <w:t>not using female sex workers, and sexually active unmarried men using female sex worker, respectively</w:t>
            </w:r>
            <w:r w:rsidR="00C73D13" w:rsidRPr="001F226C">
              <w:rPr>
                <w:rFonts w:ascii="Times New Roman" w:hAnsi="Times New Roman" w:cs="Times New Roman"/>
                <w:sz w:val="16"/>
                <w:szCs w:val="16"/>
                <w:lang w:val="en-GB"/>
              </w:rPr>
              <w:t>.</w:t>
            </w:r>
          </w:p>
        </w:tc>
      </w:tr>
      <w:tr w:rsidR="00DB12FC" w:rsidRPr="001F226C" w14:paraId="025074D7" w14:textId="77777777" w:rsidTr="00F867CE">
        <w:tc>
          <w:tcPr>
            <w:tcW w:w="2547" w:type="dxa"/>
            <w:tcBorders>
              <w:left w:val="single" w:sz="2" w:space="0" w:color="000000"/>
              <w:bottom w:val="single" w:sz="2" w:space="0" w:color="000000"/>
            </w:tcBorders>
            <w:shd w:val="clear" w:color="auto" w:fill="auto"/>
            <w:tcMar>
              <w:top w:w="55" w:type="dxa"/>
              <w:left w:w="55" w:type="dxa"/>
              <w:bottom w:w="55" w:type="dxa"/>
              <w:right w:w="55" w:type="dxa"/>
            </w:tcMar>
          </w:tcPr>
          <w:p w14:paraId="67FC50FB" w14:textId="61C1E5E6" w:rsidR="00D41841" w:rsidRPr="001F226C" w:rsidRDefault="00000000" w:rsidP="00D41841">
            <w:pPr>
              <w:pStyle w:val="TableContents"/>
              <w:jc w:val="center"/>
              <w:rPr>
                <w:rFonts w:ascii="Times New Roman" w:hAnsi="Times New Roman" w:cs="Times New Roman"/>
                <w:sz w:val="16"/>
                <w:szCs w:val="16"/>
                <w:lang w:val="en-GB"/>
              </w:rPr>
            </w:pPr>
            <m:oMathPara>
              <m:oMath>
                <m:sSub>
                  <m:sSubPr>
                    <m:ctrlPr>
                      <w:rPr>
                        <w:rFonts w:ascii="Cambria Math" w:hAnsi="Cambria Math" w:cs="Times New Roman"/>
                        <w:sz w:val="16"/>
                        <w:szCs w:val="16"/>
                        <w:lang w:val="en-GB"/>
                      </w:rPr>
                    </m:ctrlPr>
                  </m:sSubPr>
                  <m:e>
                    <m:r>
                      <w:rPr>
                        <w:rFonts w:ascii="Cambria Math" w:hAnsi="Cambria Math" w:cs="Times New Roman"/>
                        <w:sz w:val="16"/>
                        <w:szCs w:val="16"/>
                        <w:lang w:val="en-GB"/>
                      </w:rPr>
                      <m:t>p</m:t>
                    </m:r>
                  </m:e>
                  <m:sub>
                    <m:r>
                      <w:rPr>
                        <w:rFonts w:ascii="Cambria Math" w:hAnsi="Cambria Math" w:cs="Times New Roman"/>
                        <w:sz w:val="16"/>
                        <w:szCs w:val="16"/>
                        <w:lang w:val="en-GB"/>
                      </w:rPr>
                      <m:t>W,5</m:t>
                    </m:r>
                  </m:sub>
                </m:sSub>
              </m:oMath>
            </m:oMathPara>
          </w:p>
        </w:tc>
        <w:tc>
          <w:tcPr>
            <w:tcW w:w="3118" w:type="dxa"/>
            <w:tcBorders>
              <w:left w:val="single" w:sz="2" w:space="0" w:color="000000"/>
              <w:bottom w:val="single" w:sz="2" w:space="0" w:color="000000"/>
            </w:tcBorders>
            <w:shd w:val="clear" w:color="auto" w:fill="auto"/>
            <w:tcMar>
              <w:top w:w="55" w:type="dxa"/>
              <w:left w:w="55" w:type="dxa"/>
              <w:bottom w:w="55" w:type="dxa"/>
              <w:right w:w="55" w:type="dxa"/>
            </w:tcMar>
          </w:tcPr>
          <w:p w14:paraId="55BB951C" w14:textId="4C3F4508" w:rsidR="00D41841" w:rsidRPr="001F226C" w:rsidRDefault="00D41841" w:rsidP="00D41841">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 xml:space="preserve">Probability of being assigned to risk group </w:t>
            </w:r>
            <w:r w:rsidR="000D45A4" w:rsidRPr="001F226C">
              <w:rPr>
                <w:rFonts w:ascii="Times New Roman" w:hAnsi="Times New Roman" w:cs="Times New Roman"/>
                <w:sz w:val="16"/>
                <w:szCs w:val="16"/>
                <w:lang w:val="en-GB"/>
              </w:rPr>
              <w:t>5</w:t>
            </w:r>
            <w:r w:rsidRPr="001F226C">
              <w:rPr>
                <w:rFonts w:ascii="Times New Roman" w:hAnsi="Times New Roman" w:cs="Times New Roman"/>
                <w:sz w:val="16"/>
                <w:szCs w:val="16"/>
                <w:lang w:val="en-GB"/>
              </w:rPr>
              <w:t xml:space="preserve"> in women</w:t>
            </w:r>
            <w:r w:rsidR="00F254B5" w:rsidRPr="001F226C">
              <w:rPr>
                <w:rFonts w:ascii="Times New Roman" w:hAnsi="Times New Roman" w:cs="Times New Roman"/>
                <w:sz w:val="16"/>
                <w:szCs w:val="16"/>
                <w:lang w:val="en-GB"/>
              </w:rPr>
              <w:t>, representing female sex workers</w:t>
            </w:r>
          </w:p>
        </w:tc>
        <w:tc>
          <w:tcPr>
            <w:tcW w:w="3828" w:type="dxa"/>
            <w:tcBorders>
              <w:left w:val="single" w:sz="2" w:space="0" w:color="000000"/>
              <w:bottom w:val="single" w:sz="2" w:space="0" w:color="000000"/>
            </w:tcBorders>
            <w:shd w:val="clear" w:color="auto" w:fill="auto"/>
            <w:tcMar>
              <w:top w:w="0" w:type="dxa"/>
              <w:left w:w="10" w:type="dxa"/>
              <w:bottom w:w="0" w:type="dxa"/>
              <w:right w:w="10" w:type="dxa"/>
            </w:tcMar>
          </w:tcPr>
          <w:p w14:paraId="18542A8A" w14:textId="03574547" w:rsidR="00D41841" w:rsidRPr="001F226C" w:rsidRDefault="000D45A4" w:rsidP="00D41841">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0.5</w:t>
            </w:r>
            <w:r w:rsidR="00B14654" w:rsidRPr="001F226C">
              <w:rPr>
                <w:rFonts w:ascii="Times New Roman" w:hAnsi="Times New Roman" w:cs="Times New Roman"/>
                <w:sz w:val="16"/>
                <w:szCs w:val="16"/>
                <w:lang w:val="en-GB"/>
              </w:rPr>
              <w:t>%</w:t>
            </w:r>
            <w:r w:rsidR="00BF4AB1" w:rsidRPr="001F226C">
              <w:rPr>
                <w:rFonts w:ascii="Times New Roman" w:hAnsi="Times New Roman" w:cs="Times New Roman"/>
                <w:sz w:val="16"/>
                <w:szCs w:val="16"/>
                <w:lang w:val="en-GB"/>
              </w:rPr>
              <w:t xml:space="preserve"> for West Bengal and Tamil Nadu</w:t>
            </w:r>
          </w:p>
        </w:tc>
        <w:tc>
          <w:tcPr>
            <w:tcW w:w="41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FF0C207" w14:textId="18A8A4CE" w:rsidR="00D41841" w:rsidRPr="001F226C" w:rsidRDefault="00F55D8B" w:rsidP="00D41841">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 xml:space="preserve">Estimated prevalence of female sex workers </w:t>
            </w:r>
            <w:r w:rsidR="004F2C6D" w:rsidRPr="001F226C">
              <w:rPr>
                <w:rFonts w:ascii="Times New Roman" w:hAnsi="Times New Roman" w:cs="Times New Roman"/>
                <w:sz w:val="16"/>
                <w:szCs w:val="16"/>
                <w:lang w:val="en-GB"/>
              </w:rPr>
              <w:t xml:space="preserve">for India </w:t>
            </w:r>
            <w:r w:rsidRPr="001F226C">
              <w:rPr>
                <w:rFonts w:ascii="Times New Roman" w:hAnsi="Times New Roman" w:cs="Times New Roman"/>
                <w:sz w:val="16"/>
                <w:szCs w:val="16"/>
                <w:lang w:val="en-GB"/>
              </w:rPr>
              <w:t>in Table 2 of</w:t>
            </w:r>
            <w:r w:rsidR="001812DD" w:rsidRPr="001F226C">
              <w:rPr>
                <w:rFonts w:ascii="Times New Roman" w:hAnsi="Times New Roman" w:cs="Times New Roman"/>
                <w:sz w:val="16"/>
                <w:szCs w:val="16"/>
                <w:lang w:val="en-GB"/>
              </w:rPr>
              <w:t xml:space="preserve"> </w:t>
            </w:r>
            <w:proofErr w:type="spellStart"/>
            <w:r w:rsidR="001812DD" w:rsidRPr="001F226C">
              <w:rPr>
                <w:rFonts w:ascii="Times New Roman" w:hAnsi="Times New Roman" w:cs="Times New Roman"/>
                <w:sz w:val="16"/>
                <w:szCs w:val="16"/>
                <w:lang w:val="en-GB"/>
              </w:rPr>
              <w:t>Vandepitte</w:t>
            </w:r>
            <w:proofErr w:type="spellEnd"/>
            <w:r w:rsidR="001812DD" w:rsidRPr="001F226C">
              <w:rPr>
                <w:rFonts w:ascii="Times New Roman" w:hAnsi="Times New Roman" w:cs="Times New Roman"/>
                <w:sz w:val="16"/>
                <w:szCs w:val="16"/>
                <w:lang w:val="en-GB"/>
              </w:rPr>
              <w:t xml:space="preserve"> et al.</w:t>
            </w:r>
            <w:r w:rsidR="00E9639D" w:rsidRPr="00E9639D">
              <w:rPr>
                <w:rFonts w:ascii="Times New Roman" w:hAnsi="Times New Roman" w:cs="Times New Roman"/>
                <w:sz w:val="16"/>
                <w:szCs w:val="16"/>
                <w:vertAlign w:val="superscript"/>
                <w:lang w:val="en-GB"/>
              </w:rPr>
              <w:t>4</w:t>
            </w:r>
            <w:r w:rsidR="00E9639D" w:rsidRPr="001F226C">
              <w:rPr>
                <w:rFonts w:ascii="Times New Roman" w:hAnsi="Times New Roman" w:cs="Times New Roman"/>
                <w:sz w:val="16"/>
                <w:szCs w:val="16"/>
                <w:lang w:val="en-GB"/>
              </w:rPr>
              <w:t xml:space="preserve"> </w:t>
            </w:r>
          </w:p>
        </w:tc>
      </w:tr>
      <w:tr w:rsidR="00DB12FC" w:rsidRPr="001F226C" w14:paraId="2CA4861A" w14:textId="77777777" w:rsidTr="00F867CE">
        <w:tc>
          <w:tcPr>
            <w:tcW w:w="2547" w:type="dxa"/>
            <w:tcBorders>
              <w:left w:val="single" w:sz="2" w:space="0" w:color="000000"/>
              <w:bottom w:val="single" w:sz="2" w:space="0" w:color="000000"/>
            </w:tcBorders>
            <w:shd w:val="clear" w:color="auto" w:fill="auto"/>
            <w:tcMar>
              <w:top w:w="55" w:type="dxa"/>
              <w:left w:w="55" w:type="dxa"/>
              <w:bottom w:w="55" w:type="dxa"/>
              <w:right w:w="55" w:type="dxa"/>
            </w:tcMar>
          </w:tcPr>
          <w:p w14:paraId="4EA2B43E" w14:textId="1F881F3B" w:rsidR="00384E48" w:rsidRPr="001F226C" w:rsidRDefault="00000000" w:rsidP="00384E48">
            <w:pPr>
              <w:pStyle w:val="TableContents"/>
              <w:jc w:val="center"/>
              <w:rPr>
                <w:rFonts w:ascii="Times New Roman" w:hAnsi="Times New Roman" w:cs="Times New Roman"/>
                <w:sz w:val="16"/>
                <w:szCs w:val="16"/>
                <w:lang w:val="en-GB"/>
              </w:rPr>
            </w:pPr>
            <m:oMathPara>
              <m:oMath>
                <m:sSub>
                  <m:sSubPr>
                    <m:ctrlPr>
                      <w:rPr>
                        <w:rFonts w:ascii="Cambria Math" w:hAnsi="Cambria Math" w:cs="Times New Roman"/>
                        <w:sz w:val="16"/>
                        <w:szCs w:val="16"/>
                        <w:lang w:val="en-GB"/>
                      </w:rPr>
                    </m:ctrlPr>
                  </m:sSubPr>
                  <m:e>
                    <m:r>
                      <w:rPr>
                        <w:rFonts w:ascii="Cambria Math" w:hAnsi="Cambria Math" w:cs="Times New Roman"/>
                        <w:sz w:val="16"/>
                        <w:szCs w:val="16"/>
                        <w:lang w:val="en-GB"/>
                      </w:rPr>
                      <m:t>p</m:t>
                    </m:r>
                  </m:e>
                  <m:sub>
                    <m:r>
                      <w:rPr>
                        <w:rFonts w:ascii="Cambria Math" w:hAnsi="Cambria Math" w:cs="Times New Roman"/>
                        <w:sz w:val="16"/>
                        <w:szCs w:val="16"/>
                        <w:lang w:val="en-GB"/>
                      </w:rPr>
                      <m:t>W,3</m:t>
                    </m:r>
                  </m:sub>
                </m:sSub>
                <m:r>
                  <w:rPr>
                    <w:rFonts w:ascii="Cambria Math" w:hAnsi="Cambria Math" w:cs="Times New Roman"/>
                    <w:sz w:val="16"/>
                    <w:szCs w:val="16"/>
                    <w:lang w:val="en-GB"/>
                  </w:rPr>
                  <m:t>,</m:t>
                </m:r>
                <m:sSub>
                  <m:sSubPr>
                    <m:ctrlPr>
                      <w:rPr>
                        <w:rFonts w:ascii="Cambria Math" w:hAnsi="Cambria Math" w:cs="Times New Roman"/>
                        <w:sz w:val="16"/>
                        <w:szCs w:val="16"/>
                        <w:lang w:val="en-GB"/>
                      </w:rPr>
                    </m:ctrlPr>
                  </m:sSubPr>
                  <m:e>
                    <m:r>
                      <w:rPr>
                        <w:rFonts w:ascii="Cambria Math" w:hAnsi="Cambria Math" w:cs="Times New Roman"/>
                        <w:sz w:val="16"/>
                        <w:szCs w:val="16"/>
                        <w:lang w:val="en-GB"/>
                      </w:rPr>
                      <m:t>p</m:t>
                    </m:r>
                  </m:e>
                  <m:sub>
                    <m:r>
                      <w:rPr>
                        <w:rFonts w:ascii="Cambria Math" w:hAnsi="Cambria Math" w:cs="Times New Roman"/>
                        <w:sz w:val="16"/>
                        <w:szCs w:val="16"/>
                        <w:lang w:val="en-GB"/>
                      </w:rPr>
                      <m:t>W,4</m:t>
                    </m:r>
                  </m:sub>
                </m:sSub>
              </m:oMath>
            </m:oMathPara>
          </w:p>
        </w:tc>
        <w:tc>
          <w:tcPr>
            <w:tcW w:w="3118" w:type="dxa"/>
            <w:tcBorders>
              <w:left w:val="single" w:sz="2" w:space="0" w:color="000000"/>
              <w:bottom w:val="single" w:sz="2" w:space="0" w:color="000000"/>
            </w:tcBorders>
            <w:shd w:val="clear" w:color="auto" w:fill="auto"/>
            <w:tcMar>
              <w:top w:w="55" w:type="dxa"/>
              <w:left w:w="55" w:type="dxa"/>
              <w:bottom w:w="55" w:type="dxa"/>
              <w:right w:w="55" w:type="dxa"/>
            </w:tcMar>
          </w:tcPr>
          <w:p w14:paraId="52E97FBF" w14:textId="6272A201" w:rsidR="00384E48" w:rsidRPr="001F226C" w:rsidRDefault="00384E48" w:rsidP="00384E48">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Probability of being assigned to risk groups 3 and 4 in women</w:t>
            </w:r>
          </w:p>
        </w:tc>
        <w:tc>
          <w:tcPr>
            <w:tcW w:w="3828" w:type="dxa"/>
            <w:tcBorders>
              <w:left w:val="single" w:sz="2" w:space="0" w:color="000000"/>
              <w:bottom w:val="single" w:sz="2" w:space="0" w:color="000000"/>
            </w:tcBorders>
            <w:shd w:val="clear" w:color="auto" w:fill="auto"/>
            <w:tcMar>
              <w:top w:w="0" w:type="dxa"/>
              <w:left w:w="10" w:type="dxa"/>
              <w:bottom w:w="0" w:type="dxa"/>
              <w:right w:w="10" w:type="dxa"/>
            </w:tcMar>
          </w:tcPr>
          <w:p w14:paraId="79479CFC" w14:textId="41830AED" w:rsidR="00384E48" w:rsidRPr="001F226C" w:rsidRDefault="0086711B" w:rsidP="00384E48">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2.5%</w:t>
            </w:r>
            <w:r w:rsidR="009F7FC7" w:rsidRPr="001F226C">
              <w:rPr>
                <w:rFonts w:ascii="Times New Roman" w:hAnsi="Times New Roman" w:cs="Times New Roman"/>
                <w:sz w:val="16"/>
                <w:szCs w:val="16"/>
                <w:lang w:val="en-GB"/>
              </w:rPr>
              <w:t xml:space="preserve">, 2.5% for </w:t>
            </w:r>
            <w:r w:rsidR="00963706" w:rsidRPr="001F226C">
              <w:rPr>
                <w:rFonts w:ascii="Times New Roman" w:hAnsi="Times New Roman" w:cs="Times New Roman"/>
                <w:sz w:val="16"/>
                <w:szCs w:val="16"/>
                <w:lang w:val="en-GB"/>
              </w:rPr>
              <w:t>West Bengal</w:t>
            </w:r>
          </w:p>
          <w:p w14:paraId="62D69854" w14:textId="4B5E6389" w:rsidR="00C30A40" w:rsidRPr="001F226C" w:rsidRDefault="00C30A40" w:rsidP="00384E48">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2.65%, 2.65% for Tamil Nadu</w:t>
            </w:r>
          </w:p>
        </w:tc>
        <w:tc>
          <w:tcPr>
            <w:tcW w:w="41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D9EB577" w14:textId="0D22E06B" w:rsidR="00384E48" w:rsidRPr="001F226C" w:rsidRDefault="00F87057" w:rsidP="00384E48">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Urban percentage of women with at least one non-regular partners last year</w:t>
            </w:r>
            <w:r w:rsidR="009F7FC7" w:rsidRPr="001F226C">
              <w:rPr>
                <w:rFonts w:ascii="Times New Roman" w:hAnsi="Times New Roman" w:cs="Times New Roman"/>
                <w:sz w:val="16"/>
                <w:szCs w:val="16"/>
                <w:lang w:val="en-GB"/>
              </w:rPr>
              <w:t xml:space="preserve"> after subtracting the proportion of female sex workers</w:t>
            </w:r>
            <w:r w:rsidR="00C41AC9" w:rsidRPr="001F226C">
              <w:rPr>
                <w:rFonts w:ascii="Times New Roman" w:hAnsi="Times New Roman" w:cs="Times New Roman"/>
                <w:sz w:val="16"/>
                <w:szCs w:val="16"/>
                <w:lang w:val="en-GB"/>
              </w:rPr>
              <w:t xml:space="preserve"> in Table 6.2 of the NACO report</w:t>
            </w:r>
            <w:r w:rsidR="009F7FC7" w:rsidRPr="001F226C">
              <w:rPr>
                <w:rFonts w:ascii="Times New Roman" w:hAnsi="Times New Roman" w:cs="Times New Roman"/>
                <w:sz w:val="16"/>
                <w:szCs w:val="16"/>
                <w:lang w:val="en-GB"/>
              </w:rPr>
              <w:t>.</w:t>
            </w:r>
            <w:r w:rsidR="00E9639D" w:rsidRPr="00E9639D">
              <w:rPr>
                <w:rFonts w:ascii="Times New Roman" w:hAnsi="Times New Roman" w:cs="Times New Roman"/>
                <w:sz w:val="16"/>
                <w:szCs w:val="16"/>
                <w:vertAlign w:val="superscript"/>
                <w:lang w:val="en-GB"/>
              </w:rPr>
              <w:t>5</w:t>
            </w:r>
            <w:r w:rsidR="00E9639D" w:rsidRPr="001F226C">
              <w:rPr>
                <w:rFonts w:ascii="Times New Roman" w:hAnsi="Times New Roman" w:cs="Times New Roman"/>
                <w:sz w:val="16"/>
                <w:szCs w:val="16"/>
                <w:lang w:val="en-GB"/>
              </w:rPr>
              <w:t xml:space="preserve"> </w:t>
            </w:r>
          </w:p>
        </w:tc>
      </w:tr>
      <w:tr w:rsidR="00DB12FC" w:rsidRPr="001F226C" w14:paraId="6AE4A9EB" w14:textId="77777777" w:rsidTr="00F867CE">
        <w:tc>
          <w:tcPr>
            <w:tcW w:w="2547" w:type="dxa"/>
            <w:tcBorders>
              <w:left w:val="single" w:sz="2" w:space="0" w:color="000000"/>
              <w:bottom w:val="single" w:sz="2" w:space="0" w:color="000000"/>
            </w:tcBorders>
            <w:shd w:val="clear" w:color="auto" w:fill="auto"/>
            <w:tcMar>
              <w:top w:w="55" w:type="dxa"/>
              <w:left w:w="55" w:type="dxa"/>
              <w:bottom w:w="55" w:type="dxa"/>
              <w:right w:w="55" w:type="dxa"/>
            </w:tcMar>
          </w:tcPr>
          <w:p w14:paraId="4702A444" w14:textId="7F95DA2E" w:rsidR="00440853" w:rsidRPr="001F226C" w:rsidRDefault="00000000" w:rsidP="00440853">
            <w:pPr>
              <w:pStyle w:val="TableContents"/>
              <w:jc w:val="center"/>
              <w:rPr>
                <w:rFonts w:ascii="Times New Roman" w:hAnsi="Times New Roman" w:cs="Times New Roman"/>
                <w:sz w:val="16"/>
                <w:szCs w:val="16"/>
                <w:lang w:val="en-GB"/>
              </w:rPr>
            </w:pPr>
            <m:oMathPara>
              <m:oMath>
                <m:sSub>
                  <m:sSubPr>
                    <m:ctrlPr>
                      <w:rPr>
                        <w:rFonts w:ascii="Cambria Math" w:hAnsi="Cambria Math" w:cs="Times New Roman"/>
                        <w:sz w:val="16"/>
                        <w:szCs w:val="16"/>
                        <w:lang w:val="en-GB"/>
                      </w:rPr>
                    </m:ctrlPr>
                  </m:sSubPr>
                  <m:e>
                    <m:r>
                      <w:rPr>
                        <w:rFonts w:ascii="Cambria Math" w:hAnsi="Cambria Math" w:cs="Times New Roman"/>
                        <w:sz w:val="16"/>
                        <w:szCs w:val="16"/>
                        <w:lang w:val="en-GB"/>
                      </w:rPr>
                      <m:t>p</m:t>
                    </m:r>
                  </m:e>
                  <m:sub>
                    <m:r>
                      <w:rPr>
                        <w:rFonts w:ascii="Cambria Math" w:hAnsi="Cambria Math" w:cs="Times New Roman"/>
                        <w:sz w:val="16"/>
                        <w:szCs w:val="16"/>
                        <w:lang w:val="en-GB"/>
                      </w:rPr>
                      <m:t>W,2</m:t>
                    </m:r>
                  </m:sub>
                </m:sSub>
                <m:r>
                  <w:rPr>
                    <w:rFonts w:ascii="Cambria Math" w:hAnsi="Cambria Math" w:cs="Times New Roman"/>
                    <w:sz w:val="16"/>
                    <w:szCs w:val="16"/>
                    <w:lang w:val="en-GB"/>
                  </w:rPr>
                  <m:t xml:space="preserve">, </m:t>
                </m:r>
                <m:sSub>
                  <m:sSubPr>
                    <m:ctrlPr>
                      <w:rPr>
                        <w:rFonts w:ascii="Cambria Math" w:hAnsi="Cambria Math" w:cs="Times New Roman"/>
                        <w:sz w:val="16"/>
                        <w:szCs w:val="16"/>
                        <w:lang w:val="en-GB"/>
                      </w:rPr>
                    </m:ctrlPr>
                  </m:sSubPr>
                  <m:e>
                    <m:r>
                      <w:rPr>
                        <w:rFonts w:ascii="Cambria Math" w:hAnsi="Cambria Math" w:cs="Times New Roman"/>
                        <w:sz w:val="16"/>
                        <w:szCs w:val="16"/>
                        <w:lang w:val="en-GB"/>
                      </w:rPr>
                      <m:t>p</m:t>
                    </m:r>
                  </m:e>
                  <m:sub>
                    <m:r>
                      <w:rPr>
                        <w:rFonts w:ascii="Cambria Math" w:hAnsi="Cambria Math" w:cs="Times New Roman"/>
                        <w:sz w:val="16"/>
                        <w:szCs w:val="16"/>
                        <w:lang w:val="en-GB"/>
                      </w:rPr>
                      <m:t>M,2</m:t>
                    </m:r>
                  </m:sub>
                </m:sSub>
              </m:oMath>
            </m:oMathPara>
          </w:p>
        </w:tc>
        <w:tc>
          <w:tcPr>
            <w:tcW w:w="3118" w:type="dxa"/>
            <w:tcBorders>
              <w:left w:val="single" w:sz="2" w:space="0" w:color="000000"/>
              <w:bottom w:val="single" w:sz="2" w:space="0" w:color="000000"/>
            </w:tcBorders>
            <w:shd w:val="clear" w:color="auto" w:fill="auto"/>
            <w:tcMar>
              <w:top w:w="55" w:type="dxa"/>
              <w:left w:w="55" w:type="dxa"/>
              <w:bottom w:w="55" w:type="dxa"/>
              <w:right w:w="55" w:type="dxa"/>
            </w:tcMar>
          </w:tcPr>
          <w:p w14:paraId="4B6491CE" w14:textId="38C6F3AF" w:rsidR="00440853" w:rsidRPr="001F226C" w:rsidRDefault="00440853" w:rsidP="00440853">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 xml:space="preserve">Probability of being assigned to risk group 2 in </w:t>
            </w:r>
            <w:r w:rsidR="00A86F02" w:rsidRPr="001F226C">
              <w:rPr>
                <w:rFonts w:ascii="Times New Roman" w:hAnsi="Times New Roman" w:cs="Times New Roman"/>
                <w:sz w:val="16"/>
                <w:szCs w:val="16"/>
                <w:lang w:val="en-GB"/>
              </w:rPr>
              <w:t xml:space="preserve">women and </w:t>
            </w:r>
            <w:r w:rsidRPr="001F226C">
              <w:rPr>
                <w:rFonts w:ascii="Times New Roman" w:hAnsi="Times New Roman" w:cs="Times New Roman"/>
                <w:sz w:val="16"/>
                <w:szCs w:val="16"/>
                <w:lang w:val="en-GB"/>
              </w:rPr>
              <w:t>men</w:t>
            </w:r>
          </w:p>
        </w:tc>
        <w:tc>
          <w:tcPr>
            <w:tcW w:w="3828" w:type="dxa"/>
            <w:tcBorders>
              <w:left w:val="single" w:sz="2" w:space="0" w:color="000000"/>
              <w:bottom w:val="single" w:sz="2" w:space="0" w:color="000000"/>
            </w:tcBorders>
            <w:shd w:val="clear" w:color="auto" w:fill="auto"/>
            <w:tcMar>
              <w:top w:w="0" w:type="dxa"/>
              <w:left w:w="10" w:type="dxa"/>
              <w:bottom w:w="0" w:type="dxa"/>
              <w:right w:w="10" w:type="dxa"/>
            </w:tcMar>
          </w:tcPr>
          <w:p w14:paraId="6C3A6227" w14:textId="6D798B7B" w:rsidR="00440853" w:rsidRPr="001F226C" w:rsidRDefault="00440853" w:rsidP="00440853">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86.0%</w:t>
            </w:r>
            <w:r w:rsidR="00A86F02" w:rsidRPr="001F226C">
              <w:rPr>
                <w:rFonts w:ascii="Times New Roman" w:hAnsi="Times New Roman" w:cs="Times New Roman"/>
                <w:sz w:val="16"/>
                <w:szCs w:val="16"/>
                <w:lang w:val="en-GB"/>
              </w:rPr>
              <w:t xml:space="preserve">, </w:t>
            </w:r>
            <w:r w:rsidR="00490DE9" w:rsidRPr="001F226C">
              <w:rPr>
                <w:rFonts w:ascii="Times New Roman" w:hAnsi="Times New Roman" w:cs="Times New Roman"/>
                <w:sz w:val="16"/>
                <w:szCs w:val="16"/>
                <w:lang w:val="en-GB"/>
              </w:rPr>
              <w:t>93.2%</w:t>
            </w:r>
            <w:r w:rsidRPr="001F226C">
              <w:rPr>
                <w:rFonts w:ascii="Times New Roman" w:hAnsi="Times New Roman" w:cs="Times New Roman"/>
                <w:sz w:val="16"/>
                <w:szCs w:val="16"/>
                <w:lang w:val="en-GB"/>
              </w:rPr>
              <w:t xml:space="preserve"> for West Bengal</w:t>
            </w:r>
            <w:r w:rsidRPr="001F226C">
              <w:rPr>
                <w:rFonts w:ascii="Times New Roman" w:hAnsi="Times New Roman" w:cs="Times New Roman"/>
                <w:sz w:val="16"/>
                <w:szCs w:val="16"/>
                <w:lang w:val="en-GB"/>
              </w:rPr>
              <w:br/>
              <w:t>82.5%</w:t>
            </w:r>
            <w:r w:rsidR="00490DE9" w:rsidRPr="001F226C">
              <w:rPr>
                <w:rFonts w:ascii="Times New Roman" w:hAnsi="Times New Roman" w:cs="Times New Roman"/>
                <w:sz w:val="16"/>
                <w:szCs w:val="16"/>
                <w:lang w:val="en-GB"/>
              </w:rPr>
              <w:t>, 92.5%</w:t>
            </w:r>
            <w:r w:rsidRPr="001F226C">
              <w:rPr>
                <w:rFonts w:ascii="Times New Roman" w:hAnsi="Times New Roman" w:cs="Times New Roman"/>
                <w:sz w:val="16"/>
                <w:szCs w:val="16"/>
                <w:lang w:val="en-GB"/>
              </w:rPr>
              <w:t xml:space="preserve"> for Tamil Nadu</w:t>
            </w:r>
          </w:p>
        </w:tc>
        <w:tc>
          <w:tcPr>
            <w:tcW w:w="41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D4559A" w14:textId="362FF273" w:rsidR="00440853" w:rsidRPr="001F226C" w:rsidRDefault="00440853" w:rsidP="00440853">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Remaining proportion after fixin</w:t>
            </w:r>
            <w:r w:rsidR="00490DE9" w:rsidRPr="001F226C">
              <w:rPr>
                <w:rFonts w:ascii="Times New Roman" w:hAnsi="Times New Roman" w:cs="Times New Roman"/>
                <w:sz w:val="16"/>
                <w:szCs w:val="16"/>
                <w:lang w:val="en-GB"/>
              </w:rPr>
              <w:t>g the proportions of other risk groups</w:t>
            </w:r>
            <w:r w:rsidR="00D2636E" w:rsidRPr="001F226C">
              <w:rPr>
                <w:rFonts w:ascii="Times New Roman" w:hAnsi="Times New Roman" w:cs="Times New Roman"/>
                <w:sz w:val="16"/>
                <w:szCs w:val="16"/>
                <w:lang w:val="en-GB"/>
              </w:rPr>
              <w:t>.</w:t>
            </w:r>
          </w:p>
        </w:tc>
      </w:tr>
      <w:tr w:rsidR="00DB12FC" w:rsidRPr="001F226C" w14:paraId="10D27B11" w14:textId="77777777" w:rsidTr="00F867CE">
        <w:tc>
          <w:tcPr>
            <w:tcW w:w="2547" w:type="dxa"/>
            <w:tcBorders>
              <w:left w:val="single" w:sz="2" w:space="0" w:color="000000"/>
              <w:bottom w:val="single" w:sz="2" w:space="0" w:color="000000"/>
            </w:tcBorders>
            <w:shd w:val="clear" w:color="auto" w:fill="auto"/>
            <w:tcMar>
              <w:top w:w="55" w:type="dxa"/>
              <w:left w:w="55" w:type="dxa"/>
              <w:bottom w:w="55" w:type="dxa"/>
              <w:right w:w="55" w:type="dxa"/>
            </w:tcMar>
          </w:tcPr>
          <w:p w14:paraId="0502C6B3" w14:textId="26174157" w:rsidR="000730B3" w:rsidRPr="001F226C" w:rsidRDefault="00000000" w:rsidP="00440853">
            <w:pPr>
              <w:pStyle w:val="TableContents"/>
              <w:jc w:val="center"/>
              <w:rPr>
                <w:rFonts w:ascii="Times New Roman" w:hAnsi="Times New Roman" w:cs="Times New Roman"/>
                <w:sz w:val="16"/>
                <w:szCs w:val="16"/>
                <w:lang w:val="en-GB"/>
              </w:rPr>
            </w:pPr>
            <m:oMath>
              <m:sSubSup>
                <m:sSubSupPr>
                  <m:ctrlPr>
                    <w:rPr>
                      <w:rFonts w:ascii="Cambria Math" w:hAnsi="Cambria Math" w:cs="Times New Roman"/>
                      <w:sz w:val="16"/>
                      <w:szCs w:val="16"/>
                      <w:lang w:val="en-GB"/>
                    </w:rPr>
                  </m:ctrlPr>
                </m:sSubSupPr>
                <m:e>
                  <m:r>
                    <w:rPr>
                      <w:rFonts w:ascii="Cambria Math" w:hAnsi="Cambria Math" w:cs="Times New Roman"/>
                      <w:sz w:val="16"/>
                      <w:szCs w:val="16"/>
                      <w:lang w:val="en-GB"/>
                    </w:rPr>
                    <m:t>d</m:t>
                  </m:r>
                </m:e>
                <m:sub>
                  <m:r>
                    <w:rPr>
                      <w:rFonts w:ascii="Cambria Math" w:hAnsi="Cambria Math" w:cs="Times New Roman"/>
                      <w:sz w:val="16"/>
                      <w:szCs w:val="16"/>
                      <w:lang w:val="en-GB"/>
                    </w:rPr>
                    <m:t>W,10-14</m:t>
                  </m:r>
                </m:sub>
                <m:sup>
                  <m:r>
                    <w:rPr>
                      <w:rFonts w:ascii="Cambria Math" w:hAnsi="Cambria Math" w:cs="Times New Roman"/>
                      <w:sz w:val="16"/>
                      <w:szCs w:val="16"/>
                      <w:lang w:val="en-GB"/>
                    </w:rPr>
                    <m:t>stable</m:t>
                  </m:r>
                </m:sup>
              </m:sSubSup>
            </m:oMath>
            <w:r w:rsidR="00FE1180" w:rsidRPr="001F226C">
              <w:rPr>
                <w:rFonts w:ascii="Times New Roman" w:hAnsi="Times New Roman" w:cs="Times New Roman"/>
                <w:sz w:val="16"/>
                <w:szCs w:val="16"/>
                <w:lang w:val="en-GB"/>
              </w:rPr>
              <w:t xml:space="preserve">, </w:t>
            </w:r>
            <m:oMath>
              <m:sSubSup>
                <m:sSubSupPr>
                  <m:ctrlPr>
                    <w:rPr>
                      <w:rFonts w:ascii="Cambria Math" w:hAnsi="Cambria Math" w:cs="Times New Roman"/>
                      <w:sz w:val="16"/>
                      <w:szCs w:val="16"/>
                      <w:lang w:val="en-GB"/>
                    </w:rPr>
                  </m:ctrlPr>
                </m:sSubSupPr>
                <m:e>
                  <m:r>
                    <w:rPr>
                      <w:rFonts w:ascii="Cambria Math" w:hAnsi="Cambria Math" w:cs="Times New Roman"/>
                      <w:sz w:val="16"/>
                      <w:szCs w:val="16"/>
                      <w:lang w:val="en-GB"/>
                    </w:rPr>
                    <m:t>d</m:t>
                  </m:r>
                </m:e>
                <m:sub>
                  <m:r>
                    <w:rPr>
                      <w:rFonts w:ascii="Cambria Math" w:hAnsi="Cambria Math" w:cs="Times New Roman"/>
                      <w:sz w:val="16"/>
                      <w:szCs w:val="16"/>
                      <w:lang w:val="en-GB"/>
                    </w:rPr>
                    <m:t>M,10-14</m:t>
                  </m:r>
                </m:sub>
                <m:sup>
                  <m:r>
                    <w:rPr>
                      <w:rFonts w:ascii="Cambria Math" w:hAnsi="Cambria Math" w:cs="Times New Roman"/>
                      <w:sz w:val="16"/>
                      <w:szCs w:val="16"/>
                      <w:lang w:val="en-GB"/>
                    </w:rPr>
                    <m:t>stable</m:t>
                  </m:r>
                </m:sup>
              </m:sSubSup>
            </m:oMath>
          </w:p>
          <w:p w14:paraId="07E05DF1" w14:textId="42610F0A" w:rsidR="003B17EB" w:rsidRPr="001F226C" w:rsidRDefault="003B17EB" w:rsidP="00440853">
            <w:pPr>
              <w:pStyle w:val="TableContents"/>
              <w:jc w:val="center"/>
              <w:rPr>
                <w:rFonts w:ascii="Times New Roman" w:hAnsi="Times New Roman" w:cs="Times New Roman"/>
                <w:sz w:val="16"/>
                <w:szCs w:val="16"/>
                <w:lang w:val="en-GB"/>
              </w:rPr>
            </w:pPr>
          </w:p>
          <w:p w14:paraId="3CD18DA1" w14:textId="1ECD3B1A" w:rsidR="000730B3" w:rsidRPr="001F226C" w:rsidRDefault="000730B3" w:rsidP="00440853">
            <w:pPr>
              <w:pStyle w:val="TableContents"/>
              <w:jc w:val="center"/>
              <w:rPr>
                <w:rFonts w:ascii="Times New Roman" w:hAnsi="Times New Roman" w:cs="Times New Roman"/>
                <w:sz w:val="16"/>
                <w:szCs w:val="16"/>
                <w:lang w:val="en-GB"/>
              </w:rPr>
            </w:pPr>
          </w:p>
        </w:tc>
        <w:tc>
          <w:tcPr>
            <w:tcW w:w="3118" w:type="dxa"/>
            <w:tcBorders>
              <w:left w:val="single" w:sz="2" w:space="0" w:color="000000"/>
              <w:bottom w:val="single" w:sz="2" w:space="0" w:color="000000"/>
            </w:tcBorders>
            <w:shd w:val="clear" w:color="auto" w:fill="auto"/>
            <w:tcMar>
              <w:top w:w="55" w:type="dxa"/>
              <w:left w:w="55" w:type="dxa"/>
              <w:bottom w:w="55" w:type="dxa"/>
              <w:right w:w="55" w:type="dxa"/>
            </w:tcMar>
          </w:tcPr>
          <w:p w14:paraId="4E333EB7" w14:textId="23558DBD" w:rsidR="003B17EB" w:rsidRPr="001F226C" w:rsidRDefault="00FE1180" w:rsidP="00440853">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P</w:t>
            </w:r>
            <w:r w:rsidR="008913FF" w:rsidRPr="001F226C">
              <w:rPr>
                <w:rFonts w:ascii="Times New Roman" w:hAnsi="Times New Roman" w:cs="Times New Roman"/>
                <w:sz w:val="16"/>
                <w:szCs w:val="16"/>
                <w:lang w:val="en-GB"/>
              </w:rPr>
              <w:t>opul</w:t>
            </w:r>
            <w:r w:rsidR="00A925B6" w:rsidRPr="001F226C">
              <w:rPr>
                <w:rFonts w:ascii="Times New Roman" w:hAnsi="Times New Roman" w:cs="Times New Roman"/>
                <w:sz w:val="16"/>
                <w:szCs w:val="16"/>
                <w:lang w:val="en-GB"/>
              </w:rPr>
              <w:t>ation proportion</w:t>
            </w:r>
            <w:r w:rsidR="00790AE1" w:rsidRPr="001F226C">
              <w:rPr>
                <w:rFonts w:ascii="Times New Roman" w:hAnsi="Times New Roman" w:cs="Times New Roman"/>
                <w:sz w:val="16"/>
                <w:szCs w:val="16"/>
                <w:lang w:val="en-GB"/>
              </w:rPr>
              <w:t xml:space="preserve"> with stable partnerships</w:t>
            </w:r>
            <w:r w:rsidR="00240F4D" w:rsidRPr="001F226C">
              <w:rPr>
                <w:rFonts w:ascii="Times New Roman" w:hAnsi="Times New Roman" w:cs="Times New Roman"/>
                <w:sz w:val="16"/>
                <w:szCs w:val="16"/>
                <w:lang w:val="en-GB"/>
              </w:rPr>
              <w:t xml:space="preserve"> in women</w:t>
            </w:r>
            <w:r w:rsidR="00EE0E25" w:rsidRPr="001F226C">
              <w:rPr>
                <w:rFonts w:ascii="Times New Roman" w:hAnsi="Times New Roman" w:cs="Times New Roman"/>
                <w:sz w:val="16"/>
                <w:szCs w:val="16"/>
                <w:lang w:val="en-GB"/>
              </w:rPr>
              <w:t xml:space="preserve"> and men aged in the age group 10-14</w:t>
            </w:r>
          </w:p>
        </w:tc>
        <w:tc>
          <w:tcPr>
            <w:tcW w:w="3828" w:type="dxa"/>
            <w:tcBorders>
              <w:left w:val="single" w:sz="2" w:space="0" w:color="000000"/>
              <w:bottom w:val="single" w:sz="2" w:space="0" w:color="000000"/>
            </w:tcBorders>
            <w:shd w:val="clear" w:color="auto" w:fill="auto"/>
            <w:tcMar>
              <w:top w:w="0" w:type="dxa"/>
              <w:left w:w="10" w:type="dxa"/>
              <w:bottom w:w="0" w:type="dxa"/>
              <w:right w:w="10" w:type="dxa"/>
            </w:tcMar>
          </w:tcPr>
          <w:p w14:paraId="1EF9DB88" w14:textId="050CE916" w:rsidR="003B17EB" w:rsidRPr="001F226C" w:rsidRDefault="00EE0E25" w:rsidP="00440853">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 xml:space="preserve">0% </w:t>
            </w:r>
          </w:p>
        </w:tc>
        <w:tc>
          <w:tcPr>
            <w:tcW w:w="41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267BD34" w14:textId="44DA350B" w:rsidR="003B17EB" w:rsidRPr="001F226C" w:rsidRDefault="00A60229" w:rsidP="00440853">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 xml:space="preserve">Set as zero given the low proportion of married </w:t>
            </w:r>
            <w:r w:rsidR="002A38A3" w:rsidRPr="001F226C">
              <w:rPr>
                <w:rFonts w:ascii="Times New Roman" w:hAnsi="Times New Roman" w:cs="Times New Roman"/>
                <w:sz w:val="16"/>
                <w:szCs w:val="16"/>
                <w:lang w:val="en-GB"/>
              </w:rPr>
              <w:t>individuals in this age groups as estimated by DHS</w:t>
            </w:r>
            <w:r w:rsidR="00D2636E" w:rsidRPr="001F226C">
              <w:rPr>
                <w:rFonts w:ascii="Times New Roman" w:hAnsi="Times New Roman" w:cs="Times New Roman"/>
                <w:sz w:val="16"/>
                <w:szCs w:val="16"/>
                <w:lang w:val="en-GB"/>
              </w:rPr>
              <w:t>.</w:t>
            </w:r>
            <w:r w:rsidR="00E9639D" w:rsidRPr="00E9639D">
              <w:rPr>
                <w:rFonts w:ascii="Times New Roman" w:hAnsi="Times New Roman" w:cs="Times New Roman"/>
                <w:sz w:val="16"/>
                <w:szCs w:val="16"/>
                <w:vertAlign w:val="superscript"/>
                <w:lang w:val="en-GB"/>
              </w:rPr>
              <w:t>2</w:t>
            </w:r>
            <w:r w:rsidR="00E9639D" w:rsidRPr="001F226C">
              <w:rPr>
                <w:rFonts w:ascii="Times New Roman" w:hAnsi="Times New Roman" w:cs="Times New Roman"/>
                <w:sz w:val="16"/>
                <w:szCs w:val="16"/>
                <w:lang w:val="en-GB"/>
              </w:rPr>
              <w:t xml:space="preserve"> </w:t>
            </w:r>
          </w:p>
        </w:tc>
      </w:tr>
      <w:tr w:rsidR="00DB12FC" w:rsidRPr="001F226C" w14:paraId="2C2F33E9" w14:textId="77777777" w:rsidTr="00F867CE">
        <w:tc>
          <w:tcPr>
            <w:tcW w:w="2547" w:type="dxa"/>
            <w:tcBorders>
              <w:left w:val="single" w:sz="2" w:space="0" w:color="000000"/>
              <w:bottom w:val="single" w:sz="2" w:space="0" w:color="000000"/>
            </w:tcBorders>
            <w:shd w:val="clear" w:color="auto" w:fill="auto"/>
            <w:tcMar>
              <w:top w:w="55" w:type="dxa"/>
              <w:left w:w="55" w:type="dxa"/>
              <w:bottom w:w="55" w:type="dxa"/>
              <w:right w:w="55" w:type="dxa"/>
            </w:tcMar>
          </w:tcPr>
          <w:p w14:paraId="4B9629B1" w14:textId="77777777" w:rsidR="00EE0E25" w:rsidRPr="001F226C" w:rsidRDefault="00000000" w:rsidP="009F26F7">
            <w:pPr>
              <w:pStyle w:val="TableContents"/>
              <w:jc w:val="center"/>
              <w:rPr>
                <w:rFonts w:ascii="Times New Roman" w:hAnsi="Times New Roman" w:cs="Times New Roman"/>
                <w:sz w:val="16"/>
                <w:szCs w:val="16"/>
                <w:lang w:val="en-GB"/>
              </w:rPr>
            </w:pPr>
            <m:oMathPara>
              <m:oMath>
                <m:sSubSup>
                  <m:sSubSupPr>
                    <m:ctrlPr>
                      <w:rPr>
                        <w:rFonts w:ascii="Cambria Math" w:hAnsi="Cambria Math" w:cs="Times New Roman"/>
                        <w:sz w:val="16"/>
                        <w:szCs w:val="16"/>
                        <w:lang w:val="en-GB"/>
                      </w:rPr>
                    </m:ctrlPr>
                  </m:sSubSupPr>
                  <m:e>
                    <m:r>
                      <w:rPr>
                        <w:rFonts w:ascii="Cambria Math" w:hAnsi="Cambria Math" w:cs="Times New Roman"/>
                        <w:sz w:val="16"/>
                        <w:szCs w:val="16"/>
                        <w:lang w:val="en-GB"/>
                      </w:rPr>
                      <m:t>d</m:t>
                    </m:r>
                  </m:e>
                  <m:sub>
                    <m:r>
                      <w:rPr>
                        <w:rFonts w:ascii="Cambria Math" w:hAnsi="Cambria Math" w:cs="Times New Roman"/>
                        <w:sz w:val="16"/>
                        <w:szCs w:val="16"/>
                        <w:lang w:val="en-GB"/>
                      </w:rPr>
                      <m:t>W,15-19</m:t>
                    </m:r>
                  </m:sub>
                  <m:sup>
                    <m:r>
                      <w:rPr>
                        <w:rFonts w:ascii="Cambria Math" w:hAnsi="Cambria Math" w:cs="Times New Roman"/>
                        <w:sz w:val="16"/>
                        <w:szCs w:val="16"/>
                        <w:lang w:val="en-GB"/>
                      </w:rPr>
                      <m:t>stable</m:t>
                    </m:r>
                  </m:sup>
                </m:sSubSup>
                <m:r>
                  <w:rPr>
                    <w:rFonts w:ascii="Cambria Math" w:hAnsi="Cambria Math" w:cs="Times New Roman"/>
                    <w:sz w:val="16"/>
                    <w:szCs w:val="16"/>
                    <w:lang w:val="en-GB"/>
                  </w:rPr>
                  <m:t>,</m:t>
                </m:r>
                <m:sSubSup>
                  <m:sSubSupPr>
                    <m:ctrlPr>
                      <w:rPr>
                        <w:rFonts w:ascii="Cambria Math" w:hAnsi="Cambria Math" w:cs="Times New Roman"/>
                        <w:sz w:val="16"/>
                        <w:szCs w:val="16"/>
                        <w:lang w:val="en-GB"/>
                      </w:rPr>
                    </m:ctrlPr>
                  </m:sSubSupPr>
                  <m:e>
                    <m:r>
                      <w:rPr>
                        <w:rFonts w:ascii="Cambria Math" w:hAnsi="Cambria Math" w:cs="Times New Roman"/>
                        <w:sz w:val="16"/>
                        <w:szCs w:val="16"/>
                        <w:lang w:val="en-GB"/>
                      </w:rPr>
                      <m:t>d</m:t>
                    </m:r>
                  </m:e>
                  <m:sub>
                    <m:r>
                      <w:rPr>
                        <w:rFonts w:ascii="Cambria Math" w:hAnsi="Cambria Math" w:cs="Times New Roman"/>
                        <w:sz w:val="16"/>
                        <w:szCs w:val="16"/>
                        <w:lang w:val="en-GB"/>
                      </w:rPr>
                      <m:t>W,20-24</m:t>
                    </m:r>
                  </m:sub>
                  <m:sup>
                    <m:r>
                      <w:rPr>
                        <w:rFonts w:ascii="Cambria Math" w:hAnsi="Cambria Math" w:cs="Times New Roman"/>
                        <w:sz w:val="16"/>
                        <w:szCs w:val="16"/>
                        <w:lang w:val="en-GB"/>
                      </w:rPr>
                      <m:t>stable</m:t>
                    </m:r>
                  </m:sup>
                </m:sSubSup>
                <m:r>
                  <w:rPr>
                    <w:rFonts w:ascii="Cambria Math" w:hAnsi="Cambria Math" w:cs="Times New Roman"/>
                    <w:sz w:val="16"/>
                    <w:szCs w:val="16"/>
                    <w:lang w:val="en-GB"/>
                  </w:rPr>
                  <m:t>,</m:t>
                </m:r>
              </m:oMath>
            </m:oMathPara>
          </w:p>
          <w:p w14:paraId="3793174B" w14:textId="77777777" w:rsidR="00EE0E25" w:rsidRPr="001F226C" w:rsidRDefault="00000000" w:rsidP="00EE0E25">
            <w:pPr>
              <w:pStyle w:val="TableContents"/>
              <w:jc w:val="center"/>
              <w:rPr>
                <w:rFonts w:ascii="Times New Roman" w:hAnsi="Times New Roman" w:cs="Times New Roman"/>
                <w:sz w:val="16"/>
                <w:szCs w:val="16"/>
                <w:lang w:val="en-GB"/>
              </w:rPr>
            </w:pPr>
            <m:oMathPara>
              <m:oMath>
                <m:sSubSup>
                  <m:sSubSupPr>
                    <m:ctrlPr>
                      <w:rPr>
                        <w:rFonts w:ascii="Cambria Math" w:hAnsi="Cambria Math" w:cs="Times New Roman"/>
                        <w:sz w:val="16"/>
                        <w:szCs w:val="16"/>
                        <w:lang w:val="en-GB"/>
                      </w:rPr>
                    </m:ctrlPr>
                  </m:sSubSupPr>
                  <m:e>
                    <m:r>
                      <w:rPr>
                        <w:rFonts w:ascii="Cambria Math" w:hAnsi="Cambria Math" w:cs="Times New Roman"/>
                        <w:sz w:val="16"/>
                        <w:szCs w:val="16"/>
                        <w:lang w:val="en-GB"/>
                      </w:rPr>
                      <m:t>d</m:t>
                    </m:r>
                  </m:e>
                  <m:sub>
                    <m:r>
                      <w:rPr>
                        <w:rFonts w:ascii="Cambria Math" w:hAnsi="Cambria Math" w:cs="Times New Roman"/>
                        <w:sz w:val="16"/>
                        <w:szCs w:val="16"/>
                        <w:lang w:val="en-GB"/>
                      </w:rPr>
                      <m:t>W,25-29</m:t>
                    </m:r>
                  </m:sub>
                  <m:sup>
                    <m:r>
                      <w:rPr>
                        <w:rFonts w:ascii="Cambria Math" w:hAnsi="Cambria Math" w:cs="Times New Roman"/>
                        <w:sz w:val="16"/>
                        <w:szCs w:val="16"/>
                        <w:lang w:val="en-GB"/>
                      </w:rPr>
                      <m:t>stable</m:t>
                    </m:r>
                  </m:sup>
                </m:sSubSup>
                <m:r>
                  <w:rPr>
                    <w:rFonts w:ascii="Cambria Math" w:hAnsi="Cambria Math" w:cs="Times New Roman"/>
                    <w:sz w:val="16"/>
                    <w:szCs w:val="16"/>
                    <w:lang w:val="en-GB"/>
                  </w:rPr>
                  <m:t>,</m:t>
                </m:r>
                <m:sSubSup>
                  <m:sSubSupPr>
                    <m:ctrlPr>
                      <w:rPr>
                        <w:rFonts w:ascii="Cambria Math" w:hAnsi="Cambria Math" w:cs="Times New Roman"/>
                        <w:sz w:val="16"/>
                        <w:szCs w:val="16"/>
                        <w:lang w:val="en-GB"/>
                      </w:rPr>
                    </m:ctrlPr>
                  </m:sSubSupPr>
                  <m:e>
                    <m:r>
                      <w:rPr>
                        <w:rFonts w:ascii="Cambria Math" w:hAnsi="Cambria Math" w:cs="Times New Roman"/>
                        <w:sz w:val="16"/>
                        <w:szCs w:val="16"/>
                        <w:lang w:val="en-GB"/>
                      </w:rPr>
                      <m:t>d</m:t>
                    </m:r>
                  </m:e>
                  <m:sub>
                    <m:r>
                      <w:rPr>
                        <w:rFonts w:ascii="Cambria Math" w:hAnsi="Cambria Math" w:cs="Times New Roman"/>
                        <w:sz w:val="16"/>
                        <w:szCs w:val="16"/>
                        <w:lang w:val="en-GB"/>
                      </w:rPr>
                      <m:t>W,30-49</m:t>
                    </m:r>
                  </m:sub>
                  <m:sup>
                    <m:r>
                      <w:rPr>
                        <w:rFonts w:ascii="Cambria Math" w:hAnsi="Cambria Math" w:cs="Times New Roman"/>
                        <w:sz w:val="16"/>
                        <w:szCs w:val="16"/>
                        <w:lang w:val="en-GB"/>
                      </w:rPr>
                      <m:t>stable</m:t>
                    </m:r>
                  </m:sup>
                </m:sSubSup>
                <m:r>
                  <w:rPr>
                    <w:rFonts w:ascii="Cambria Math" w:hAnsi="Cambria Math" w:cs="Times New Roman"/>
                    <w:sz w:val="16"/>
                    <w:szCs w:val="16"/>
                    <w:lang w:val="en-GB"/>
                  </w:rPr>
                  <m:t>,</m:t>
                </m:r>
              </m:oMath>
            </m:oMathPara>
          </w:p>
          <w:p w14:paraId="7810FF49" w14:textId="34C7B8F5" w:rsidR="009F26F7" w:rsidRPr="001F226C" w:rsidRDefault="00000000" w:rsidP="00EE0E25">
            <w:pPr>
              <w:pStyle w:val="TableContents"/>
              <w:jc w:val="center"/>
              <w:rPr>
                <w:rFonts w:ascii="Times New Roman" w:hAnsi="Times New Roman" w:cs="Times New Roman"/>
                <w:sz w:val="16"/>
                <w:szCs w:val="16"/>
                <w:lang w:val="en-GB"/>
              </w:rPr>
            </w:pPr>
            <m:oMathPara>
              <m:oMath>
                <m:sSubSup>
                  <m:sSubSupPr>
                    <m:ctrlPr>
                      <w:rPr>
                        <w:rFonts w:ascii="Cambria Math" w:hAnsi="Cambria Math" w:cs="Times New Roman"/>
                        <w:sz w:val="16"/>
                        <w:szCs w:val="16"/>
                        <w:lang w:val="en-GB"/>
                      </w:rPr>
                    </m:ctrlPr>
                  </m:sSubSupPr>
                  <m:e>
                    <m:r>
                      <w:rPr>
                        <w:rFonts w:ascii="Cambria Math" w:hAnsi="Cambria Math" w:cs="Times New Roman"/>
                        <w:sz w:val="16"/>
                        <w:szCs w:val="16"/>
                        <w:lang w:val="en-GB"/>
                      </w:rPr>
                      <m:t>d</m:t>
                    </m:r>
                  </m:e>
                  <m:sub>
                    <m:r>
                      <w:rPr>
                        <w:rFonts w:ascii="Cambria Math" w:hAnsi="Cambria Math" w:cs="Times New Roman"/>
                        <w:sz w:val="16"/>
                        <w:szCs w:val="16"/>
                        <w:lang w:val="en-GB"/>
                      </w:rPr>
                      <m:t>W,50-59</m:t>
                    </m:r>
                  </m:sub>
                  <m:sup>
                    <m:r>
                      <w:rPr>
                        <w:rFonts w:ascii="Cambria Math" w:hAnsi="Cambria Math" w:cs="Times New Roman"/>
                        <w:sz w:val="16"/>
                        <w:szCs w:val="16"/>
                        <w:lang w:val="en-GB"/>
                      </w:rPr>
                      <m:t>stable</m:t>
                    </m:r>
                  </m:sup>
                </m:sSubSup>
                <m:r>
                  <w:rPr>
                    <w:rFonts w:ascii="Cambria Math" w:hAnsi="Cambria Math" w:cs="Times New Roman"/>
                    <w:sz w:val="16"/>
                    <w:szCs w:val="16"/>
                    <w:lang w:val="en-GB"/>
                  </w:rPr>
                  <m:t>,</m:t>
                </m:r>
                <m:sSubSup>
                  <m:sSubSupPr>
                    <m:ctrlPr>
                      <w:rPr>
                        <w:rFonts w:ascii="Cambria Math" w:hAnsi="Cambria Math" w:cs="Times New Roman"/>
                        <w:sz w:val="16"/>
                        <w:szCs w:val="16"/>
                        <w:lang w:val="en-GB"/>
                      </w:rPr>
                    </m:ctrlPr>
                  </m:sSubSupPr>
                  <m:e>
                    <m:r>
                      <w:rPr>
                        <w:rFonts w:ascii="Cambria Math" w:hAnsi="Cambria Math" w:cs="Times New Roman"/>
                        <w:sz w:val="16"/>
                        <w:szCs w:val="16"/>
                        <w:lang w:val="en-GB"/>
                      </w:rPr>
                      <m:t>d</m:t>
                    </m:r>
                  </m:e>
                  <m:sub>
                    <m:r>
                      <w:rPr>
                        <w:rFonts w:ascii="Cambria Math" w:hAnsi="Cambria Math" w:cs="Times New Roman"/>
                        <w:sz w:val="16"/>
                        <w:szCs w:val="16"/>
                        <w:lang w:val="en-GB"/>
                      </w:rPr>
                      <m:t>W,60-99</m:t>
                    </m:r>
                  </m:sub>
                  <m:sup>
                    <m:r>
                      <w:rPr>
                        <w:rFonts w:ascii="Cambria Math" w:hAnsi="Cambria Math" w:cs="Times New Roman"/>
                        <w:sz w:val="16"/>
                        <w:szCs w:val="16"/>
                        <w:lang w:val="en-GB"/>
                      </w:rPr>
                      <m:t>stable</m:t>
                    </m:r>
                  </m:sup>
                </m:sSubSup>
              </m:oMath>
            </m:oMathPara>
          </w:p>
        </w:tc>
        <w:tc>
          <w:tcPr>
            <w:tcW w:w="3118" w:type="dxa"/>
            <w:tcBorders>
              <w:left w:val="single" w:sz="2" w:space="0" w:color="000000"/>
              <w:bottom w:val="single" w:sz="2" w:space="0" w:color="000000"/>
            </w:tcBorders>
            <w:shd w:val="clear" w:color="auto" w:fill="auto"/>
            <w:tcMar>
              <w:top w:w="55" w:type="dxa"/>
              <w:left w:w="55" w:type="dxa"/>
              <w:bottom w:w="55" w:type="dxa"/>
              <w:right w:w="55" w:type="dxa"/>
            </w:tcMar>
          </w:tcPr>
          <w:p w14:paraId="3F1E7B38" w14:textId="06234B6F" w:rsidR="009F26F7" w:rsidRPr="001F226C" w:rsidRDefault="00FE7402" w:rsidP="009F26F7">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P</w:t>
            </w:r>
            <w:r w:rsidR="009F26F7" w:rsidRPr="001F226C">
              <w:rPr>
                <w:rFonts w:ascii="Times New Roman" w:hAnsi="Times New Roman" w:cs="Times New Roman"/>
                <w:sz w:val="16"/>
                <w:szCs w:val="16"/>
                <w:lang w:val="en-GB"/>
              </w:rPr>
              <w:t>opulation proportion with stable partnerships in women</w:t>
            </w:r>
            <w:r w:rsidRPr="001F226C">
              <w:rPr>
                <w:rFonts w:ascii="Times New Roman" w:hAnsi="Times New Roman" w:cs="Times New Roman"/>
                <w:sz w:val="16"/>
                <w:szCs w:val="16"/>
                <w:lang w:val="en-GB"/>
              </w:rPr>
              <w:t xml:space="preserve"> in age groups 15-19, 20-24, 25-29, 30-</w:t>
            </w:r>
            <w:r w:rsidR="00B15887" w:rsidRPr="001F226C">
              <w:rPr>
                <w:rFonts w:ascii="Times New Roman" w:hAnsi="Times New Roman" w:cs="Times New Roman"/>
                <w:sz w:val="16"/>
                <w:szCs w:val="16"/>
                <w:lang w:val="en-GB"/>
              </w:rPr>
              <w:t>49, 50-59, and 60-99</w:t>
            </w:r>
          </w:p>
        </w:tc>
        <w:tc>
          <w:tcPr>
            <w:tcW w:w="3828" w:type="dxa"/>
            <w:tcBorders>
              <w:left w:val="single" w:sz="2" w:space="0" w:color="000000"/>
              <w:bottom w:val="single" w:sz="2" w:space="0" w:color="000000"/>
            </w:tcBorders>
            <w:shd w:val="clear" w:color="auto" w:fill="auto"/>
            <w:tcMar>
              <w:top w:w="0" w:type="dxa"/>
              <w:left w:w="10" w:type="dxa"/>
              <w:bottom w:w="0" w:type="dxa"/>
              <w:right w:w="10" w:type="dxa"/>
            </w:tcMar>
          </w:tcPr>
          <w:p w14:paraId="1A66089E" w14:textId="77777777" w:rsidR="009F26F7" w:rsidRPr="001F226C" w:rsidRDefault="00660272" w:rsidP="009F26F7">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 xml:space="preserve">38.5%, 77.6%, 91.1%, </w:t>
            </w:r>
            <w:r w:rsidR="00422AFD" w:rsidRPr="001F226C">
              <w:rPr>
                <w:rFonts w:ascii="Times New Roman" w:hAnsi="Times New Roman" w:cs="Times New Roman"/>
                <w:sz w:val="16"/>
                <w:szCs w:val="16"/>
                <w:lang w:val="en-GB"/>
              </w:rPr>
              <w:t>87.8%, 83%, 83% for West</w:t>
            </w:r>
            <w:r w:rsidR="009A58E2" w:rsidRPr="001F226C">
              <w:rPr>
                <w:rFonts w:ascii="Times New Roman" w:hAnsi="Times New Roman" w:cs="Times New Roman"/>
                <w:sz w:val="16"/>
                <w:szCs w:val="16"/>
                <w:lang w:val="en-GB"/>
              </w:rPr>
              <w:t xml:space="preserve"> Bengal</w:t>
            </w:r>
          </w:p>
          <w:p w14:paraId="0F69FC2C" w14:textId="7B716C85" w:rsidR="007A0F3E" w:rsidRPr="001F226C" w:rsidRDefault="007A0F3E" w:rsidP="009F26F7">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 xml:space="preserve">12.8%, 58.5%, 84.7%, 86.2%, </w:t>
            </w:r>
            <w:r w:rsidR="00FC06F4" w:rsidRPr="001F226C">
              <w:rPr>
                <w:rFonts w:ascii="Times New Roman" w:hAnsi="Times New Roman" w:cs="Times New Roman"/>
                <w:sz w:val="16"/>
                <w:szCs w:val="16"/>
                <w:lang w:val="en-GB"/>
              </w:rPr>
              <w:t>64%, 64% for Tamil Nadu</w:t>
            </w:r>
          </w:p>
        </w:tc>
        <w:tc>
          <w:tcPr>
            <w:tcW w:w="41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FFBDBE1" w14:textId="33774E1A" w:rsidR="009F26F7" w:rsidRPr="001F226C" w:rsidRDefault="0019761D" w:rsidP="009F26F7">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Proportion of women married in DHS in West Bengal and Tamil Nadu.</w:t>
            </w:r>
            <w:r w:rsidR="00E9639D" w:rsidRPr="00E9639D">
              <w:rPr>
                <w:rFonts w:ascii="Times New Roman" w:hAnsi="Times New Roman" w:cs="Times New Roman"/>
                <w:sz w:val="16"/>
                <w:szCs w:val="16"/>
                <w:vertAlign w:val="superscript"/>
                <w:lang w:val="en-GB"/>
              </w:rPr>
              <w:t>2</w:t>
            </w:r>
            <w:r w:rsidR="00E9639D" w:rsidRPr="001F226C">
              <w:rPr>
                <w:rFonts w:ascii="Times New Roman" w:hAnsi="Times New Roman" w:cs="Times New Roman"/>
                <w:sz w:val="16"/>
                <w:szCs w:val="16"/>
                <w:lang w:val="en-GB"/>
              </w:rPr>
              <w:t xml:space="preserve"> </w:t>
            </w:r>
          </w:p>
        </w:tc>
      </w:tr>
      <w:tr w:rsidR="00DB12FC" w:rsidRPr="001F226C" w14:paraId="2A665991" w14:textId="77777777" w:rsidTr="00F867CE">
        <w:tc>
          <w:tcPr>
            <w:tcW w:w="2547" w:type="dxa"/>
            <w:tcBorders>
              <w:left w:val="single" w:sz="2" w:space="0" w:color="000000"/>
              <w:bottom w:val="single" w:sz="2" w:space="0" w:color="000000"/>
            </w:tcBorders>
            <w:shd w:val="clear" w:color="auto" w:fill="auto"/>
            <w:tcMar>
              <w:top w:w="55" w:type="dxa"/>
              <w:left w:w="55" w:type="dxa"/>
              <w:bottom w:w="55" w:type="dxa"/>
              <w:right w:w="55" w:type="dxa"/>
            </w:tcMar>
          </w:tcPr>
          <w:p w14:paraId="30349CD9" w14:textId="0895C652" w:rsidR="009A58E2" w:rsidRPr="001F226C" w:rsidRDefault="00000000" w:rsidP="009A58E2">
            <w:pPr>
              <w:pStyle w:val="TableContents"/>
              <w:jc w:val="center"/>
              <w:rPr>
                <w:rFonts w:ascii="Times New Roman" w:hAnsi="Times New Roman" w:cs="Times New Roman"/>
                <w:sz w:val="16"/>
                <w:szCs w:val="16"/>
                <w:lang w:val="en-GB"/>
              </w:rPr>
            </w:pPr>
            <m:oMathPara>
              <m:oMath>
                <m:sSubSup>
                  <m:sSubSupPr>
                    <m:ctrlPr>
                      <w:rPr>
                        <w:rFonts w:ascii="Cambria Math" w:hAnsi="Cambria Math" w:cs="Times New Roman"/>
                        <w:sz w:val="16"/>
                        <w:szCs w:val="16"/>
                        <w:lang w:val="en-GB"/>
                      </w:rPr>
                    </m:ctrlPr>
                  </m:sSubSupPr>
                  <m:e>
                    <m:r>
                      <w:rPr>
                        <w:rFonts w:ascii="Cambria Math" w:hAnsi="Cambria Math" w:cs="Times New Roman"/>
                        <w:sz w:val="16"/>
                        <w:szCs w:val="16"/>
                        <w:lang w:val="en-GB"/>
                      </w:rPr>
                      <m:t>d</m:t>
                    </m:r>
                  </m:e>
                  <m:sub>
                    <m:r>
                      <w:rPr>
                        <w:rFonts w:ascii="Cambria Math" w:hAnsi="Cambria Math" w:cs="Times New Roman"/>
                        <w:sz w:val="16"/>
                        <w:szCs w:val="16"/>
                        <w:lang w:val="en-GB"/>
                      </w:rPr>
                      <m:t>M,15-19</m:t>
                    </m:r>
                  </m:sub>
                  <m:sup>
                    <m:r>
                      <w:rPr>
                        <w:rFonts w:ascii="Cambria Math" w:hAnsi="Cambria Math" w:cs="Times New Roman"/>
                        <w:sz w:val="16"/>
                        <w:szCs w:val="16"/>
                        <w:lang w:val="en-GB"/>
                      </w:rPr>
                      <m:t>stable</m:t>
                    </m:r>
                  </m:sup>
                </m:sSubSup>
                <m:r>
                  <w:rPr>
                    <w:rFonts w:ascii="Cambria Math" w:hAnsi="Cambria Math" w:cs="Times New Roman"/>
                    <w:sz w:val="16"/>
                    <w:szCs w:val="16"/>
                    <w:lang w:val="en-GB"/>
                  </w:rPr>
                  <m:t>,</m:t>
                </m:r>
                <m:sSubSup>
                  <m:sSubSupPr>
                    <m:ctrlPr>
                      <w:rPr>
                        <w:rFonts w:ascii="Cambria Math" w:hAnsi="Cambria Math" w:cs="Times New Roman"/>
                        <w:sz w:val="16"/>
                        <w:szCs w:val="16"/>
                        <w:lang w:val="en-GB"/>
                      </w:rPr>
                    </m:ctrlPr>
                  </m:sSubSupPr>
                  <m:e>
                    <m:r>
                      <w:rPr>
                        <w:rFonts w:ascii="Cambria Math" w:hAnsi="Cambria Math" w:cs="Times New Roman"/>
                        <w:sz w:val="16"/>
                        <w:szCs w:val="16"/>
                        <w:lang w:val="en-GB"/>
                      </w:rPr>
                      <m:t>d</m:t>
                    </m:r>
                  </m:e>
                  <m:sub>
                    <m:r>
                      <w:rPr>
                        <w:rFonts w:ascii="Cambria Math" w:hAnsi="Cambria Math" w:cs="Times New Roman"/>
                        <w:sz w:val="16"/>
                        <w:szCs w:val="16"/>
                        <w:lang w:val="en-GB"/>
                      </w:rPr>
                      <m:t>M,20-24</m:t>
                    </m:r>
                  </m:sub>
                  <m:sup>
                    <m:r>
                      <w:rPr>
                        <w:rFonts w:ascii="Cambria Math" w:hAnsi="Cambria Math" w:cs="Times New Roman"/>
                        <w:sz w:val="16"/>
                        <w:szCs w:val="16"/>
                        <w:lang w:val="en-GB"/>
                      </w:rPr>
                      <m:t>stable</m:t>
                    </m:r>
                  </m:sup>
                </m:sSubSup>
                <m:r>
                  <w:rPr>
                    <w:rFonts w:ascii="Cambria Math" w:hAnsi="Cambria Math" w:cs="Times New Roman"/>
                    <w:sz w:val="16"/>
                    <w:szCs w:val="16"/>
                    <w:lang w:val="en-GB"/>
                  </w:rPr>
                  <m:t>,</m:t>
                </m:r>
              </m:oMath>
            </m:oMathPara>
          </w:p>
          <w:p w14:paraId="6D71EC19" w14:textId="6D0942F5" w:rsidR="009A58E2" w:rsidRPr="001F226C" w:rsidRDefault="00000000" w:rsidP="009A58E2">
            <w:pPr>
              <w:pStyle w:val="TableContents"/>
              <w:jc w:val="center"/>
              <w:rPr>
                <w:rFonts w:ascii="Times New Roman" w:hAnsi="Times New Roman" w:cs="Times New Roman"/>
                <w:sz w:val="16"/>
                <w:szCs w:val="16"/>
                <w:lang w:val="en-GB"/>
              </w:rPr>
            </w:pPr>
            <m:oMathPara>
              <m:oMath>
                <m:sSubSup>
                  <m:sSubSupPr>
                    <m:ctrlPr>
                      <w:rPr>
                        <w:rFonts w:ascii="Cambria Math" w:hAnsi="Cambria Math" w:cs="Times New Roman"/>
                        <w:sz w:val="16"/>
                        <w:szCs w:val="16"/>
                        <w:lang w:val="en-GB"/>
                      </w:rPr>
                    </m:ctrlPr>
                  </m:sSubSupPr>
                  <m:e>
                    <m:r>
                      <w:rPr>
                        <w:rFonts w:ascii="Cambria Math" w:hAnsi="Cambria Math" w:cs="Times New Roman"/>
                        <w:sz w:val="16"/>
                        <w:szCs w:val="16"/>
                        <w:lang w:val="en-GB"/>
                      </w:rPr>
                      <m:t>d</m:t>
                    </m:r>
                  </m:e>
                  <m:sub>
                    <m:r>
                      <w:rPr>
                        <w:rFonts w:ascii="Cambria Math" w:hAnsi="Cambria Math" w:cs="Times New Roman"/>
                        <w:sz w:val="16"/>
                        <w:szCs w:val="16"/>
                        <w:lang w:val="en-GB"/>
                      </w:rPr>
                      <m:t>M,25-29</m:t>
                    </m:r>
                  </m:sub>
                  <m:sup>
                    <m:r>
                      <w:rPr>
                        <w:rFonts w:ascii="Cambria Math" w:hAnsi="Cambria Math" w:cs="Times New Roman"/>
                        <w:sz w:val="16"/>
                        <w:szCs w:val="16"/>
                        <w:lang w:val="en-GB"/>
                      </w:rPr>
                      <m:t>stable</m:t>
                    </m:r>
                  </m:sup>
                </m:sSubSup>
                <m:r>
                  <w:rPr>
                    <w:rFonts w:ascii="Cambria Math" w:hAnsi="Cambria Math" w:cs="Times New Roman"/>
                    <w:sz w:val="16"/>
                    <w:szCs w:val="16"/>
                    <w:lang w:val="en-GB"/>
                  </w:rPr>
                  <m:t>,</m:t>
                </m:r>
                <m:sSubSup>
                  <m:sSubSupPr>
                    <m:ctrlPr>
                      <w:rPr>
                        <w:rFonts w:ascii="Cambria Math" w:hAnsi="Cambria Math" w:cs="Times New Roman"/>
                        <w:sz w:val="16"/>
                        <w:szCs w:val="16"/>
                        <w:lang w:val="en-GB"/>
                      </w:rPr>
                    </m:ctrlPr>
                  </m:sSubSupPr>
                  <m:e>
                    <m:r>
                      <w:rPr>
                        <w:rFonts w:ascii="Cambria Math" w:hAnsi="Cambria Math" w:cs="Times New Roman"/>
                        <w:sz w:val="16"/>
                        <w:szCs w:val="16"/>
                        <w:lang w:val="en-GB"/>
                      </w:rPr>
                      <m:t>d</m:t>
                    </m:r>
                  </m:e>
                  <m:sub>
                    <m:r>
                      <w:rPr>
                        <w:rFonts w:ascii="Cambria Math" w:hAnsi="Cambria Math" w:cs="Times New Roman"/>
                        <w:sz w:val="16"/>
                        <w:szCs w:val="16"/>
                        <w:lang w:val="en-GB"/>
                      </w:rPr>
                      <m:t>M,30-49</m:t>
                    </m:r>
                  </m:sub>
                  <m:sup>
                    <m:r>
                      <w:rPr>
                        <w:rFonts w:ascii="Cambria Math" w:hAnsi="Cambria Math" w:cs="Times New Roman"/>
                        <w:sz w:val="16"/>
                        <w:szCs w:val="16"/>
                        <w:lang w:val="en-GB"/>
                      </w:rPr>
                      <m:t>stable</m:t>
                    </m:r>
                  </m:sup>
                </m:sSubSup>
                <m:r>
                  <w:rPr>
                    <w:rFonts w:ascii="Cambria Math" w:hAnsi="Cambria Math" w:cs="Times New Roman"/>
                    <w:sz w:val="16"/>
                    <w:szCs w:val="16"/>
                    <w:lang w:val="en-GB"/>
                  </w:rPr>
                  <m:t>,</m:t>
                </m:r>
              </m:oMath>
            </m:oMathPara>
          </w:p>
          <w:p w14:paraId="7407CE62" w14:textId="68F4E901" w:rsidR="009A58E2" w:rsidRPr="001F226C" w:rsidRDefault="00000000" w:rsidP="009A58E2">
            <w:pPr>
              <w:pStyle w:val="TableContents"/>
              <w:jc w:val="center"/>
              <w:rPr>
                <w:rFonts w:ascii="Times New Roman" w:hAnsi="Times New Roman" w:cs="Times New Roman"/>
                <w:sz w:val="16"/>
                <w:szCs w:val="16"/>
                <w:lang w:val="en-GB"/>
              </w:rPr>
            </w:pPr>
            <m:oMathPara>
              <m:oMath>
                <m:sSubSup>
                  <m:sSubSupPr>
                    <m:ctrlPr>
                      <w:rPr>
                        <w:rFonts w:ascii="Cambria Math" w:hAnsi="Cambria Math" w:cs="Times New Roman"/>
                        <w:sz w:val="16"/>
                        <w:szCs w:val="16"/>
                        <w:lang w:val="en-GB"/>
                      </w:rPr>
                    </m:ctrlPr>
                  </m:sSubSupPr>
                  <m:e>
                    <m:r>
                      <w:rPr>
                        <w:rFonts w:ascii="Cambria Math" w:hAnsi="Cambria Math" w:cs="Times New Roman"/>
                        <w:sz w:val="16"/>
                        <w:szCs w:val="16"/>
                        <w:lang w:val="en-GB"/>
                      </w:rPr>
                      <m:t>d</m:t>
                    </m:r>
                  </m:e>
                  <m:sub>
                    <m:r>
                      <w:rPr>
                        <w:rFonts w:ascii="Cambria Math" w:hAnsi="Cambria Math" w:cs="Times New Roman"/>
                        <w:sz w:val="16"/>
                        <w:szCs w:val="16"/>
                        <w:lang w:val="en-GB"/>
                      </w:rPr>
                      <m:t>M,50-59</m:t>
                    </m:r>
                  </m:sub>
                  <m:sup>
                    <m:r>
                      <w:rPr>
                        <w:rFonts w:ascii="Cambria Math" w:hAnsi="Cambria Math" w:cs="Times New Roman"/>
                        <w:sz w:val="16"/>
                        <w:szCs w:val="16"/>
                        <w:lang w:val="en-GB"/>
                      </w:rPr>
                      <m:t>stable</m:t>
                    </m:r>
                  </m:sup>
                </m:sSubSup>
                <m:r>
                  <w:rPr>
                    <w:rFonts w:ascii="Cambria Math" w:hAnsi="Cambria Math" w:cs="Times New Roman"/>
                    <w:sz w:val="16"/>
                    <w:szCs w:val="16"/>
                    <w:lang w:val="en-GB"/>
                  </w:rPr>
                  <m:t>,</m:t>
                </m:r>
                <m:sSubSup>
                  <m:sSubSupPr>
                    <m:ctrlPr>
                      <w:rPr>
                        <w:rFonts w:ascii="Cambria Math" w:hAnsi="Cambria Math" w:cs="Times New Roman"/>
                        <w:sz w:val="16"/>
                        <w:szCs w:val="16"/>
                        <w:lang w:val="en-GB"/>
                      </w:rPr>
                    </m:ctrlPr>
                  </m:sSubSupPr>
                  <m:e>
                    <m:r>
                      <w:rPr>
                        <w:rFonts w:ascii="Cambria Math" w:hAnsi="Cambria Math" w:cs="Times New Roman"/>
                        <w:sz w:val="16"/>
                        <w:szCs w:val="16"/>
                        <w:lang w:val="en-GB"/>
                      </w:rPr>
                      <m:t>d</m:t>
                    </m:r>
                  </m:e>
                  <m:sub>
                    <m:r>
                      <w:rPr>
                        <w:rFonts w:ascii="Cambria Math" w:hAnsi="Cambria Math" w:cs="Times New Roman"/>
                        <w:sz w:val="16"/>
                        <w:szCs w:val="16"/>
                        <w:lang w:val="en-GB"/>
                      </w:rPr>
                      <m:t>M,60-99</m:t>
                    </m:r>
                  </m:sub>
                  <m:sup>
                    <m:r>
                      <w:rPr>
                        <w:rFonts w:ascii="Cambria Math" w:hAnsi="Cambria Math" w:cs="Times New Roman"/>
                        <w:sz w:val="16"/>
                        <w:szCs w:val="16"/>
                        <w:lang w:val="en-GB"/>
                      </w:rPr>
                      <m:t>stable</m:t>
                    </m:r>
                  </m:sup>
                </m:sSubSup>
              </m:oMath>
            </m:oMathPara>
          </w:p>
        </w:tc>
        <w:tc>
          <w:tcPr>
            <w:tcW w:w="3118" w:type="dxa"/>
            <w:tcBorders>
              <w:left w:val="single" w:sz="2" w:space="0" w:color="000000"/>
              <w:bottom w:val="single" w:sz="2" w:space="0" w:color="000000"/>
            </w:tcBorders>
            <w:shd w:val="clear" w:color="auto" w:fill="auto"/>
            <w:tcMar>
              <w:top w:w="55" w:type="dxa"/>
              <w:left w:w="55" w:type="dxa"/>
              <w:bottom w:w="55" w:type="dxa"/>
              <w:right w:w="55" w:type="dxa"/>
            </w:tcMar>
          </w:tcPr>
          <w:p w14:paraId="6A856E80" w14:textId="238399C9" w:rsidR="009A58E2" w:rsidRPr="001F226C" w:rsidRDefault="009A58E2" w:rsidP="009A58E2">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Age-group-specific population proportion with stable partnerships in men</w:t>
            </w:r>
            <w:r w:rsidR="00B15887" w:rsidRPr="001F226C">
              <w:rPr>
                <w:rFonts w:ascii="Times New Roman" w:hAnsi="Times New Roman" w:cs="Times New Roman"/>
                <w:sz w:val="16"/>
                <w:szCs w:val="16"/>
                <w:lang w:val="en-GB"/>
              </w:rPr>
              <w:t xml:space="preserve"> in age groups 15-19, 20-24, 25-29, 30-49, 50-59, and 60-99</w:t>
            </w:r>
          </w:p>
        </w:tc>
        <w:tc>
          <w:tcPr>
            <w:tcW w:w="3828" w:type="dxa"/>
            <w:tcBorders>
              <w:left w:val="single" w:sz="2" w:space="0" w:color="000000"/>
              <w:bottom w:val="single" w:sz="2" w:space="0" w:color="000000"/>
            </w:tcBorders>
            <w:shd w:val="clear" w:color="auto" w:fill="auto"/>
            <w:tcMar>
              <w:top w:w="0" w:type="dxa"/>
              <w:left w:w="10" w:type="dxa"/>
              <w:bottom w:w="0" w:type="dxa"/>
              <w:right w:w="10" w:type="dxa"/>
            </w:tcMar>
          </w:tcPr>
          <w:p w14:paraId="7F7A05BC" w14:textId="77777777" w:rsidR="009A58E2" w:rsidRPr="001F226C" w:rsidRDefault="009A58E2" w:rsidP="009A58E2">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2.4</w:t>
            </w:r>
            <w:r w:rsidR="00B132E1" w:rsidRPr="001F226C">
              <w:rPr>
                <w:rFonts w:ascii="Times New Roman" w:hAnsi="Times New Roman" w:cs="Times New Roman"/>
                <w:sz w:val="16"/>
                <w:szCs w:val="16"/>
                <w:lang w:val="en-GB"/>
              </w:rPr>
              <w:t xml:space="preserve">%, 34.8%, 65.8%, 91.6%, 92.3, 92.3% </w:t>
            </w:r>
            <w:r w:rsidRPr="001F226C">
              <w:rPr>
                <w:rFonts w:ascii="Times New Roman" w:hAnsi="Times New Roman" w:cs="Times New Roman"/>
                <w:sz w:val="16"/>
                <w:szCs w:val="16"/>
                <w:lang w:val="en-GB"/>
              </w:rPr>
              <w:t>for West Bengal</w:t>
            </w:r>
          </w:p>
          <w:p w14:paraId="1BED09BB" w14:textId="645CC79D" w:rsidR="00FC06F4" w:rsidRPr="001F226C" w:rsidRDefault="004F3E8F" w:rsidP="009A58E2">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0.3%, 15.2%, 50.1%, 93.1%, 96.9, 96.9% for Tamil Nadu</w:t>
            </w:r>
          </w:p>
        </w:tc>
        <w:tc>
          <w:tcPr>
            <w:tcW w:w="41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F9B0D9E" w14:textId="45613D28" w:rsidR="009A58E2" w:rsidRPr="001F226C" w:rsidRDefault="009A58E2" w:rsidP="009A58E2">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Proportion of women married in DHS in West Bengal and Tamil Nadu.</w:t>
            </w:r>
            <w:r w:rsidR="00E9639D" w:rsidRPr="00E9639D">
              <w:rPr>
                <w:rFonts w:ascii="Times New Roman" w:hAnsi="Times New Roman" w:cs="Times New Roman"/>
                <w:sz w:val="16"/>
                <w:szCs w:val="16"/>
                <w:vertAlign w:val="superscript"/>
                <w:lang w:val="en-GB"/>
              </w:rPr>
              <w:t>2</w:t>
            </w:r>
            <w:r w:rsidR="00E9639D" w:rsidRPr="001F226C">
              <w:rPr>
                <w:rFonts w:ascii="Times New Roman" w:hAnsi="Times New Roman" w:cs="Times New Roman"/>
                <w:sz w:val="16"/>
                <w:szCs w:val="16"/>
                <w:lang w:val="en-GB"/>
              </w:rPr>
              <w:t xml:space="preserve"> </w:t>
            </w:r>
          </w:p>
        </w:tc>
      </w:tr>
      <w:tr w:rsidR="00DB12FC" w:rsidRPr="001F226C" w14:paraId="7D75374A" w14:textId="77777777" w:rsidTr="00F867CE">
        <w:tc>
          <w:tcPr>
            <w:tcW w:w="2547" w:type="dxa"/>
            <w:tcBorders>
              <w:left w:val="single" w:sz="2" w:space="0" w:color="000000"/>
              <w:bottom w:val="single" w:sz="2" w:space="0" w:color="000000"/>
            </w:tcBorders>
            <w:shd w:val="clear" w:color="auto" w:fill="auto"/>
            <w:tcMar>
              <w:top w:w="55" w:type="dxa"/>
              <w:left w:w="55" w:type="dxa"/>
              <w:bottom w:w="55" w:type="dxa"/>
              <w:right w:w="55" w:type="dxa"/>
            </w:tcMar>
          </w:tcPr>
          <w:p w14:paraId="459ACFCD" w14:textId="2F0A4935" w:rsidR="005239BE" w:rsidRPr="001F226C" w:rsidRDefault="00000000" w:rsidP="009A58E2">
            <w:pPr>
              <w:pStyle w:val="TableContents"/>
              <w:jc w:val="center"/>
              <w:rPr>
                <w:rFonts w:ascii="Times New Roman" w:hAnsi="Times New Roman" w:cs="Times New Roman"/>
                <w:sz w:val="16"/>
                <w:szCs w:val="16"/>
                <w:lang w:val="en-GB"/>
              </w:rPr>
            </w:pPr>
            <m:oMathPara>
              <m:oMath>
                <m:sSubSup>
                  <m:sSubSupPr>
                    <m:ctrlPr>
                      <w:rPr>
                        <w:rFonts w:ascii="Cambria Math" w:hAnsi="Cambria Math" w:cs="Times New Roman"/>
                        <w:sz w:val="16"/>
                        <w:szCs w:val="16"/>
                        <w:lang w:val="en-GB"/>
                      </w:rPr>
                    </m:ctrlPr>
                  </m:sSubSupPr>
                  <m:e>
                    <m:r>
                      <w:rPr>
                        <w:rFonts w:ascii="Cambria Math" w:hAnsi="Cambria Math" w:cs="Times New Roman"/>
                        <w:sz w:val="16"/>
                        <w:szCs w:val="16"/>
                        <w:lang w:val="en-GB"/>
                      </w:rPr>
                      <m:t>d</m:t>
                    </m:r>
                  </m:e>
                  <m:sub>
                    <m:r>
                      <w:rPr>
                        <w:rFonts w:ascii="Cambria Math" w:hAnsi="Cambria Math" w:cs="Times New Roman"/>
                        <w:sz w:val="16"/>
                        <w:szCs w:val="16"/>
                        <w:lang w:val="en-GB"/>
                      </w:rPr>
                      <m:t>W,1</m:t>
                    </m:r>
                  </m:sub>
                  <m:sup>
                    <m:r>
                      <w:rPr>
                        <w:rFonts w:ascii="Cambria Math" w:hAnsi="Cambria Math" w:cs="Times New Roman"/>
                        <w:sz w:val="16"/>
                        <w:szCs w:val="16"/>
                        <w:lang w:val="en-GB"/>
                      </w:rPr>
                      <m:t>stable</m:t>
                    </m:r>
                  </m:sup>
                </m:sSubSup>
                <m:r>
                  <w:rPr>
                    <w:rFonts w:ascii="Cambria Math" w:hAnsi="Cambria Math" w:cs="Times New Roman"/>
                    <w:sz w:val="16"/>
                    <w:szCs w:val="16"/>
                    <w:lang w:val="en-GB"/>
                  </w:rPr>
                  <m:t xml:space="preserve">, </m:t>
                </m:r>
                <m:sSubSup>
                  <m:sSubSupPr>
                    <m:ctrlPr>
                      <w:rPr>
                        <w:rFonts w:ascii="Cambria Math" w:hAnsi="Cambria Math" w:cs="Times New Roman"/>
                        <w:sz w:val="16"/>
                        <w:szCs w:val="16"/>
                        <w:lang w:val="en-GB"/>
                      </w:rPr>
                    </m:ctrlPr>
                  </m:sSubSupPr>
                  <m:e>
                    <m:r>
                      <w:rPr>
                        <w:rFonts w:ascii="Cambria Math" w:hAnsi="Cambria Math" w:cs="Times New Roman"/>
                        <w:sz w:val="16"/>
                        <w:szCs w:val="16"/>
                        <w:lang w:val="en-GB"/>
                      </w:rPr>
                      <m:t>d</m:t>
                    </m:r>
                  </m:e>
                  <m:sub>
                    <m:r>
                      <w:rPr>
                        <w:rFonts w:ascii="Cambria Math" w:hAnsi="Cambria Math" w:cs="Times New Roman"/>
                        <w:sz w:val="16"/>
                        <w:szCs w:val="16"/>
                        <w:lang w:val="en-GB"/>
                      </w:rPr>
                      <m:t>W,4</m:t>
                    </m:r>
                  </m:sub>
                  <m:sup>
                    <m:r>
                      <w:rPr>
                        <w:rFonts w:ascii="Cambria Math" w:hAnsi="Cambria Math" w:cs="Times New Roman"/>
                        <w:sz w:val="16"/>
                        <w:szCs w:val="16"/>
                        <w:lang w:val="en-GB"/>
                      </w:rPr>
                      <m:t>stable</m:t>
                    </m:r>
                  </m:sup>
                </m:sSubSup>
                <m:r>
                  <w:rPr>
                    <w:rFonts w:ascii="Cambria Math" w:hAnsi="Cambria Math" w:cs="Times New Roman"/>
                    <w:sz w:val="16"/>
                    <w:szCs w:val="16"/>
                    <w:lang w:val="en-GB"/>
                  </w:rPr>
                  <m:t xml:space="preserve">, </m:t>
                </m:r>
                <m:sSubSup>
                  <m:sSubSupPr>
                    <m:ctrlPr>
                      <w:rPr>
                        <w:rFonts w:ascii="Cambria Math" w:hAnsi="Cambria Math" w:cs="Times New Roman"/>
                        <w:sz w:val="16"/>
                        <w:szCs w:val="16"/>
                        <w:lang w:val="en-GB"/>
                      </w:rPr>
                    </m:ctrlPr>
                  </m:sSubSupPr>
                  <m:e>
                    <m:r>
                      <w:rPr>
                        <w:rFonts w:ascii="Cambria Math" w:hAnsi="Cambria Math" w:cs="Times New Roman"/>
                        <w:sz w:val="16"/>
                        <w:szCs w:val="16"/>
                        <w:lang w:val="en-GB"/>
                      </w:rPr>
                      <m:t>d</m:t>
                    </m:r>
                  </m:e>
                  <m:sub>
                    <m:r>
                      <w:rPr>
                        <w:rFonts w:ascii="Cambria Math" w:hAnsi="Cambria Math" w:cs="Times New Roman"/>
                        <w:sz w:val="16"/>
                        <w:szCs w:val="16"/>
                        <w:lang w:val="en-GB"/>
                      </w:rPr>
                      <m:t>W,5</m:t>
                    </m:r>
                  </m:sub>
                  <m:sup>
                    <m:r>
                      <w:rPr>
                        <w:rFonts w:ascii="Cambria Math" w:hAnsi="Cambria Math" w:cs="Times New Roman"/>
                        <w:sz w:val="16"/>
                        <w:szCs w:val="16"/>
                        <w:lang w:val="en-GB"/>
                      </w:rPr>
                      <m:t>stable</m:t>
                    </m:r>
                  </m:sup>
                </m:sSubSup>
                <m:r>
                  <w:rPr>
                    <w:rFonts w:ascii="Cambria Math" w:hAnsi="Cambria Math" w:cs="Times New Roman"/>
                    <w:sz w:val="16"/>
                    <w:szCs w:val="16"/>
                    <w:lang w:val="en-GB"/>
                  </w:rPr>
                  <m:t>,</m:t>
                </m:r>
              </m:oMath>
            </m:oMathPara>
          </w:p>
          <w:p w14:paraId="37497BA2" w14:textId="69A2654B" w:rsidR="009A58E2" w:rsidRPr="001F226C" w:rsidRDefault="00000000" w:rsidP="009A58E2">
            <w:pPr>
              <w:pStyle w:val="TableContents"/>
              <w:jc w:val="center"/>
              <w:rPr>
                <w:rFonts w:ascii="Times New Roman" w:hAnsi="Times New Roman" w:cs="Times New Roman"/>
                <w:sz w:val="16"/>
                <w:szCs w:val="16"/>
                <w:lang w:val="en-GB"/>
              </w:rPr>
            </w:pPr>
            <m:oMath>
              <m:sSubSup>
                <m:sSubSupPr>
                  <m:ctrlPr>
                    <w:rPr>
                      <w:rFonts w:ascii="Cambria Math" w:hAnsi="Cambria Math" w:cs="Times New Roman"/>
                      <w:sz w:val="16"/>
                      <w:szCs w:val="16"/>
                      <w:lang w:val="en-GB"/>
                    </w:rPr>
                  </m:ctrlPr>
                </m:sSubSupPr>
                <m:e>
                  <m:r>
                    <w:rPr>
                      <w:rFonts w:ascii="Cambria Math" w:hAnsi="Cambria Math" w:cs="Times New Roman"/>
                      <w:sz w:val="16"/>
                      <w:szCs w:val="16"/>
                      <w:lang w:val="en-GB"/>
                    </w:rPr>
                    <m:t>d</m:t>
                  </m:r>
                </m:e>
                <m:sub>
                  <m:r>
                    <w:rPr>
                      <w:rFonts w:ascii="Cambria Math" w:hAnsi="Cambria Math" w:cs="Times New Roman"/>
                      <w:sz w:val="16"/>
                      <w:szCs w:val="16"/>
                      <w:lang w:val="en-GB"/>
                    </w:rPr>
                    <m:t>M,1</m:t>
                  </m:r>
                </m:sub>
                <m:sup>
                  <m:r>
                    <w:rPr>
                      <w:rFonts w:ascii="Cambria Math" w:hAnsi="Cambria Math" w:cs="Times New Roman"/>
                      <w:sz w:val="16"/>
                      <w:szCs w:val="16"/>
                      <w:lang w:val="en-GB"/>
                    </w:rPr>
                    <m:t>stable</m:t>
                  </m:r>
                </m:sup>
              </m:sSubSup>
              <m:r>
                <w:rPr>
                  <w:rFonts w:ascii="Cambria Math" w:hAnsi="Cambria Math" w:cs="Times New Roman"/>
                  <w:sz w:val="16"/>
                  <w:szCs w:val="16"/>
                  <w:lang w:val="en-GB"/>
                </w:rPr>
                <m:t xml:space="preserve">, </m:t>
              </m:r>
              <m:sSubSup>
                <m:sSubSupPr>
                  <m:ctrlPr>
                    <w:rPr>
                      <w:rFonts w:ascii="Cambria Math" w:hAnsi="Cambria Math" w:cs="Times New Roman"/>
                      <w:sz w:val="16"/>
                      <w:szCs w:val="16"/>
                      <w:lang w:val="en-GB"/>
                    </w:rPr>
                  </m:ctrlPr>
                </m:sSubSupPr>
                <m:e>
                  <m:r>
                    <w:rPr>
                      <w:rFonts w:ascii="Cambria Math" w:hAnsi="Cambria Math" w:cs="Times New Roman"/>
                      <w:sz w:val="16"/>
                      <w:szCs w:val="16"/>
                      <w:lang w:val="en-GB"/>
                    </w:rPr>
                    <m:t>d</m:t>
                  </m:r>
                </m:e>
                <m:sub>
                  <m:r>
                    <w:rPr>
                      <w:rFonts w:ascii="Cambria Math" w:hAnsi="Cambria Math" w:cs="Times New Roman"/>
                      <w:sz w:val="16"/>
                      <w:szCs w:val="16"/>
                      <w:lang w:val="en-GB"/>
                    </w:rPr>
                    <m:t>M,4</m:t>
                  </m:r>
                </m:sub>
                <m:sup>
                  <m:r>
                    <w:rPr>
                      <w:rFonts w:ascii="Cambria Math" w:hAnsi="Cambria Math" w:cs="Times New Roman"/>
                      <w:sz w:val="16"/>
                      <w:szCs w:val="16"/>
                      <w:lang w:val="en-GB"/>
                    </w:rPr>
                    <m:t>stable</m:t>
                  </m:r>
                </m:sup>
              </m:sSubSup>
              <m:r>
                <w:rPr>
                  <w:rFonts w:ascii="Cambria Math" w:hAnsi="Cambria Math" w:cs="Times New Roman"/>
                  <w:sz w:val="16"/>
                  <w:szCs w:val="16"/>
                  <w:lang w:val="en-GB"/>
                </w:rPr>
                <m:t xml:space="preserve">, </m:t>
              </m:r>
              <m:sSubSup>
                <m:sSubSupPr>
                  <m:ctrlPr>
                    <w:rPr>
                      <w:rFonts w:ascii="Cambria Math" w:hAnsi="Cambria Math" w:cs="Times New Roman"/>
                      <w:sz w:val="16"/>
                      <w:szCs w:val="16"/>
                      <w:lang w:val="en-GB"/>
                    </w:rPr>
                  </m:ctrlPr>
                </m:sSubSupPr>
                <m:e>
                  <m:r>
                    <w:rPr>
                      <w:rFonts w:ascii="Cambria Math" w:hAnsi="Cambria Math" w:cs="Times New Roman"/>
                      <w:sz w:val="16"/>
                      <w:szCs w:val="16"/>
                      <w:lang w:val="en-GB"/>
                    </w:rPr>
                    <m:t>d</m:t>
                  </m:r>
                </m:e>
                <m:sub>
                  <m:r>
                    <w:rPr>
                      <w:rFonts w:ascii="Cambria Math" w:hAnsi="Cambria Math" w:cs="Times New Roman"/>
                      <w:sz w:val="16"/>
                      <w:szCs w:val="16"/>
                      <w:lang w:val="en-GB"/>
                    </w:rPr>
                    <m:t>M,5</m:t>
                  </m:r>
                </m:sub>
                <m:sup>
                  <m:r>
                    <w:rPr>
                      <w:rFonts w:ascii="Cambria Math" w:hAnsi="Cambria Math" w:cs="Times New Roman"/>
                      <w:sz w:val="16"/>
                      <w:szCs w:val="16"/>
                      <w:lang w:val="en-GB"/>
                    </w:rPr>
                    <m:t>stable</m:t>
                  </m:r>
                </m:sup>
              </m:sSubSup>
            </m:oMath>
            <w:r w:rsidR="00E750BD" w:rsidRPr="001F226C">
              <w:rPr>
                <w:rFonts w:ascii="Times New Roman" w:hAnsi="Times New Roman" w:cs="Times New Roman"/>
                <w:sz w:val="16"/>
                <w:szCs w:val="16"/>
                <w:lang w:val="en-GB"/>
              </w:rPr>
              <w:t xml:space="preserve"> </w:t>
            </w:r>
          </w:p>
        </w:tc>
        <w:tc>
          <w:tcPr>
            <w:tcW w:w="3118" w:type="dxa"/>
            <w:tcBorders>
              <w:left w:val="single" w:sz="2" w:space="0" w:color="000000"/>
              <w:bottom w:val="single" w:sz="2" w:space="0" w:color="000000"/>
            </w:tcBorders>
            <w:shd w:val="clear" w:color="auto" w:fill="auto"/>
            <w:tcMar>
              <w:top w:w="55" w:type="dxa"/>
              <w:left w:w="55" w:type="dxa"/>
              <w:bottom w:w="55" w:type="dxa"/>
              <w:right w:w="55" w:type="dxa"/>
            </w:tcMar>
          </w:tcPr>
          <w:p w14:paraId="1918C5CE" w14:textId="3CD76B2F" w:rsidR="009A58E2" w:rsidRPr="001F226C" w:rsidRDefault="00E750BD" w:rsidP="009A58E2">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P</w:t>
            </w:r>
            <w:r w:rsidR="009A58E2" w:rsidRPr="001F226C">
              <w:rPr>
                <w:rFonts w:ascii="Times New Roman" w:hAnsi="Times New Roman" w:cs="Times New Roman"/>
                <w:sz w:val="16"/>
                <w:szCs w:val="16"/>
                <w:lang w:val="en-GB"/>
              </w:rPr>
              <w:t>opulation proportion with stable partnerships</w:t>
            </w:r>
            <w:r w:rsidRPr="001F226C">
              <w:rPr>
                <w:rFonts w:ascii="Times New Roman" w:hAnsi="Times New Roman" w:cs="Times New Roman"/>
                <w:sz w:val="16"/>
                <w:szCs w:val="16"/>
                <w:lang w:val="en-GB"/>
              </w:rPr>
              <w:t xml:space="preserve"> in risk groups 1, 4, and 5</w:t>
            </w:r>
          </w:p>
        </w:tc>
        <w:tc>
          <w:tcPr>
            <w:tcW w:w="3828" w:type="dxa"/>
            <w:tcBorders>
              <w:left w:val="single" w:sz="2" w:space="0" w:color="000000"/>
              <w:bottom w:val="single" w:sz="2" w:space="0" w:color="000000"/>
            </w:tcBorders>
            <w:shd w:val="clear" w:color="auto" w:fill="auto"/>
            <w:tcMar>
              <w:top w:w="0" w:type="dxa"/>
              <w:left w:w="10" w:type="dxa"/>
              <w:bottom w:w="0" w:type="dxa"/>
              <w:right w:w="10" w:type="dxa"/>
            </w:tcMar>
          </w:tcPr>
          <w:p w14:paraId="66691C0B" w14:textId="747E87F9" w:rsidR="009A58E2" w:rsidRPr="001F226C" w:rsidRDefault="00E750BD" w:rsidP="009A58E2">
            <w:pPr>
              <w:pStyle w:val="TableContents"/>
              <w:rPr>
                <w:rFonts w:ascii="Times New Roman" w:hAnsi="Times New Roman" w:cs="Times New Roman"/>
                <w:sz w:val="16"/>
                <w:szCs w:val="16"/>
                <w:lang w:val="en-GB"/>
              </w:rPr>
            </w:pPr>
            <w:proofErr w:type="gramStart"/>
            <w:r w:rsidRPr="001F226C">
              <w:rPr>
                <w:rFonts w:ascii="Times New Roman" w:hAnsi="Times New Roman" w:cs="Times New Roman"/>
                <w:sz w:val="16"/>
                <w:szCs w:val="16"/>
                <w:lang w:val="en-GB"/>
              </w:rPr>
              <w:t>0</w:t>
            </w:r>
            <w:r w:rsidR="005239BE" w:rsidRPr="001F226C">
              <w:rPr>
                <w:rFonts w:ascii="Times New Roman" w:hAnsi="Times New Roman" w:cs="Times New Roman"/>
                <w:sz w:val="16"/>
                <w:szCs w:val="16"/>
                <w:lang w:val="en-GB"/>
              </w:rPr>
              <w:t>%</w:t>
            </w:r>
            <w:r w:rsidR="00020429" w:rsidRPr="001F226C">
              <w:rPr>
                <w:rFonts w:ascii="Times New Roman" w:hAnsi="Times New Roman" w:cs="Times New Roman"/>
                <w:sz w:val="16"/>
                <w:szCs w:val="16"/>
                <w:lang w:val="en-GB"/>
              </w:rPr>
              <w:t>, by definition</w:t>
            </w:r>
            <w:proofErr w:type="gramEnd"/>
            <w:r w:rsidR="00020429" w:rsidRPr="001F226C">
              <w:rPr>
                <w:rFonts w:ascii="Times New Roman" w:hAnsi="Times New Roman" w:cs="Times New Roman"/>
                <w:sz w:val="16"/>
                <w:szCs w:val="16"/>
                <w:lang w:val="en-GB"/>
              </w:rPr>
              <w:t>.</w:t>
            </w:r>
          </w:p>
        </w:tc>
        <w:tc>
          <w:tcPr>
            <w:tcW w:w="41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965B247" w14:textId="63DBB2D4" w:rsidR="009A58E2" w:rsidRPr="001F226C" w:rsidRDefault="00020429" w:rsidP="009A58E2">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NA</w:t>
            </w:r>
          </w:p>
        </w:tc>
      </w:tr>
      <w:tr w:rsidR="00DB12FC" w:rsidRPr="001F226C" w14:paraId="2FEE1F59" w14:textId="77777777" w:rsidTr="00F867CE">
        <w:tc>
          <w:tcPr>
            <w:tcW w:w="2547" w:type="dxa"/>
            <w:tcBorders>
              <w:left w:val="single" w:sz="2" w:space="0" w:color="000000"/>
              <w:bottom w:val="single" w:sz="2" w:space="0" w:color="000000"/>
            </w:tcBorders>
            <w:shd w:val="clear" w:color="auto" w:fill="auto"/>
            <w:tcMar>
              <w:top w:w="55" w:type="dxa"/>
              <w:left w:w="55" w:type="dxa"/>
              <w:bottom w:w="55" w:type="dxa"/>
              <w:right w:w="55" w:type="dxa"/>
            </w:tcMar>
          </w:tcPr>
          <w:p w14:paraId="454B7BDA" w14:textId="388BABCD" w:rsidR="005239BE" w:rsidRPr="001F226C" w:rsidRDefault="00000000" w:rsidP="005239BE">
            <w:pPr>
              <w:pStyle w:val="TableContents"/>
              <w:jc w:val="center"/>
              <w:rPr>
                <w:rFonts w:ascii="Times New Roman" w:hAnsi="Times New Roman" w:cs="Times New Roman"/>
                <w:sz w:val="16"/>
                <w:szCs w:val="16"/>
                <w:lang w:val="en-GB"/>
              </w:rPr>
            </w:pPr>
            <m:oMathPara>
              <m:oMath>
                <m:sSubSup>
                  <m:sSubSupPr>
                    <m:ctrlPr>
                      <w:rPr>
                        <w:rFonts w:ascii="Cambria Math" w:hAnsi="Cambria Math" w:cs="Times New Roman"/>
                        <w:sz w:val="16"/>
                        <w:szCs w:val="16"/>
                        <w:lang w:val="en-GB"/>
                      </w:rPr>
                    </m:ctrlPr>
                  </m:sSubSupPr>
                  <m:e>
                    <m:r>
                      <w:rPr>
                        <w:rFonts w:ascii="Cambria Math" w:hAnsi="Cambria Math" w:cs="Times New Roman"/>
                        <w:sz w:val="16"/>
                        <w:szCs w:val="16"/>
                        <w:lang w:val="en-GB"/>
                      </w:rPr>
                      <m:t>d</m:t>
                    </m:r>
                  </m:e>
                  <m:sub>
                    <m:r>
                      <w:rPr>
                        <w:rFonts w:ascii="Cambria Math" w:hAnsi="Cambria Math" w:cs="Times New Roman"/>
                        <w:sz w:val="16"/>
                        <w:szCs w:val="16"/>
                        <w:lang w:val="en-GB"/>
                      </w:rPr>
                      <m:t>W,2</m:t>
                    </m:r>
                  </m:sub>
                  <m:sup>
                    <m:r>
                      <w:rPr>
                        <w:rFonts w:ascii="Cambria Math" w:hAnsi="Cambria Math" w:cs="Times New Roman"/>
                        <w:sz w:val="16"/>
                        <w:szCs w:val="16"/>
                        <w:lang w:val="en-GB"/>
                      </w:rPr>
                      <m:t>stable</m:t>
                    </m:r>
                  </m:sup>
                </m:sSubSup>
                <m:r>
                  <w:rPr>
                    <w:rFonts w:ascii="Cambria Math" w:hAnsi="Cambria Math" w:cs="Times New Roman"/>
                    <w:sz w:val="16"/>
                    <w:szCs w:val="16"/>
                    <w:lang w:val="en-GB"/>
                  </w:rPr>
                  <m:t xml:space="preserve">, </m:t>
                </m:r>
                <m:sSubSup>
                  <m:sSubSupPr>
                    <m:ctrlPr>
                      <w:rPr>
                        <w:rFonts w:ascii="Cambria Math" w:hAnsi="Cambria Math" w:cs="Times New Roman"/>
                        <w:sz w:val="16"/>
                        <w:szCs w:val="16"/>
                        <w:lang w:val="en-GB"/>
                      </w:rPr>
                    </m:ctrlPr>
                  </m:sSubSupPr>
                  <m:e>
                    <m:r>
                      <w:rPr>
                        <w:rFonts w:ascii="Cambria Math" w:hAnsi="Cambria Math" w:cs="Times New Roman"/>
                        <w:sz w:val="16"/>
                        <w:szCs w:val="16"/>
                        <w:lang w:val="en-GB"/>
                      </w:rPr>
                      <m:t>d</m:t>
                    </m:r>
                  </m:e>
                  <m:sub>
                    <m:r>
                      <w:rPr>
                        <w:rFonts w:ascii="Cambria Math" w:hAnsi="Cambria Math" w:cs="Times New Roman"/>
                        <w:sz w:val="16"/>
                        <w:szCs w:val="16"/>
                        <w:lang w:val="en-GB"/>
                      </w:rPr>
                      <m:t>W,3</m:t>
                    </m:r>
                  </m:sub>
                  <m:sup>
                    <m:r>
                      <w:rPr>
                        <w:rFonts w:ascii="Cambria Math" w:hAnsi="Cambria Math" w:cs="Times New Roman"/>
                        <w:sz w:val="16"/>
                        <w:szCs w:val="16"/>
                        <w:lang w:val="en-GB"/>
                      </w:rPr>
                      <m:t>stable</m:t>
                    </m:r>
                  </m:sup>
                </m:sSubSup>
              </m:oMath>
            </m:oMathPara>
          </w:p>
          <w:p w14:paraId="73149426" w14:textId="48A279D5" w:rsidR="005239BE" w:rsidRPr="001F226C" w:rsidRDefault="00000000" w:rsidP="005239BE">
            <w:pPr>
              <w:pStyle w:val="TableContents"/>
              <w:jc w:val="center"/>
              <w:rPr>
                <w:rFonts w:ascii="Times New Roman" w:hAnsi="Times New Roman" w:cs="Times New Roman"/>
                <w:sz w:val="16"/>
                <w:szCs w:val="16"/>
                <w:lang w:val="en-GB"/>
              </w:rPr>
            </w:pPr>
            <m:oMathPara>
              <m:oMath>
                <m:sSubSup>
                  <m:sSubSupPr>
                    <m:ctrlPr>
                      <w:rPr>
                        <w:rFonts w:ascii="Cambria Math" w:hAnsi="Cambria Math" w:cs="Times New Roman"/>
                        <w:sz w:val="16"/>
                        <w:szCs w:val="16"/>
                        <w:lang w:val="en-GB"/>
                      </w:rPr>
                    </m:ctrlPr>
                  </m:sSubSupPr>
                  <m:e>
                    <m:r>
                      <w:rPr>
                        <w:rFonts w:ascii="Cambria Math" w:hAnsi="Cambria Math" w:cs="Times New Roman"/>
                        <w:sz w:val="16"/>
                        <w:szCs w:val="16"/>
                        <w:lang w:val="en-GB"/>
                      </w:rPr>
                      <m:t>d</m:t>
                    </m:r>
                  </m:e>
                  <m:sub>
                    <m:r>
                      <w:rPr>
                        <w:rFonts w:ascii="Cambria Math" w:hAnsi="Cambria Math" w:cs="Times New Roman"/>
                        <w:sz w:val="16"/>
                        <w:szCs w:val="16"/>
                        <w:lang w:val="en-GB"/>
                      </w:rPr>
                      <m:t>M,2</m:t>
                    </m:r>
                  </m:sub>
                  <m:sup>
                    <m:r>
                      <w:rPr>
                        <w:rFonts w:ascii="Cambria Math" w:hAnsi="Cambria Math" w:cs="Times New Roman"/>
                        <w:sz w:val="16"/>
                        <w:szCs w:val="16"/>
                        <w:lang w:val="en-GB"/>
                      </w:rPr>
                      <m:t>stable</m:t>
                    </m:r>
                  </m:sup>
                </m:sSubSup>
                <m:r>
                  <w:rPr>
                    <w:rFonts w:ascii="Cambria Math" w:hAnsi="Cambria Math" w:cs="Times New Roman"/>
                    <w:sz w:val="16"/>
                    <w:szCs w:val="16"/>
                    <w:lang w:val="en-GB"/>
                  </w:rPr>
                  <m:t xml:space="preserve">, </m:t>
                </m:r>
                <m:sSubSup>
                  <m:sSubSupPr>
                    <m:ctrlPr>
                      <w:rPr>
                        <w:rFonts w:ascii="Cambria Math" w:hAnsi="Cambria Math" w:cs="Times New Roman"/>
                        <w:sz w:val="16"/>
                        <w:szCs w:val="16"/>
                        <w:lang w:val="en-GB"/>
                      </w:rPr>
                    </m:ctrlPr>
                  </m:sSubSupPr>
                  <m:e>
                    <m:r>
                      <w:rPr>
                        <w:rFonts w:ascii="Cambria Math" w:hAnsi="Cambria Math" w:cs="Times New Roman"/>
                        <w:sz w:val="16"/>
                        <w:szCs w:val="16"/>
                        <w:lang w:val="en-GB"/>
                      </w:rPr>
                      <m:t>d</m:t>
                    </m:r>
                  </m:e>
                  <m:sub>
                    <m:r>
                      <w:rPr>
                        <w:rFonts w:ascii="Cambria Math" w:hAnsi="Cambria Math" w:cs="Times New Roman"/>
                        <w:sz w:val="16"/>
                        <w:szCs w:val="16"/>
                        <w:lang w:val="en-GB"/>
                      </w:rPr>
                      <m:t>M,3</m:t>
                    </m:r>
                  </m:sub>
                  <m:sup>
                    <m:r>
                      <w:rPr>
                        <w:rFonts w:ascii="Cambria Math" w:hAnsi="Cambria Math" w:cs="Times New Roman"/>
                        <w:sz w:val="16"/>
                        <w:szCs w:val="16"/>
                        <w:lang w:val="en-GB"/>
                      </w:rPr>
                      <m:t>stable</m:t>
                    </m:r>
                  </m:sup>
                </m:sSubSup>
              </m:oMath>
            </m:oMathPara>
          </w:p>
        </w:tc>
        <w:tc>
          <w:tcPr>
            <w:tcW w:w="3118" w:type="dxa"/>
            <w:tcBorders>
              <w:left w:val="single" w:sz="2" w:space="0" w:color="000000"/>
              <w:bottom w:val="single" w:sz="2" w:space="0" w:color="000000"/>
            </w:tcBorders>
            <w:shd w:val="clear" w:color="auto" w:fill="auto"/>
            <w:tcMar>
              <w:top w:w="55" w:type="dxa"/>
              <w:left w:w="55" w:type="dxa"/>
              <w:bottom w:w="55" w:type="dxa"/>
              <w:right w:w="55" w:type="dxa"/>
            </w:tcMar>
          </w:tcPr>
          <w:p w14:paraId="77847481" w14:textId="0912DBF3" w:rsidR="005239BE" w:rsidRPr="001F226C" w:rsidRDefault="005239BE" w:rsidP="005239BE">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lastRenderedPageBreak/>
              <w:t>Population proportion with stable partnerships in risk groups 2</w:t>
            </w:r>
            <w:r w:rsidR="002E6D95" w:rsidRPr="001F226C">
              <w:rPr>
                <w:rFonts w:ascii="Times New Roman" w:hAnsi="Times New Roman" w:cs="Times New Roman"/>
                <w:sz w:val="16"/>
                <w:szCs w:val="16"/>
                <w:lang w:val="en-GB"/>
              </w:rPr>
              <w:t xml:space="preserve"> and 3</w:t>
            </w:r>
          </w:p>
        </w:tc>
        <w:tc>
          <w:tcPr>
            <w:tcW w:w="3828" w:type="dxa"/>
            <w:tcBorders>
              <w:left w:val="single" w:sz="2" w:space="0" w:color="000000"/>
              <w:bottom w:val="single" w:sz="2" w:space="0" w:color="000000"/>
            </w:tcBorders>
            <w:shd w:val="clear" w:color="auto" w:fill="auto"/>
            <w:tcMar>
              <w:top w:w="0" w:type="dxa"/>
              <w:left w:w="10" w:type="dxa"/>
              <w:bottom w:w="0" w:type="dxa"/>
              <w:right w:w="10" w:type="dxa"/>
            </w:tcMar>
          </w:tcPr>
          <w:p w14:paraId="779B194D" w14:textId="5C3DCF1A" w:rsidR="00020429" w:rsidRPr="001F226C" w:rsidRDefault="00020429" w:rsidP="005239BE">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Set to match the age-group-specific population proportion with stable partnerships:</w:t>
            </w:r>
          </w:p>
          <w:p w14:paraId="1F2A34F5" w14:textId="54345B30" w:rsidR="0063562F" w:rsidRPr="001F226C" w:rsidRDefault="0063562F" w:rsidP="005239BE">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lastRenderedPageBreak/>
              <w:t>75% for West Bengal</w:t>
            </w:r>
          </w:p>
          <w:p w14:paraId="2F767F10" w14:textId="5AA5A14F" w:rsidR="005239BE" w:rsidRPr="001F226C" w:rsidRDefault="0063562F" w:rsidP="005239BE">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72% for Tamil Nadu</w:t>
            </w:r>
          </w:p>
        </w:tc>
        <w:tc>
          <w:tcPr>
            <w:tcW w:w="41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FF54893" w14:textId="31FA82F6" w:rsidR="005239BE" w:rsidRPr="001F226C" w:rsidRDefault="00020429" w:rsidP="005239BE">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lastRenderedPageBreak/>
              <w:t>NA</w:t>
            </w:r>
          </w:p>
        </w:tc>
      </w:tr>
      <w:tr w:rsidR="00DB12FC" w:rsidRPr="001F226C" w14:paraId="5FF272BC" w14:textId="77777777" w:rsidTr="00F867CE">
        <w:tc>
          <w:tcPr>
            <w:tcW w:w="2547" w:type="dxa"/>
            <w:tcBorders>
              <w:left w:val="single" w:sz="2" w:space="0" w:color="000000"/>
              <w:bottom w:val="single" w:sz="2" w:space="0" w:color="000000"/>
            </w:tcBorders>
            <w:shd w:val="clear" w:color="auto" w:fill="auto"/>
            <w:tcMar>
              <w:top w:w="55" w:type="dxa"/>
              <w:left w:w="55" w:type="dxa"/>
              <w:bottom w:w="55" w:type="dxa"/>
              <w:right w:w="55" w:type="dxa"/>
            </w:tcMar>
          </w:tcPr>
          <w:p w14:paraId="298E4C34" w14:textId="4F88BCCF" w:rsidR="00616950" w:rsidRPr="001F226C" w:rsidRDefault="00000000" w:rsidP="00616950">
            <w:pPr>
              <w:pStyle w:val="TableContents"/>
              <w:jc w:val="center"/>
              <w:rPr>
                <w:rFonts w:ascii="Times New Roman" w:hAnsi="Times New Roman" w:cs="Times New Roman"/>
                <w:sz w:val="16"/>
                <w:szCs w:val="16"/>
                <w:lang w:val="en-GB"/>
              </w:rPr>
            </w:pPr>
            <m:oMathPara>
              <m:oMath>
                <m:sSup>
                  <m:sSupPr>
                    <m:ctrlPr>
                      <w:rPr>
                        <w:rFonts w:ascii="Cambria Math" w:hAnsi="Cambria Math" w:cs="Times New Roman"/>
                        <w:sz w:val="16"/>
                        <w:szCs w:val="16"/>
                        <w:lang w:val="en-GB"/>
                      </w:rPr>
                    </m:ctrlPr>
                  </m:sSupPr>
                  <m:e>
                    <m:r>
                      <w:rPr>
                        <w:rFonts w:ascii="Cambria Math" w:hAnsi="Cambria Math" w:cs="Times New Roman"/>
                        <w:sz w:val="16"/>
                        <w:szCs w:val="16"/>
                        <w:lang w:val="en-GB"/>
                      </w:rPr>
                      <m:t>d</m:t>
                    </m:r>
                  </m:e>
                  <m:sup>
                    <m:r>
                      <w:rPr>
                        <w:rFonts w:ascii="Cambria Math" w:hAnsi="Cambria Math" w:cs="Times New Roman"/>
                        <w:sz w:val="16"/>
                        <w:szCs w:val="16"/>
                        <w:lang w:val="en-GB"/>
                      </w:rPr>
                      <m:t>stable</m:t>
                    </m:r>
                  </m:sup>
                </m:sSup>
              </m:oMath>
            </m:oMathPara>
          </w:p>
        </w:tc>
        <w:tc>
          <w:tcPr>
            <w:tcW w:w="3118" w:type="dxa"/>
            <w:tcBorders>
              <w:left w:val="single" w:sz="2" w:space="0" w:color="000000"/>
              <w:bottom w:val="single" w:sz="2" w:space="0" w:color="000000"/>
            </w:tcBorders>
            <w:shd w:val="clear" w:color="auto" w:fill="auto"/>
            <w:tcMar>
              <w:top w:w="55" w:type="dxa"/>
              <w:left w:w="55" w:type="dxa"/>
              <w:bottom w:w="55" w:type="dxa"/>
              <w:right w:w="55" w:type="dxa"/>
            </w:tcMar>
          </w:tcPr>
          <w:p w14:paraId="530E2D53" w14:textId="4FDDB8E3" w:rsidR="00616950" w:rsidRPr="001F226C" w:rsidRDefault="00616950" w:rsidP="00616950">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Overall population proportion with stable partnerships</w:t>
            </w:r>
          </w:p>
        </w:tc>
        <w:tc>
          <w:tcPr>
            <w:tcW w:w="3828" w:type="dxa"/>
            <w:tcBorders>
              <w:left w:val="single" w:sz="2" w:space="0" w:color="000000"/>
              <w:bottom w:val="single" w:sz="2" w:space="0" w:color="000000"/>
            </w:tcBorders>
            <w:shd w:val="clear" w:color="auto" w:fill="auto"/>
            <w:tcMar>
              <w:top w:w="0" w:type="dxa"/>
              <w:left w:w="10" w:type="dxa"/>
              <w:bottom w:w="0" w:type="dxa"/>
              <w:right w:w="10" w:type="dxa"/>
            </w:tcMar>
          </w:tcPr>
          <w:p w14:paraId="40FA5D2B" w14:textId="77777777" w:rsidR="00020429" w:rsidRPr="001F226C" w:rsidRDefault="00020429" w:rsidP="00616950">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Set to match the age-group-specific population proportion with stable partnerships:</w:t>
            </w:r>
          </w:p>
          <w:p w14:paraId="0D6A02B1" w14:textId="422C8515" w:rsidR="00616950" w:rsidRPr="001F226C" w:rsidRDefault="00616950" w:rsidP="00616950">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68% for West Bengal</w:t>
            </w:r>
          </w:p>
          <w:p w14:paraId="61ED9919" w14:textId="1B0B5CC4" w:rsidR="00616950" w:rsidRPr="001F226C" w:rsidRDefault="00616950" w:rsidP="00616950">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65% for Tamil Nadu</w:t>
            </w:r>
          </w:p>
        </w:tc>
        <w:tc>
          <w:tcPr>
            <w:tcW w:w="41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3174D03" w14:textId="389C5728" w:rsidR="00616950" w:rsidRPr="001F226C" w:rsidRDefault="00020429" w:rsidP="00616950">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NA</w:t>
            </w:r>
          </w:p>
        </w:tc>
      </w:tr>
      <w:tr w:rsidR="00DB12FC" w:rsidRPr="001F226C" w14:paraId="4294E154" w14:textId="77777777" w:rsidTr="00F867CE">
        <w:tc>
          <w:tcPr>
            <w:tcW w:w="2547" w:type="dxa"/>
            <w:tcBorders>
              <w:left w:val="single" w:sz="2" w:space="0" w:color="000000"/>
              <w:bottom w:val="single" w:sz="2" w:space="0" w:color="000000"/>
            </w:tcBorders>
            <w:shd w:val="clear" w:color="auto" w:fill="auto"/>
            <w:tcMar>
              <w:top w:w="55" w:type="dxa"/>
              <w:left w:w="55" w:type="dxa"/>
              <w:bottom w:w="55" w:type="dxa"/>
              <w:right w:w="55" w:type="dxa"/>
            </w:tcMar>
          </w:tcPr>
          <w:p w14:paraId="2B023650" w14:textId="64952D81" w:rsidR="00616950" w:rsidRPr="001F226C" w:rsidRDefault="00000000" w:rsidP="00616950">
            <w:pPr>
              <w:pStyle w:val="TableContents"/>
              <w:jc w:val="center"/>
              <w:rPr>
                <w:rFonts w:ascii="Times New Roman" w:hAnsi="Times New Roman" w:cs="Times New Roman"/>
                <w:sz w:val="16"/>
                <w:szCs w:val="16"/>
                <w:lang w:val="en-GB"/>
              </w:rPr>
            </w:pPr>
            <m:oMathPara>
              <m:oMath>
                <m:sSup>
                  <m:sSupPr>
                    <m:ctrlPr>
                      <w:rPr>
                        <w:rFonts w:ascii="Cambria Math" w:hAnsi="Cambria Math" w:cs="Times New Roman"/>
                        <w:sz w:val="16"/>
                        <w:szCs w:val="16"/>
                        <w:lang w:val="en-GB"/>
                      </w:rPr>
                    </m:ctrlPr>
                  </m:sSupPr>
                  <m:e>
                    <m:r>
                      <w:rPr>
                        <w:rFonts w:ascii="Cambria Math" w:hAnsi="Cambria Math" w:cs="Times New Roman"/>
                        <w:sz w:val="16"/>
                        <w:szCs w:val="16"/>
                        <w:lang w:val="en-GB"/>
                      </w:rPr>
                      <m:t>κ</m:t>
                    </m:r>
                  </m:e>
                  <m:sup>
                    <m:r>
                      <w:rPr>
                        <w:rFonts w:ascii="Cambria Math" w:hAnsi="Cambria Math" w:cs="Times New Roman"/>
                        <w:sz w:val="16"/>
                        <w:szCs w:val="16"/>
                        <w:lang w:val="en-GB"/>
                      </w:rPr>
                      <m:t>stable</m:t>
                    </m:r>
                  </m:sup>
                </m:sSup>
              </m:oMath>
            </m:oMathPara>
          </w:p>
        </w:tc>
        <w:tc>
          <w:tcPr>
            <w:tcW w:w="3118" w:type="dxa"/>
            <w:tcBorders>
              <w:left w:val="single" w:sz="2" w:space="0" w:color="000000"/>
              <w:bottom w:val="single" w:sz="2" w:space="0" w:color="000000"/>
            </w:tcBorders>
            <w:shd w:val="clear" w:color="auto" w:fill="auto"/>
            <w:tcMar>
              <w:top w:w="55" w:type="dxa"/>
              <w:left w:w="55" w:type="dxa"/>
              <w:bottom w:w="55" w:type="dxa"/>
              <w:right w:w="55" w:type="dxa"/>
            </w:tcMar>
          </w:tcPr>
          <w:p w14:paraId="0EEA6518" w14:textId="5F051246" w:rsidR="00616950" w:rsidRPr="001F226C" w:rsidRDefault="00616950" w:rsidP="00616950">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Mean age difference in stable partnerships</w:t>
            </w:r>
            <w:r w:rsidR="00EF5D23" w:rsidRPr="001F226C">
              <w:rPr>
                <w:rFonts w:ascii="Times New Roman" w:hAnsi="Times New Roman" w:cs="Times New Roman"/>
                <w:sz w:val="16"/>
                <w:szCs w:val="16"/>
                <w:lang w:val="en-GB"/>
              </w:rPr>
              <w:t xml:space="preserve"> (men minus women)</w:t>
            </w:r>
          </w:p>
        </w:tc>
        <w:tc>
          <w:tcPr>
            <w:tcW w:w="3828" w:type="dxa"/>
            <w:tcBorders>
              <w:left w:val="single" w:sz="2" w:space="0" w:color="000000"/>
              <w:bottom w:val="single" w:sz="2" w:space="0" w:color="000000"/>
            </w:tcBorders>
            <w:shd w:val="clear" w:color="auto" w:fill="auto"/>
            <w:tcMar>
              <w:top w:w="0" w:type="dxa"/>
              <w:left w:w="10" w:type="dxa"/>
              <w:bottom w:w="0" w:type="dxa"/>
              <w:right w:w="10" w:type="dxa"/>
            </w:tcMar>
          </w:tcPr>
          <w:p w14:paraId="68DFB448" w14:textId="56DEC9AB" w:rsidR="00515D51" w:rsidRPr="001F226C" w:rsidRDefault="00515D51" w:rsidP="00616950">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7.29 years for West Bengal</w:t>
            </w:r>
          </w:p>
          <w:p w14:paraId="51350EE0" w14:textId="34C0F0B9" w:rsidR="00616950" w:rsidRPr="001F226C" w:rsidRDefault="00EF5D23" w:rsidP="00616950">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6.58 years for Tamil Nadu</w:t>
            </w:r>
          </w:p>
        </w:tc>
        <w:tc>
          <w:tcPr>
            <w:tcW w:w="41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B889A50" w14:textId="0A880DF6" w:rsidR="00616950" w:rsidRPr="001F226C" w:rsidRDefault="00616950" w:rsidP="00616950">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Estimated from DHS</w:t>
            </w:r>
            <w:r w:rsidR="00467FB2" w:rsidRPr="001F226C">
              <w:rPr>
                <w:rFonts w:ascii="Times New Roman" w:hAnsi="Times New Roman" w:cs="Times New Roman"/>
                <w:sz w:val="16"/>
                <w:szCs w:val="16"/>
                <w:lang w:val="en-GB"/>
              </w:rPr>
              <w:t xml:space="preserve"> for West Bengal and Tamil Nadu</w:t>
            </w:r>
            <w:r w:rsidRPr="001F226C">
              <w:rPr>
                <w:rFonts w:ascii="Times New Roman" w:hAnsi="Times New Roman" w:cs="Times New Roman"/>
                <w:sz w:val="16"/>
                <w:szCs w:val="16"/>
                <w:lang w:val="en-GB"/>
              </w:rPr>
              <w:t>.</w:t>
            </w:r>
            <w:r w:rsidR="00E9639D" w:rsidRPr="00E9639D">
              <w:rPr>
                <w:rFonts w:ascii="Times New Roman" w:hAnsi="Times New Roman" w:cs="Times New Roman"/>
                <w:sz w:val="16"/>
                <w:szCs w:val="16"/>
                <w:vertAlign w:val="superscript"/>
                <w:lang w:val="en-GB"/>
              </w:rPr>
              <w:t>2</w:t>
            </w:r>
            <w:r w:rsidR="00E9639D" w:rsidRPr="001F226C">
              <w:rPr>
                <w:rFonts w:ascii="Times New Roman" w:hAnsi="Times New Roman" w:cs="Times New Roman"/>
                <w:sz w:val="16"/>
                <w:szCs w:val="16"/>
                <w:lang w:val="en-GB"/>
              </w:rPr>
              <w:t xml:space="preserve"> </w:t>
            </w:r>
          </w:p>
        </w:tc>
      </w:tr>
      <w:tr w:rsidR="00DB12FC" w:rsidRPr="001F226C" w14:paraId="7375FFEA" w14:textId="77777777" w:rsidTr="00F867CE">
        <w:tc>
          <w:tcPr>
            <w:tcW w:w="2547" w:type="dxa"/>
            <w:tcBorders>
              <w:left w:val="single" w:sz="2" w:space="0" w:color="000000"/>
              <w:bottom w:val="single" w:sz="2" w:space="0" w:color="000000"/>
            </w:tcBorders>
            <w:shd w:val="clear" w:color="auto" w:fill="auto"/>
            <w:tcMar>
              <w:top w:w="55" w:type="dxa"/>
              <w:left w:w="55" w:type="dxa"/>
              <w:bottom w:w="55" w:type="dxa"/>
              <w:right w:w="55" w:type="dxa"/>
            </w:tcMar>
          </w:tcPr>
          <w:p w14:paraId="18B910E5" w14:textId="10E7B856" w:rsidR="00616950" w:rsidRPr="001F226C" w:rsidRDefault="00000000" w:rsidP="00616950">
            <w:pPr>
              <w:pStyle w:val="TableContents"/>
              <w:jc w:val="center"/>
              <w:rPr>
                <w:rFonts w:ascii="Times New Roman" w:hAnsi="Times New Roman" w:cs="Times New Roman"/>
                <w:sz w:val="16"/>
                <w:szCs w:val="16"/>
                <w:lang w:val="en-GB"/>
              </w:rPr>
            </w:pPr>
            <m:oMathPara>
              <m:oMath>
                <m:sSup>
                  <m:sSupPr>
                    <m:ctrlPr>
                      <w:rPr>
                        <w:rFonts w:ascii="Cambria Math" w:hAnsi="Cambria Math" w:cs="Times New Roman"/>
                        <w:sz w:val="16"/>
                        <w:szCs w:val="16"/>
                        <w:lang w:val="en-GB"/>
                      </w:rPr>
                    </m:ctrlPr>
                  </m:sSupPr>
                  <m:e>
                    <m:r>
                      <w:rPr>
                        <w:rFonts w:ascii="Cambria Math" w:hAnsi="Cambria Math" w:cs="Times New Roman"/>
                        <w:sz w:val="16"/>
                        <w:szCs w:val="16"/>
                        <w:lang w:val="en-GB"/>
                      </w:rPr>
                      <m:t>ω</m:t>
                    </m:r>
                  </m:e>
                  <m:sup>
                    <m:r>
                      <w:rPr>
                        <w:rFonts w:ascii="Cambria Math" w:hAnsi="Cambria Math" w:cs="Times New Roman"/>
                        <w:sz w:val="16"/>
                        <w:szCs w:val="16"/>
                        <w:lang w:val="en-GB"/>
                      </w:rPr>
                      <m:t>main</m:t>
                    </m:r>
                  </m:sup>
                </m:sSup>
              </m:oMath>
            </m:oMathPara>
          </w:p>
        </w:tc>
        <w:tc>
          <w:tcPr>
            <w:tcW w:w="3118" w:type="dxa"/>
            <w:tcBorders>
              <w:left w:val="single" w:sz="2" w:space="0" w:color="000000"/>
              <w:bottom w:val="single" w:sz="2" w:space="0" w:color="000000"/>
            </w:tcBorders>
            <w:shd w:val="clear" w:color="auto" w:fill="auto"/>
            <w:tcMar>
              <w:top w:w="55" w:type="dxa"/>
              <w:left w:w="55" w:type="dxa"/>
              <w:bottom w:w="55" w:type="dxa"/>
              <w:right w:w="55" w:type="dxa"/>
            </w:tcMar>
          </w:tcPr>
          <w:p w14:paraId="0EC9E24F" w14:textId="3511776B" w:rsidR="00616950" w:rsidRPr="001F226C" w:rsidRDefault="00616950" w:rsidP="00616950">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 xml:space="preserve">Mean spread of </w:t>
            </w:r>
            <w:r w:rsidR="00515D51" w:rsidRPr="001F226C">
              <w:rPr>
                <w:rFonts w:ascii="Times New Roman" w:hAnsi="Times New Roman" w:cs="Times New Roman"/>
                <w:sz w:val="16"/>
                <w:szCs w:val="16"/>
                <w:lang w:val="en-GB"/>
              </w:rPr>
              <w:t xml:space="preserve">absolute </w:t>
            </w:r>
            <w:r w:rsidRPr="001F226C">
              <w:rPr>
                <w:rFonts w:ascii="Times New Roman" w:hAnsi="Times New Roman" w:cs="Times New Roman"/>
                <w:sz w:val="16"/>
                <w:szCs w:val="16"/>
                <w:lang w:val="en-GB"/>
              </w:rPr>
              <w:t>age difference in stable partnerships</w:t>
            </w:r>
          </w:p>
        </w:tc>
        <w:tc>
          <w:tcPr>
            <w:tcW w:w="3828" w:type="dxa"/>
            <w:tcBorders>
              <w:left w:val="single" w:sz="2" w:space="0" w:color="000000"/>
              <w:bottom w:val="single" w:sz="2" w:space="0" w:color="000000"/>
            </w:tcBorders>
            <w:shd w:val="clear" w:color="auto" w:fill="auto"/>
            <w:tcMar>
              <w:top w:w="0" w:type="dxa"/>
              <w:left w:w="10" w:type="dxa"/>
              <w:bottom w:w="0" w:type="dxa"/>
              <w:right w:w="10" w:type="dxa"/>
            </w:tcMar>
          </w:tcPr>
          <w:p w14:paraId="2540AE64" w14:textId="77777777" w:rsidR="00616950" w:rsidRPr="001F226C" w:rsidRDefault="00515D51" w:rsidP="00616950">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 xml:space="preserve">3.31 </w:t>
            </w:r>
            <w:r w:rsidR="00F15E2D" w:rsidRPr="001F226C">
              <w:rPr>
                <w:rFonts w:ascii="Times New Roman" w:hAnsi="Times New Roman" w:cs="Times New Roman"/>
                <w:sz w:val="16"/>
                <w:szCs w:val="16"/>
                <w:lang w:val="en-GB"/>
              </w:rPr>
              <w:t>years for West Bengal</w:t>
            </w:r>
          </w:p>
          <w:p w14:paraId="71FB9E41" w14:textId="56C177FF" w:rsidR="00F15E2D" w:rsidRPr="001F226C" w:rsidRDefault="00F15E2D" w:rsidP="00616950">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3.28 years for Tamil Nadu</w:t>
            </w:r>
          </w:p>
        </w:tc>
        <w:tc>
          <w:tcPr>
            <w:tcW w:w="41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F30E3C" w14:textId="0F3601C2" w:rsidR="00616950" w:rsidRPr="001F226C" w:rsidRDefault="00F15E2D" w:rsidP="00616950">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Estimated from DHS</w:t>
            </w:r>
            <w:r w:rsidR="00467FB2" w:rsidRPr="001F226C">
              <w:rPr>
                <w:rFonts w:ascii="Times New Roman" w:hAnsi="Times New Roman" w:cs="Times New Roman"/>
                <w:sz w:val="16"/>
                <w:szCs w:val="16"/>
                <w:lang w:val="en-GB"/>
              </w:rPr>
              <w:t xml:space="preserve"> for West Bengal and Tamil Nadu</w:t>
            </w:r>
            <w:r w:rsidRPr="001F226C">
              <w:rPr>
                <w:rFonts w:ascii="Times New Roman" w:hAnsi="Times New Roman" w:cs="Times New Roman"/>
                <w:sz w:val="16"/>
                <w:szCs w:val="16"/>
                <w:lang w:val="en-GB"/>
              </w:rPr>
              <w:t>.</w:t>
            </w:r>
            <w:r w:rsidR="00E9639D" w:rsidRPr="00E9639D">
              <w:rPr>
                <w:rFonts w:ascii="Times New Roman" w:hAnsi="Times New Roman" w:cs="Times New Roman"/>
                <w:sz w:val="16"/>
                <w:szCs w:val="16"/>
                <w:vertAlign w:val="superscript"/>
                <w:lang w:val="en-GB"/>
              </w:rPr>
              <w:t>2</w:t>
            </w:r>
            <w:r w:rsidR="00E9639D" w:rsidRPr="001F226C">
              <w:rPr>
                <w:rFonts w:ascii="Times New Roman" w:hAnsi="Times New Roman" w:cs="Times New Roman"/>
                <w:sz w:val="16"/>
                <w:szCs w:val="16"/>
                <w:lang w:val="en-GB"/>
              </w:rPr>
              <w:t xml:space="preserve"> </w:t>
            </w:r>
          </w:p>
        </w:tc>
      </w:tr>
      <w:tr w:rsidR="00DB12FC" w:rsidRPr="001F226C" w14:paraId="4F496FBE" w14:textId="77777777" w:rsidTr="00F867CE">
        <w:tc>
          <w:tcPr>
            <w:tcW w:w="2547" w:type="dxa"/>
            <w:tcBorders>
              <w:left w:val="single" w:sz="2" w:space="0" w:color="000000"/>
              <w:bottom w:val="single" w:sz="2" w:space="0" w:color="000000"/>
            </w:tcBorders>
            <w:shd w:val="clear" w:color="auto" w:fill="auto"/>
            <w:tcMar>
              <w:top w:w="55" w:type="dxa"/>
              <w:left w:w="55" w:type="dxa"/>
              <w:bottom w:w="55" w:type="dxa"/>
              <w:right w:w="55" w:type="dxa"/>
            </w:tcMar>
          </w:tcPr>
          <w:p w14:paraId="4F496FBA" w14:textId="77777777" w:rsidR="00616950" w:rsidRPr="001F226C" w:rsidRDefault="00000000" w:rsidP="00616950">
            <w:pPr>
              <w:pStyle w:val="TableContents"/>
              <w:jc w:val="center"/>
              <w:rPr>
                <w:rFonts w:ascii="Times New Roman" w:hAnsi="Times New Roman" w:cs="Times New Roman"/>
                <w:sz w:val="16"/>
                <w:szCs w:val="16"/>
                <w:lang w:val="en-GB"/>
              </w:rPr>
            </w:pPr>
            <m:oMathPara>
              <m:oMathParaPr>
                <m:jc m:val="center"/>
              </m:oMathParaPr>
              <m:oMath>
                <m:sSup>
                  <m:sSupPr>
                    <m:ctrlPr>
                      <w:rPr>
                        <w:rFonts w:ascii="Cambria Math" w:hAnsi="Cambria Math" w:cs="Times New Roman"/>
                        <w:sz w:val="16"/>
                        <w:szCs w:val="16"/>
                        <w:lang w:val="en-GB"/>
                      </w:rPr>
                    </m:ctrlPr>
                  </m:sSupPr>
                  <m:e>
                    <m:r>
                      <w:rPr>
                        <w:rFonts w:ascii="Cambria Math" w:hAnsi="Cambria Math" w:cs="Times New Roman"/>
                        <w:sz w:val="16"/>
                        <w:szCs w:val="16"/>
                        <w:lang w:val="en-GB"/>
                      </w:rPr>
                      <m:t>s</m:t>
                    </m:r>
                  </m:e>
                  <m:sup>
                    <m:r>
                      <w:rPr>
                        <w:rFonts w:ascii="Cambria Math" w:hAnsi="Cambria Math" w:cs="Times New Roman"/>
                        <w:sz w:val="16"/>
                        <w:szCs w:val="16"/>
                        <w:lang w:val="en-GB"/>
                      </w:rPr>
                      <m:t>stable</m:t>
                    </m:r>
                  </m:sup>
                </m:sSup>
              </m:oMath>
            </m:oMathPara>
          </w:p>
        </w:tc>
        <w:tc>
          <w:tcPr>
            <w:tcW w:w="3118" w:type="dxa"/>
            <w:tcBorders>
              <w:left w:val="single" w:sz="2" w:space="0" w:color="000000"/>
              <w:bottom w:val="single" w:sz="2" w:space="0" w:color="000000"/>
            </w:tcBorders>
            <w:shd w:val="clear" w:color="auto" w:fill="auto"/>
            <w:tcMar>
              <w:top w:w="55" w:type="dxa"/>
              <w:left w:w="55" w:type="dxa"/>
              <w:bottom w:w="55" w:type="dxa"/>
              <w:right w:w="55" w:type="dxa"/>
            </w:tcMar>
          </w:tcPr>
          <w:p w14:paraId="4F496FBB" w14:textId="77777777" w:rsidR="00616950" w:rsidRPr="001F226C" w:rsidRDefault="00616950" w:rsidP="00616950">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Mean duration of stable partnerships</w:t>
            </w:r>
          </w:p>
        </w:tc>
        <w:tc>
          <w:tcPr>
            <w:tcW w:w="3828" w:type="dxa"/>
            <w:tcBorders>
              <w:left w:val="single" w:sz="2" w:space="0" w:color="000000"/>
              <w:bottom w:val="single" w:sz="2" w:space="0" w:color="000000"/>
            </w:tcBorders>
            <w:shd w:val="clear" w:color="auto" w:fill="auto"/>
            <w:tcMar>
              <w:top w:w="0" w:type="dxa"/>
              <w:left w:w="10" w:type="dxa"/>
              <w:bottom w:w="0" w:type="dxa"/>
              <w:right w:w="10" w:type="dxa"/>
            </w:tcMar>
          </w:tcPr>
          <w:p w14:paraId="4F496FBC" w14:textId="745A3954" w:rsidR="00616950" w:rsidRPr="001F226C" w:rsidRDefault="00616950" w:rsidP="00616950">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20 years</w:t>
            </w:r>
            <w:r w:rsidR="00800186" w:rsidRPr="001F226C">
              <w:rPr>
                <w:rFonts w:ascii="Times New Roman" w:hAnsi="Times New Roman" w:cs="Times New Roman"/>
                <w:sz w:val="16"/>
                <w:szCs w:val="16"/>
                <w:lang w:val="en-GB"/>
              </w:rPr>
              <w:t>, by assumption.</w:t>
            </w:r>
          </w:p>
        </w:tc>
        <w:tc>
          <w:tcPr>
            <w:tcW w:w="41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F496FBD" w14:textId="0F02FB88" w:rsidR="00616950" w:rsidRPr="001F226C" w:rsidRDefault="00800186" w:rsidP="00616950">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NA</w:t>
            </w:r>
          </w:p>
        </w:tc>
      </w:tr>
      <w:tr w:rsidR="00DB12FC" w:rsidRPr="001F226C" w14:paraId="46F199EF" w14:textId="77777777" w:rsidTr="00F867CE">
        <w:tc>
          <w:tcPr>
            <w:tcW w:w="2547" w:type="dxa"/>
            <w:tcBorders>
              <w:left w:val="single" w:sz="2" w:space="0" w:color="000000"/>
              <w:bottom w:val="single" w:sz="2" w:space="0" w:color="000000"/>
            </w:tcBorders>
            <w:shd w:val="clear" w:color="auto" w:fill="auto"/>
            <w:tcMar>
              <w:top w:w="55" w:type="dxa"/>
              <w:left w:w="55" w:type="dxa"/>
              <w:bottom w:w="55" w:type="dxa"/>
              <w:right w:w="55" w:type="dxa"/>
            </w:tcMar>
          </w:tcPr>
          <w:p w14:paraId="50CBC388" w14:textId="77777777" w:rsidR="00831FB0" w:rsidRPr="001F226C" w:rsidRDefault="00000000" w:rsidP="00831FB0">
            <w:pPr>
              <w:pStyle w:val="TableContents"/>
              <w:jc w:val="center"/>
              <w:rPr>
                <w:rFonts w:ascii="Times New Roman" w:hAnsi="Times New Roman" w:cs="Times New Roman"/>
                <w:sz w:val="16"/>
                <w:szCs w:val="16"/>
                <w:lang w:val="en-GB"/>
              </w:rPr>
            </w:pPr>
            <m:oMathPara>
              <m:oMath>
                <m:sSubSup>
                  <m:sSubSupPr>
                    <m:ctrlPr>
                      <w:rPr>
                        <w:rFonts w:ascii="Cambria Math" w:hAnsi="Cambria Math" w:cs="Times New Roman"/>
                        <w:sz w:val="16"/>
                        <w:szCs w:val="16"/>
                        <w:lang w:val="en-GB"/>
                      </w:rPr>
                    </m:ctrlPr>
                  </m:sSubSupPr>
                  <m:e>
                    <m:r>
                      <w:rPr>
                        <w:rFonts w:ascii="Cambria Math" w:hAnsi="Cambria Math" w:cs="Times New Roman"/>
                        <w:sz w:val="16"/>
                        <w:szCs w:val="16"/>
                        <w:lang w:val="en-GB"/>
                      </w:rPr>
                      <m:t>d</m:t>
                    </m:r>
                  </m:e>
                  <m:sub>
                    <m:r>
                      <w:rPr>
                        <w:rFonts w:ascii="Cambria Math" w:hAnsi="Cambria Math" w:cs="Times New Roman"/>
                        <w:sz w:val="16"/>
                        <w:szCs w:val="16"/>
                        <w:lang w:val="en-GB"/>
                      </w:rPr>
                      <m:t>W,1</m:t>
                    </m:r>
                  </m:sub>
                  <m:sup>
                    <m:r>
                      <w:rPr>
                        <w:rFonts w:ascii="Cambria Math" w:hAnsi="Cambria Math" w:cs="Times New Roman"/>
                        <w:sz w:val="16"/>
                        <w:szCs w:val="16"/>
                        <w:lang w:val="en-GB"/>
                      </w:rPr>
                      <m:t>one-off</m:t>
                    </m:r>
                  </m:sup>
                </m:sSubSup>
                <m:r>
                  <w:rPr>
                    <w:rFonts w:ascii="Cambria Math" w:hAnsi="Cambria Math" w:cs="Times New Roman"/>
                    <w:sz w:val="16"/>
                    <w:szCs w:val="16"/>
                    <w:lang w:val="en-GB"/>
                  </w:rPr>
                  <m:t>,</m:t>
                </m:r>
                <m:sSubSup>
                  <m:sSubSupPr>
                    <m:ctrlPr>
                      <w:rPr>
                        <w:rFonts w:ascii="Cambria Math" w:hAnsi="Cambria Math" w:cs="Times New Roman"/>
                        <w:sz w:val="16"/>
                        <w:szCs w:val="16"/>
                        <w:lang w:val="en-GB"/>
                      </w:rPr>
                    </m:ctrlPr>
                  </m:sSubSupPr>
                  <m:e>
                    <m:r>
                      <w:rPr>
                        <w:rFonts w:ascii="Cambria Math" w:hAnsi="Cambria Math" w:cs="Times New Roman"/>
                        <w:sz w:val="16"/>
                        <w:szCs w:val="16"/>
                        <w:lang w:val="en-GB"/>
                      </w:rPr>
                      <m:t>d</m:t>
                    </m:r>
                  </m:e>
                  <m:sub>
                    <m:r>
                      <w:rPr>
                        <w:rFonts w:ascii="Cambria Math" w:hAnsi="Cambria Math" w:cs="Times New Roman"/>
                        <w:sz w:val="16"/>
                        <w:szCs w:val="16"/>
                        <w:lang w:val="en-GB"/>
                      </w:rPr>
                      <m:t>W,2</m:t>
                    </m:r>
                  </m:sub>
                  <m:sup>
                    <m:r>
                      <w:rPr>
                        <w:rFonts w:ascii="Cambria Math" w:hAnsi="Cambria Math" w:cs="Times New Roman"/>
                        <w:sz w:val="16"/>
                        <w:szCs w:val="16"/>
                        <w:lang w:val="en-GB"/>
                      </w:rPr>
                      <m:t>one-off</m:t>
                    </m:r>
                  </m:sup>
                </m:sSubSup>
                <m:r>
                  <w:rPr>
                    <w:rFonts w:ascii="Cambria Math" w:hAnsi="Cambria Math" w:cs="Times New Roman"/>
                    <w:sz w:val="16"/>
                    <w:szCs w:val="16"/>
                    <w:lang w:val="en-GB"/>
                  </w:rPr>
                  <m:t>,</m:t>
                </m:r>
              </m:oMath>
            </m:oMathPara>
          </w:p>
          <w:p w14:paraId="2DA9ADE9" w14:textId="31B0F55C" w:rsidR="00831FB0" w:rsidRPr="001F226C" w:rsidRDefault="00000000" w:rsidP="00831FB0">
            <w:pPr>
              <w:pStyle w:val="TableContents"/>
              <w:jc w:val="center"/>
              <w:rPr>
                <w:rFonts w:ascii="Times New Roman" w:hAnsi="Times New Roman" w:cs="Times New Roman"/>
                <w:sz w:val="16"/>
                <w:szCs w:val="16"/>
                <w:lang w:val="en-GB"/>
              </w:rPr>
            </w:pPr>
            <m:oMathPara>
              <m:oMath>
                <m:sSubSup>
                  <m:sSubSupPr>
                    <m:ctrlPr>
                      <w:rPr>
                        <w:rFonts w:ascii="Cambria Math" w:hAnsi="Cambria Math" w:cs="Times New Roman"/>
                        <w:sz w:val="16"/>
                        <w:szCs w:val="16"/>
                        <w:lang w:val="en-GB"/>
                      </w:rPr>
                    </m:ctrlPr>
                  </m:sSubSupPr>
                  <m:e>
                    <m:r>
                      <w:rPr>
                        <w:rFonts w:ascii="Cambria Math" w:hAnsi="Cambria Math" w:cs="Times New Roman"/>
                        <w:sz w:val="16"/>
                        <w:szCs w:val="16"/>
                        <w:lang w:val="en-GB"/>
                      </w:rPr>
                      <m:t>d</m:t>
                    </m:r>
                  </m:e>
                  <m:sub>
                    <m:r>
                      <w:rPr>
                        <w:rFonts w:ascii="Cambria Math" w:hAnsi="Cambria Math" w:cs="Times New Roman"/>
                        <w:sz w:val="16"/>
                        <w:szCs w:val="16"/>
                        <w:lang w:val="en-GB"/>
                      </w:rPr>
                      <m:t>M,1</m:t>
                    </m:r>
                  </m:sub>
                  <m:sup>
                    <m:r>
                      <w:rPr>
                        <w:rFonts w:ascii="Cambria Math" w:hAnsi="Cambria Math" w:cs="Times New Roman"/>
                        <w:sz w:val="16"/>
                        <w:szCs w:val="16"/>
                        <w:lang w:val="en-GB"/>
                      </w:rPr>
                      <m:t>one-off</m:t>
                    </m:r>
                  </m:sup>
                </m:sSubSup>
                <m:r>
                  <w:rPr>
                    <w:rFonts w:ascii="Cambria Math" w:hAnsi="Cambria Math" w:cs="Times New Roman"/>
                    <w:sz w:val="16"/>
                    <w:szCs w:val="16"/>
                    <w:lang w:val="en-GB"/>
                  </w:rPr>
                  <m:t>,</m:t>
                </m:r>
                <m:sSubSup>
                  <m:sSubSupPr>
                    <m:ctrlPr>
                      <w:rPr>
                        <w:rFonts w:ascii="Cambria Math" w:hAnsi="Cambria Math" w:cs="Times New Roman"/>
                        <w:sz w:val="16"/>
                        <w:szCs w:val="16"/>
                        <w:lang w:val="en-GB"/>
                      </w:rPr>
                    </m:ctrlPr>
                  </m:sSubSupPr>
                  <m:e>
                    <m:r>
                      <w:rPr>
                        <w:rFonts w:ascii="Cambria Math" w:hAnsi="Cambria Math" w:cs="Times New Roman"/>
                        <w:sz w:val="16"/>
                        <w:szCs w:val="16"/>
                        <w:lang w:val="en-GB"/>
                      </w:rPr>
                      <m:t>d</m:t>
                    </m:r>
                  </m:e>
                  <m:sub>
                    <m:r>
                      <w:rPr>
                        <w:rFonts w:ascii="Cambria Math" w:hAnsi="Cambria Math" w:cs="Times New Roman"/>
                        <w:sz w:val="16"/>
                        <w:szCs w:val="16"/>
                        <w:lang w:val="en-GB"/>
                      </w:rPr>
                      <m:t>M,2</m:t>
                    </m:r>
                  </m:sub>
                  <m:sup>
                    <m:r>
                      <w:rPr>
                        <w:rFonts w:ascii="Cambria Math" w:hAnsi="Cambria Math" w:cs="Times New Roman"/>
                        <w:sz w:val="16"/>
                        <w:szCs w:val="16"/>
                        <w:lang w:val="en-GB"/>
                      </w:rPr>
                      <m:t>one-off</m:t>
                    </m:r>
                  </m:sup>
                </m:sSubSup>
              </m:oMath>
            </m:oMathPara>
          </w:p>
        </w:tc>
        <w:tc>
          <w:tcPr>
            <w:tcW w:w="3118" w:type="dxa"/>
            <w:tcBorders>
              <w:left w:val="single" w:sz="2" w:space="0" w:color="000000"/>
              <w:bottom w:val="single" w:sz="2" w:space="0" w:color="000000"/>
            </w:tcBorders>
            <w:shd w:val="clear" w:color="auto" w:fill="auto"/>
            <w:tcMar>
              <w:top w:w="55" w:type="dxa"/>
              <w:left w:w="55" w:type="dxa"/>
              <w:bottom w:w="55" w:type="dxa"/>
              <w:right w:w="55" w:type="dxa"/>
            </w:tcMar>
          </w:tcPr>
          <w:p w14:paraId="618195B0" w14:textId="620FD803" w:rsidR="00831FB0" w:rsidRPr="001F226C" w:rsidRDefault="00817CB1" w:rsidP="00831FB0">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M</w:t>
            </w:r>
            <w:r w:rsidR="00831FB0" w:rsidRPr="001F226C">
              <w:rPr>
                <w:rFonts w:ascii="Times New Roman" w:hAnsi="Times New Roman" w:cs="Times New Roman"/>
                <w:sz w:val="16"/>
                <w:szCs w:val="16"/>
                <w:lang w:val="en-GB"/>
              </w:rPr>
              <w:t>ean degree of one-off partnerships</w:t>
            </w:r>
            <w:r w:rsidRPr="001F226C">
              <w:rPr>
                <w:rFonts w:ascii="Times New Roman" w:hAnsi="Times New Roman" w:cs="Times New Roman"/>
                <w:sz w:val="16"/>
                <w:szCs w:val="16"/>
                <w:lang w:val="en-GB"/>
              </w:rPr>
              <w:t xml:space="preserve"> in risk groups 1 and 2</w:t>
            </w:r>
          </w:p>
        </w:tc>
        <w:tc>
          <w:tcPr>
            <w:tcW w:w="3828" w:type="dxa"/>
            <w:tcBorders>
              <w:left w:val="single" w:sz="2" w:space="0" w:color="000000"/>
              <w:bottom w:val="single" w:sz="2" w:space="0" w:color="000000"/>
            </w:tcBorders>
            <w:shd w:val="clear" w:color="auto" w:fill="auto"/>
            <w:tcMar>
              <w:top w:w="0" w:type="dxa"/>
              <w:left w:w="10" w:type="dxa"/>
              <w:bottom w:w="0" w:type="dxa"/>
              <w:right w:w="10" w:type="dxa"/>
            </w:tcMar>
          </w:tcPr>
          <w:p w14:paraId="43587D2B" w14:textId="3B7F3C9A" w:rsidR="00831FB0" w:rsidRPr="001F226C" w:rsidRDefault="00831FB0" w:rsidP="00831FB0">
            <w:pPr>
              <w:pStyle w:val="TableContents"/>
              <w:rPr>
                <w:rFonts w:ascii="Times New Roman" w:hAnsi="Times New Roman" w:cs="Times New Roman"/>
                <w:sz w:val="16"/>
                <w:szCs w:val="16"/>
                <w:lang w:val="en-GB"/>
              </w:rPr>
            </w:pPr>
            <w:proofErr w:type="gramStart"/>
            <w:r w:rsidRPr="001F226C">
              <w:rPr>
                <w:rFonts w:ascii="Times New Roman" w:hAnsi="Times New Roman" w:cs="Times New Roman"/>
                <w:sz w:val="16"/>
                <w:szCs w:val="16"/>
                <w:lang w:val="en-GB"/>
              </w:rPr>
              <w:t>0%</w:t>
            </w:r>
            <w:r w:rsidR="00020429" w:rsidRPr="001F226C">
              <w:rPr>
                <w:rFonts w:ascii="Times New Roman" w:hAnsi="Times New Roman" w:cs="Times New Roman"/>
                <w:sz w:val="16"/>
                <w:szCs w:val="16"/>
                <w:lang w:val="en-GB"/>
              </w:rPr>
              <w:t>, by definition</w:t>
            </w:r>
            <w:proofErr w:type="gramEnd"/>
            <w:r w:rsidR="00020429" w:rsidRPr="001F226C">
              <w:rPr>
                <w:rFonts w:ascii="Times New Roman" w:hAnsi="Times New Roman" w:cs="Times New Roman"/>
                <w:sz w:val="16"/>
                <w:szCs w:val="16"/>
                <w:lang w:val="en-GB"/>
              </w:rPr>
              <w:t>.</w:t>
            </w:r>
          </w:p>
        </w:tc>
        <w:tc>
          <w:tcPr>
            <w:tcW w:w="41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C6BA9B" w14:textId="4EDE32F2" w:rsidR="00831FB0" w:rsidRPr="001F226C" w:rsidRDefault="00020429" w:rsidP="00831FB0">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NA</w:t>
            </w:r>
          </w:p>
        </w:tc>
      </w:tr>
      <w:tr w:rsidR="00DB12FC" w:rsidRPr="001F226C" w14:paraId="335FBCF5" w14:textId="77777777" w:rsidTr="00F867CE">
        <w:tc>
          <w:tcPr>
            <w:tcW w:w="2547" w:type="dxa"/>
            <w:tcBorders>
              <w:left w:val="single" w:sz="2" w:space="0" w:color="000000"/>
              <w:bottom w:val="single" w:sz="2" w:space="0" w:color="000000"/>
            </w:tcBorders>
            <w:shd w:val="clear" w:color="auto" w:fill="auto"/>
            <w:tcMar>
              <w:top w:w="55" w:type="dxa"/>
              <w:left w:w="55" w:type="dxa"/>
              <w:bottom w:w="55" w:type="dxa"/>
              <w:right w:w="55" w:type="dxa"/>
            </w:tcMar>
          </w:tcPr>
          <w:p w14:paraId="72965327" w14:textId="0C36E199" w:rsidR="00B81D08" w:rsidRPr="001F226C" w:rsidRDefault="00000000" w:rsidP="00831FB0">
            <w:pPr>
              <w:pStyle w:val="TableContents"/>
              <w:jc w:val="center"/>
              <w:rPr>
                <w:rFonts w:ascii="Times New Roman" w:hAnsi="Times New Roman" w:cs="Times New Roman"/>
                <w:sz w:val="16"/>
                <w:szCs w:val="16"/>
                <w:lang w:val="en-GB"/>
              </w:rPr>
            </w:pPr>
            <m:oMathPara>
              <m:oMath>
                <m:sSubSup>
                  <m:sSubSupPr>
                    <m:ctrlPr>
                      <w:rPr>
                        <w:rFonts w:ascii="Cambria Math" w:hAnsi="Cambria Math" w:cs="Times New Roman"/>
                        <w:sz w:val="16"/>
                        <w:szCs w:val="16"/>
                        <w:lang w:val="en-GB"/>
                      </w:rPr>
                    </m:ctrlPr>
                  </m:sSubSupPr>
                  <m:e>
                    <m:r>
                      <w:rPr>
                        <w:rFonts w:ascii="Cambria Math" w:hAnsi="Cambria Math" w:cs="Times New Roman"/>
                        <w:sz w:val="16"/>
                        <w:szCs w:val="16"/>
                        <w:lang w:val="en-GB"/>
                      </w:rPr>
                      <m:t>d</m:t>
                    </m:r>
                  </m:e>
                  <m:sub>
                    <m:r>
                      <w:rPr>
                        <w:rFonts w:ascii="Cambria Math" w:hAnsi="Cambria Math" w:cs="Times New Roman"/>
                        <w:sz w:val="16"/>
                        <w:szCs w:val="16"/>
                        <w:lang w:val="en-GB"/>
                      </w:rPr>
                      <m:t>M,3</m:t>
                    </m:r>
                  </m:sub>
                  <m:sup>
                    <m:r>
                      <w:rPr>
                        <w:rFonts w:ascii="Cambria Math" w:hAnsi="Cambria Math" w:cs="Times New Roman"/>
                        <w:sz w:val="16"/>
                        <w:szCs w:val="16"/>
                        <w:lang w:val="en-GB"/>
                      </w:rPr>
                      <m:t>one-off</m:t>
                    </m:r>
                  </m:sup>
                </m:sSubSup>
                <m:r>
                  <w:rPr>
                    <w:rFonts w:ascii="Cambria Math" w:hAnsi="Cambria Math" w:cs="Times New Roman"/>
                    <w:sz w:val="16"/>
                    <w:szCs w:val="16"/>
                    <w:lang w:val="en-GB"/>
                  </w:rPr>
                  <m:t>,</m:t>
                </m:r>
                <m:sSubSup>
                  <m:sSubSupPr>
                    <m:ctrlPr>
                      <w:rPr>
                        <w:rFonts w:ascii="Cambria Math" w:hAnsi="Cambria Math" w:cs="Times New Roman"/>
                        <w:sz w:val="16"/>
                        <w:szCs w:val="16"/>
                        <w:lang w:val="en-GB"/>
                      </w:rPr>
                    </m:ctrlPr>
                  </m:sSubSupPr>
                  <m:e>
                    <m:r>
                      <w:rPr>
                        <w:rFonts w:ascii="Cambria Math" w:hAnsi="Cambria Math" w:cs="Times New Roman"/>
                        <w:sz w:val="16"/>
                        <w:szCs w:val="16"/>
                        <w:lang w:val="en-GB"/>
                      </w:rPr>
                      <m:t>d</m:t>
                    </m:r>
                  </m:e>
                  <m:sub>
                    <m:r>
                      <w:rPr>
                        <w:rFonts w:ascii="Cambria Math" w:hAnsi="Cambria Math" w:cs="Times New Roman"/>
                        <w:sz w:val="16"/>
                        <w:szCs w:val="16"/>
                        <w:lang w:val="en-GB"/>
                      </w:rPr>
                      <m:t>M,4</m:t>
                    </m:r>
                  </m:sub>
                  <m:sup>
                    <m:r>
                      <w:rPr>
                        <w:rFonts w:ascii="Cambria Math" w:hAnsi="Cambria Math" w:cs="Times New Roman"/>
                        <w:sz w:val="16"/>
                        <w:szCs w:val="16"/>
                        <w:lang w:val="en-GB"/>
                      </w:rPr>
                      <m:t>one-off</m:t>
                    </m:r>
                  </m:sup>
                </m:sSubSup>
                <m:r>
                  <w:rPr>
                    <w:rFonts w:ascii="Cambria Math" w:hAnsi="Cambria Math" w:cs="Times New Roman"/>
                    <w:sz w:val="16"/>
                    <w:szCs w:val="16"/>
                    <w:lang w:val="en-GB"/>
                  </w:rPr>
                  <m:t>,</m:t>
                </m:r>
                <m:sSubSup>
                  <m:sSubSupPr>
                    <m:ctrlPr>
                      <w:rPr>
                        <w:rFonts w:ascii="Cambria Math" w:hAnsi="Cambria Math" w:cs="Times New Roman"/>
                        <w:sz w:val="16"/>
                        <w:szCs w:val="16"/>
                        <w:lang w:val="en-GB"/>
                      </w:rPr>
                    </m:ctrlPr>
                  </m:sSubSupPr>
                  <m:e>
                    <m:r>
                      <w:rPr>
                        <w:rFonts w:ascii="Cambria Math" w:hAnsi="Cambria Math" w:cs="Times New Roman"/>
                        <w:sz w:val="16"/>
                        <w:szCs w:val="16"/>
                        <w:lang w:val="en-GB"/>
                      </w:rPr>
                      <m:t>d</m:t>
                    </m:r>
                  </m:e>
                  <m:sub>
                    <m:r>
                      <w:rPr>
                        <w:rFonts w:ascii="Cambria Math" w:hAnsi="Cambria Math" w:cs="Times New Roman"/>
                        <w:sz w:val="16"/>
                        <w:szCs w:val="16"/>
                        <w:lang w:val="en-GB"/>
                      </w:rPr>
                      <m:t>M,5</m:t>
                    </m:r>
                  </m:sub>
                  <m:sup>
                    <m:r>
                      <w:rPr>
                        <w:rFonts w:ascii="Cambria Math" w:hAnsi="Cambria Math" w:cs="Times New Roman"/>
                        <w:sz w:val="16"/>
                        <w:szCs w:val="16"/>
                        <w:lang w:val="en-GB"/>
                      </w:rPr>
                      <m:t>one-off</m:t>
                    </m:r>
                  </m:sup>
                </m:sSubSup>
              </m:oMath>
            </m:oMathPara>
          </w:p>
        </w:tc>
        <w:tc>
          <w:tcPr>
            <w:tcW w:w="3118" w:type="dxa"/>
            <w:tcBorders>
              <w:left w:val="single" w:sz="2" w:space="0" w:color="000000"/>
              <w:bottom w:val="single" w:sz="2" w:space="0" w:color="000000"/>
            </w:tcBorders>
            <w:shd w:val="clear" w:color="auto" w:fill="auto"/>
            <w:tcMar>
              <w:top w:w="55" w:type="dxa"/>
              <w:left w:w="55" w:type="dxa"/>
              <w:bottom w:w="55" w:type="dxa"/>
              <w:right w:w="55" w:type="dxa"/>
            </w:tcMar>
          </w:tcPr>
          <w:p w14:paraId="0C010298" w14:textId="4E0206A7" w:rsidR="00B81D08" w:rsidRPr="001F226C" w:rsidRDefault="00B81D08" w:rsidP="00831FB0">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 xml:space="preserve">Mean degree of one-off partnerships in risk groups </w:t>
            </w:r>
            <w:r w:rsidR="009C4849" w:rsidRPr="001F226C">
              <w:rPr>
                <w:rFonts w:ascii="Times New Roman" w:hAnsi="Times New Roman" w:cs="Times New Roman"/>
                <w:sz w:val="16"/>
                <w:szCs w:val="16"/>
                <w:lang w:val="en-GB"/>
              </w:rPr>
              <w:t xml:space="preserve">3, 4, </w:t>
            </w:r>
            <w:r w:rsidRPr="001F226C">
              <w:rPr>
                <w:rFonts w:ascii="Times New Roman" w:hAnsi="Times New Roman" w:cs="Times New Roman"/>
                <w:sz w:val="16"/>
                <w:szCs w:val="16"/>
                <w:lang w:val="en-GB"/>
              </w:rPr>
              <w:t xml:space="preserve">and </w:t>
            </w:r>
            <w:r w:rsidR="009C4849" w:rsidRPr="001F226C">
              <w:rPr>
                <w:rFonts w:ascii="Times New Roman" w:hAnsi="Times New Roman" w:cs="Times New Roman"/>
                <w:sz w:val="16"/>
                <w:szCs w:val="16"/>
                <w:lang w:val="en-GB"/>
              </w:rPr>
              <w:t>5</w:t>
            </w:r>
            <w:r w:rsidR="00B05AE4" w:rsidRPr="001F226C">
              <w:rPr>
                <w:rFonts w:ascii="Times New Roman" w:hAnsi="Times New Roman" w:cs="Times New Roman"/>
                <w:sz w:val="16"/>
                <w:szCs w:val="16"/>
                <w:lang w:val="en-GB"/>
              </w:rPr>
              <w:t xml:space="preserve"> in men</w:t>
            </w:r>
          </w:p>
        </w:tc>
        <w:tc>
          <w:tcPr>
            <w:tcW w:w="3828" w:type="dxa"/>
            <w:tcBorders>
              <w:left w:val="single" w:sz="2" w:space="0" w:color="000000"/>
              <w:bottom w:val="single" w:sz="2" w:space="0" w:color="000000"/>
            </w:tcBorders>
            <w:shd w:val="clear" w:color="auto" w:fill="auto"/>
            <w:tcMar>
              <w:top w:w="0" w:type="dxa"/>
              <w:left w:w="10" w:type="dxa"/>
              <w:bottom w:w="0" w:type="dxa"/>
              <w:right w:w="10" w:type="dxa"/>
            </w:tcMar>
          </w:tcPr>
          <w:p w14:paraId="471E15FB" w14:textId="77777777" w:rsidR="00B81D08" w:rsidRPr="001F226C" w:rsidRDefault="000A7E8A" w:rsidP="00831FB0">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1.65, 1.65, 25.57 for West Bengal</w:t>
            </w:r>
          </w:p>
          <w:p w14:paraId="1DCD4BC6" w14:textId="0552959B" w:rsidR="000A7E8A" w:rsidRPr="001F226C" w:rsidRDefault="000A7E8A" w:rsidP="00831FB0">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3.41, 3.41, 70.58 for Tamil Nadu</w:t>
            </w:r>
          </w:p>
        </w:tc>
        <w:tc>
          <w:tcPr>
            <w:tcW w:w="41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7E0BA80" w14:textId="35DF575D" w:rsidR="00B81D08" w:rsidRPr="001F226C" w:rsidRDefault="004F49CC" w:rsidP="00831FB0">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Derived</w:t>
            </w:r>
            <w:r w:rsidR="00F74B30" w:rsidRPr="001F226C">
              <w:rPr>
                <w:rFonts w:ascii="Times New Roman" w:hAnsi="Times New Roman" w:cs="Times New Roman"/>
                <w:sz w:val="16"/>
                <w:szCs w:val="16"/>
                <w:lang w:val="en-GB"/>
              </w:rPr>
              <w:t xml:space="preserve"> on in Table 6.4 of the NACO report.</w:t>
            </w:r>
            <w:r w:rsidR="00E9639D" w:rsidRPr="00E9639D">
              <w:rPr>
                <w:rFonts w:ascii="Times New Roman" w:hAnsi="Times New Roman" w:cs="Times New Roman"/>
                <w:sz w:val="16"/>
                <w:szCs w:val="16"/>
                <w:vertAlign w:val="superscript"/>
                <w:lang w:val="en-GB"/>
              </w:rPr>
              <w:t>5</w:t>
            </w:r>
            <w:r w:rsidR="00E9639D" w:rsidRPr="001F226C">
              <w:rPr>
                <w:rFonts w:ascii="Times New Roman" w:hAnsi="Times New Roman" w:cs="Times New Roman"/>
                <w:sz w:val="16"/>
                <w:szCs w:val="16"/>
                <w:lang w:val="en-GB"/>
              </w:rPr>
              <w:t xml:space="preserve"> </w:t>
            </w:r>
          </w:p>
        </w:tc>
      </w:tr>
      <w:tr w:rsidR="00DB12FC" w:rsidRPr="001F226C" w14:paraId="18DE0F2F" w14:textId="77777777" w:rsidTr="00F867CE">
        <w:tc>
          <w:tcPr>
            <w:tcW w:w="2547" w:type="dxa"/>
            <w:tcBorders>
              <w:left w:val="single" w:sz="2" w:space="0" w:color="000000"/>
              <w:bottom w:val="single" w:sz="2" w:space="0" w:color="000000"/>
            </w:tcBorders>
            <w:shd w:val="clear" w:color="auto" w:fill="auto"/>
            <w:tcMar>
              <w:top w:w="55" w:type="dxa"/>
              <w:left w:w="55" w:type="dxa"/>
              <w:bottom w:w="55" w:type="dxa"/>
              <w:right w:w="55" w:type="dxa"/>
            </w:tcMar>
          </w:tcPr>
          <w:p w14:paraId="1705EC38" w14:textId="664B482D" w:rsidR="00831FB0" w:rsidRPr="001F226C" w:rsidRDefault="00000000" w:rsidP="00831FB0">
            <w:pPr>
              <w:pStyle w:val="TableContents"/>
              <w:jc w:val="center"/>
              <w:rPr>
                <w:rFonts w:ascii="Times New Roman" w:hAnsi="Times New Roman" w:cs="Times New Roman"/>
                <w:sz w:val="16"/>
                <w:szCs w:val="16"/>
                <w:lang w:val="en-GB"/>
              </w:rPr>
            </w:pPr>
            <m:oMathPara>
              <m:oMath>
                <m:sSubSup>
                  <m:sSubSupPr>
                    <m:ctrlPr>
                      <w:rPr>
                        <w:rFonts w:ascii="Cambria Math" w:hAnsi="Cambria Math" w:cs="Times New Roman"/>
                        <w:sz w:val="16"/>
                        <w:szCs w:val="16"/>
                        <w:lang w:val="en-GB"/>
                      </w:rPr>
                    </m:ctrlPr>
                  </m:sSubSupPr>
                  <m:e>
                    <m:r>
                      <w:rPr>
                        <w:rFonts w:ascii="Cambria Math" w:hAnsi="Cambria Math" w:cs="Times New Roman"/>
                        <w:sz w:val="16"/>
                        <w:szCs w:val="16"/>
                        <w:lang w:val="en-GB"/>
                      </w:rPr>
                      <m:t>d</m:t>
                    </m:r>
                  </m:e>
                  <m:sub>
                    <m:r>
                      <w:rPr>
                        <w:rFonts w:ascii="Cambria Math" w:hAnsi="Cambria Math" w:cs="Times New Roman"/>
                        <w:sz w:val="16"/>
                        <w:szCs w:val="16"/>
                        <w:lang w:val="en-GB"/>
                      </w:rPr>
                      <m:t>W,3</m:t>
                    </m:r>
                  </m:sub>
                  <m:sup>
                    <m:r>
                      <w:rPr>
                        <w:rFonts w:ascii="Cambria Math" w:hAnsi="Cambria Math" w:cs="Times New Roman"/>
                        <w:sz w:val="16"/>
                        <w:szCs w:val="16"/>
                        <w:lang w:val="en-GB"/>
                      </w:rPr>
                      <m:t>one-off</m:t>
                    </m:r>
                  </m:sup>
                </m:sSubSup>
                <m:r>
                  <w:rPr>
                    <w:rFonts w:ascii="Cambria Math" w:hAnsi="Cambria Math" w:cs="Times New Roman"/>
                    <w:sz w:val="16"/>
                    <w:szCs w:val="16"/>
                    <w:lang w:val="en-GB"/>
                  </w:rPr>
                  <m:t>,</m:t>
                </m:r>
                <m:sSubSup>
                  <m:sSubSupPr>
                    <m:ctrlPr>
                      <w:rPr>
                        <w:rFonts w:ascii="Cambria Math" w:hAnsi="Cambria Math" w:cs="Times New Roman"/>
                        <w:sz w:val="16"/>
                        <w:szCs w:val="16"/>
                        <w:lang w:val="en-GB"/>
                      </w:rPr>
                    </m:ctrlPr>
                  </m:sSubSupPr>
                  <m:e>
                    <m:r>
                      <w:rPr>
                        <w:rFonts w:ascii="Cambria Math" w:hAnsi="Cambria Math" w:cs="Times New Roman"/>
                        <w:sz w:val="16"/>
                        <w:szCs w:val="16"/>
                        <w:lang w:val="en-GB"/>
                      </w:rPr>
                      <m:t>d</m:t>
                    </m:r>
                  </m:e>
                  <m:sub>
                    <m:r>
                      <w:rPr>
                        <w:rFonts w:ascii="Cambria Math" w:hAnsi="Cambria Math" w:cs="Times New Roman"/>
                        <w:sz w:val="16"/>
                        <w:szCs w:val="16"/>
                        <w:lang w:val="en-GB"/>
                      </w:rPr>
                      <m:t>W,4</m:t>
                    </m:r>
                  </m:sub>
                  <m:sup>
                    <m:r>
                      <w:rPr>
                        <w:rFonts w:ascii="Cambria Math" w:hAnsi="Cambria Math" w:cs="Times New Roman"/>
                        <w:sz w:val="16"/>
                        <w:szCs w:val="16"/>
                        <w:lang w:val="en-GB"/>
                      </w:rPr>
                      <m:t>one-off</m:t>
                    </m:r>
                  </m:sup>
                </m:sSubSup>
              </m:oMath>
            </m:oMathPara>
          </w:p>
        </w:tc>
        <w:tc>
          <w:tcPr>
            <w:tcW w:w="3118" w:type="dxa"/>
            <w:tcBorders>
              <w:left w:val="single" w:sz="2" w:space="0" w:color="000000"/>
              <w:bottom w:val="single" w:sz="2" w:space="0" w:color="000000"/>
            </w:tcBorders>
            <w:shd w:val="clear" w:color="auto" w:fill="auto"/>
            <w:tcMar>
              <w:top w:w="55" w:type="dxa"/>
              <w:left w:w="55" w:type="dxa"/>
              <w:bottom w:w="55" w:type="dxa"/>
              <w:right w:w="55" w:type="dxa"/>
            </w:tcMar>
          </w:tcPr>
          <w:p w14:paraId="5943EBA5" w14:textId="102BA7B9" w:rsidR="00831FB0" w:rsidRPr="001F226C" w:rsidRDefault="00817CB1" w:rsidP="00831FB0">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Mean degree of one-off partnerships in risk groups 3 and 4 in women</w:t>
            </w:r>
          </w:p>
        </w:tc>
        <w:tc>
          <w:tcPr>
            <w:tcW w:w="3828" w:type="dxa"/>
            <w:tcBorders>
              <w:left w:val="single" w:sz="2" w:space="0" w:color="000000"/>
              <w:bottom w:val="single" w:sz="2" w:space="0" w:color="000000"/>
            </w:tcBorders>
            <w:shd w:val="clear" w:color="auto" w:fill="auto"/>
            <w:tcMar>
              <w:top w:w="0" w:type="dxa"/>
              <w:left w:w="10" w:type="dxa"/>
              <w:bottom w:w="0" w:type="dxa"/>
              <w:right w:w="10" w:type="dxa"/>
            </w:tcMar>
          </w:tcPr>
          <w:p w14:paraId="1DB407D6" w14:textId="35F494FD" w:rsidR="00831FB0" w:rsidRPr="001F226C" w:rsidRDefault="00020429" w:rsidP="00831FB0">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2,</w:t>
            </w:r>
            <w:r w:rsidR="00A86ABD" w:rsidRPr="001F226C">
              <w:rPr>
                <w:rFonts w:ascii="Times New Roman" w:hAnsi="Times New Roman" w:cs="Times New Roman"/>
                <w:sz w:val="16"/>
                <w:szCs w:val="16"/>
                <w:lang w:val="en-GB"/>
              </w:rPr>
              <w:t xml:space="preserve"> by assumption.</w:t>
            </w:r>
          </w:p>
        </w:tc>
        <w:tc>
          <w:tcPr>
            <w:tcW w:w="41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E9D6FFD" w14:textId="481F2D70" w:rsidR="00831FB0" w:rsidRPr="001F226C" w:rsidRDefault="00A86ABD" w:rsidP="00831FB0">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NA</w:t>
            </w:r>
          </w:p>
        </w:tc>
      </w:tr>
      <w:tr w:rsidR="00DB12FC" w:rsidRPr="001F226C" w14:paraId="24A343FB" w14:textId="77777777" w:rsidTr="00F867CE">
        <w:tc>
          <w:tcPr>
            <w:tcW w:w="2547" w:type="dxa"/>
            <w:tcBorders>
              <w:left w:val="single" w:sz="2" w:space="0" w:color="000000"/>
              <w:bottom w:val="single" w:sz="2" w:space="0" w:color="000000"/>
            </w:tcBorders>
            <w:shd w:val="clear" w:color="auto" w:fill="auto"/>
            <w:tcMar>
              <w:top w:w="55" w:type="dxa"/>
              <w:left w:w="55" w:type="dxa"/>
              <w:bottom w:w="55" w:type="dxa"/>
              <w:right w:w="55" w:type="dxa"/>
            </w:tcMar>
          </w:tcPr>
          <w:p w14:paraId="4C2274D5" w14:textId="46526632" w:rsidR="00831FB0" w:rsidRPr="001F226C" w:rsidRDefault="00000000" w:rsidP="00831FB0">
            <w:pPr>
              <w:pStyle w:val="TableContents"/>
              <w:jc w:val="center"/>
              <w:rPr>
                <w:rFonts w:ascii="Times New Roman" w:hAnsi="Times New Roman" w:cs="Times New Roman"/>
                <w:sz w:val="16"/>
                <w:szCs w:val="16"/>
                <w:lang w:val="en-GB"/>
              </w:rPr>
            </w:pPr>
            <m:oMathPara>
              <m:oMath>
                <m:sSubSup>
                  <m:sSubSupPr>
                    <m:ctrlPr>
                      <w:rPr>
                        <w:rFonts w:ascii="Cambria Math" w:hAnsi="Cambria Math" w:cs="Times New Roman"/>
                        <w:sz w:val="16"/>
                        <w:szCs w:val="16"/>
                        <w:lang w:val="en-GB"/>
                      </w:rPr>
                    </m:ctrlPr>
                  </m:sSubSupPr>
                  <m:e>
                    <m:r>
                      <w:rPr>
                        <w:rFonts w:ascii="Cambria Math" w:hAnsi="Cambria Math" w:cs="Times New Roman"/>
                        <w:sz w:val="16"/>
                        <w:szCs w:val="16"/>
                        <w:lang w:val="en-GB"/>
                      </w:rPr>
                      <m:t>d</m:t>
                    </m:r>
                  </m:e>
                  <m:sub>
                    <m:r>
                      <w:rPr>
                        <w:rFonts w:ascii="Cambria Math" w:hAnsi="Cambria Math" w:cs="Times New Roman"/>
                        <w:sz w:val="16"/>
                        <w:szCs w:val="16"/>
                        <w:lang w:val="en-GB"/>
                      </w:rPr>
                      <m:t>W,5</m:t>
                    </m:r>
                  </m:sub>
                  <m:sup>
                    <m:r>
                      <w:rPr>
                        <w:rFonts w:ascii="Cambria Math" w:hAnsi="Cambria Math" w:cs="Times New Roman"/>
                        <w:sz w:val="16"/>
                        <w:szCs w:val="16"/>
                        <w:lang w:val="en-GB"/>
                      </w:rPr>
                      <m:t>one-off</m:t>
                    </m:r>
                  </m:sup>
                </m:sSubSup>
              </m:oMath>
            </m:oMathPara>
          </w:p>
        </w:tc>
        <w:tc>
          <w:tcPr>
            <w:tcW w:w="3118" w:type="dxa"/>
            <w:tcBorders>
              <w:left w:val="single" w:sz="2" w:space="0" w:color="000000"/>
              <w:bottom w:val="single" w:sz="2" w:space="0" w:color="000000"/>
            </w:tcBorders>
            <w:shd w:val="clear" w:color="auto" w:fill="auto"/>
            <w:tcMar>
              <w:top w:w="55" w:type="dxa"/>
              <w:left w:w="55" w:type="dxa"/>
              <w:bottom w:w="55" w:type="dxa"/>
              <w:right w:w="55" w:type="dxa"/>
            </w:tcMar>
          </w:tcPr>
          <w:p w14:paraId="60E8DB48" w14:textId="610C7384" w:rsidR="00831FB0" w:rsidRPr="001F226C" w:rsidRDefault="00831FB0" w:rsidP="00831FB0">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Sex- and age-group-specific mean degree of one-off partnerships</w:t>
            </w:r>
          </w:p>
        </w:tc>
        <w:tc>
          <w:tcPr>
            <w:tcW w:w="3828" w:type="dxa"/>
            <w:tcBorders>
              <w:left w:val="single" w:sz="2" w:space="0" w:color="000000"/>
              <w:bottom w:val="single" w:sz="2" w:space="0" w:color="000000"/>
            </w:tcBorders>
            <w:shd w:val="clear" w:color="auto" w:fill="auto"/>
            <w:tcMar>
              <w:top w:w="0" w:type="dxa"/>
              <w:left w:w="10" w:type="dxa"/>
              <w:bottom w:w="0" w:type="dxa"/>
              <w:right w:w="10" w:type="dxa"/>
            </w:tcMar>
          </w:tcPr>
          <w:p w14:paraId="01E40DE0" w14:textId="25C2E5FD" w:rsidR="00020429" w:rsidRPr="001F226C" w:rsidRDefault="00020429" w:rsidP="00831FB0">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Set to match the degree of one-off partnerships in men:</w:t>
            </w:r>
          </w:p>
          <w:p w14:paraId="24A9CE27" w14:textId="33CB1D9C" w:rsidR="00C74AEA" w:rsidRPr="001F226C" w:rsidRDefault="00C74AEA" w:rsidP="00831FB0">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 xml:space="preserve">89.1 </w:t>
            </w:r>
            <w:r w:rsidR="00EF3C92" w:rsidRPr="001F226C">
              <w:rPr>
                <w:rFonts w:ascii="Times New Roman" w:hAnsi="Times New Roman" w:cs="Times New Roman"/>
                <w:sz w:val="16"/>
                <w:szCs w:val="16"/>
                <w:lang w:val="en-GB"/>
              </w:rPr>
              <w:t xml:space="preserve">partners per year </w:t>
            </w:r>
            <w:r w:rsidRPr="001F226C">
              <w:rPr>
                <w:rFonts w:ascii="Times New Roman" w:hAnsi="Times New Roman" w:cs="Times New Roman"/>
                <w:sz w:val="16"/>
                <w:szCs w:val="16"/>
                <w:lang w:val="en-GB"/>
              </w:rPr>
              <w:t>in West Bengal</w:t>
            </w:r>
          </w:p>
          <w:p w14:paraId="60313312" w14:textId="18699A0B" w:rsidR="00831FB0" w:rsidRPr="001F226C" w:rsidRDefault="0099686B" w:rsidP="00831FB0">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373.</w:t>
            </w:r>
            <w:r w:rsidR="00C74AEA" w:rsidRPr="001F226C">
              <w:rPr>
                <w:rFonts w:ascii="Times New Roman" w:hAnsi="Times New Roman" w:cs="Times New Roman"/>
                <w:sz w:val="16"/>
                <w:szCs w:val="16"/>
                <w:lang w:val="en-GB"/>
              </w:rPr>
              <w:t>4</w:t>
            </w:r>
            <w:r w:rsidRPr="001F226C">
              <w:rPr>
                <w:rFonts w:ascii="Times New Roman" w:hAnsi="Times New Roman" w:cs="Times New Roman"/>
                <w:sz w:val="16"/>
                <w:szCs w:val="16"/>
                <w:lang w:val="en-GB"/>
              </w:rPr>
              <w:t xml:space="preserve"> </w:t>
            </w:r>
            <w:r w:rsidR="00EF3C92" w:rsidRPr="001F226C">
              <w:rPr>
                <w:rFonts w:ascii="Times New Roman" w:hAnsi="Times New Roman" w:cs="Times New Roman"/>
                <w:sz w:val="16"/>
                <w:szCs w:val="16"/>
                <w:lang w:val="en-GB"/>
              </w:rPr>
              <w:t xml:space="preserve">partners per year </w:t>
            </w:r>
            <w:r w:rsidRPr="001F226C">
              <w:rPr>
                <w:rFonts w:ascii="Times New Roman" w:hAnsi="Times New Roman" w:cs="Times New Roman"/>
                <w:sz w:val="16"/>
                <w:szCs w:val="16"/>
                <w:lang w:val="en-GB"/>
              </w:rPr>
              <w:t>in Tamil Nadu</w:t>
            </w:r>
          </w:p>
        </w:tc>
        <w:tc>
          <w:tcPr>
            <w:tcW w:w="41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A81122E" w14:textId="28FA5ACC" w:rsidR="00831FB0" w:rsidRPr="001F226C" w:rsidRDefault="00020429" w:rsidP="00831FB0">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NA</w:t>
            </w:r>
          </w:p>
        </w:tc>
      </w:tr>
      <w:tr w:rsidR="00DB12FC" w:rsidRPr="001F226C" w14:paraId="61C3674C" w14:textId="77777777" w:rsidTr="00F867CE">
        <w:tc>
          <w:tcPr>
            <w:tcW w:w="2547" w:type="dxa"/>
            <w:tcBorders>
              <w:left w:val="single" w:sz="2" w:space="0" w:color="000000"/>
              <w:bottom w:val="single" w:sz="2" w:space="0" w:color="000000"/>
            </w:tcBorders>
            <w:shd w:val="clear" w:color="auto" w:fill="auto"/>
            <w:tcMar>
              <w:top w:w="55" w:type="dxa"/>
              <w:left w:w="55" w:type="dxa"/>
              <w:bottom w:w="55" w:type="dxa"/>
              <w:right w:w="55" w:type="dxa"/>
            </w:tcMar>
          </w:tcPr>
          <w:p w14:paraId="2D8B905C" w14:textId="591CACD9" w:rsidR="005C42AC" w:rsidRPr="001F226C" w:rsidRDefault="00000000" w:rsidP="005C42AC">
            <w:pPr>
              <w:pStyle w:val="TableContents"/>
              <w:jc w:val="center"/>
              <w:rPr>
                <w:rFonts w:ascii="Times New Roman" w:hAnsi="Times New Roman" w:cs="Times New Roman"/>
                <w:sz w:val="16"/>
                <w:szCs w:val="16"/>
                <w:lang w:val="en-GB"/>
              </w:rPr>
            </w:pPr>
            <m:oMathPara>
              <m:oMath>
                <m:sSup>
                  <m:sSupPr>
                    <m:ctrlPr>
                      <w:rPr>
                        <w:rFonts w:ascii="Cambria Math" w:hAnsi="Cambria Math" w:cs="Times New Roman"/>
                        <w:sz w:val="16"/>
                        <w:szCs w:val="16"/>
                        <w:lang w:val="en-GB"/>
                      </w:rPr>
                    </m:ctrlPr>
                  </m:sSupPr>
                  <m:e>
                    <m:r>
                      <w:rPr>
                        <w:rFonts w:ascii="Cambria Math" w:hAnsi="Cambria Math" w:cs="Times New Roman"/>
                        <w:sz w:val="16"/>
                        <w:szCs w:val="16"/>
                        <w:lang w:val="en-GB"/>
                      </w:rPr>
                      <m:t>d</m:t>
                    </m:r>
                  </m:e>
                  <m:sup>
                    <m:r>
                      <w:rPr>
                        <w:rFonts w:ascii="Cambria Math" w:hAnsi="Cambria Math" w:cs="Times New Roman"/>
                        <w:sz w:val="16"/>
                        <w:szCs w:val="16"/>
                        <w:lang w:val="en-GB"/>
                      </w:rPr>
                      <m:t>one-off</m:t>
                    </m:r>
                  </m:sup>
                </m:sSup>
              </m:oMath>
            </m:oMathPara>
          </w:p>
        </w:tc>
        <w:tc>
          <w:tcPr>
            <w:tcW w:w="3118" w:type="dxa"/>
            <w:tcBorders>
              <w:left w:val="single" w:sz="2" w:space="0" w:color="000000"/>
              <w:bottom w:val="single" w:sz="2" w:space="0" w:color="000000"/>
            </w:tcBorders>
            <w:shd w:val="clear" w:color="auto" w:fill="auto"/>
            <w:tcMar>
              <w:top w:w="55" w:type="dxa"/>
              <w:left w:w="55" w:type="dxa"/>
              <w:bottom w:w="55" w:type="dxa"/>
              <w:right w:w="55" w:type="dxa"/>
            </w:tcMar>
          </w:tcPr>
          <w:p w14:paraId="5E2DE2C6" w14:textId="76ED2985" w:rsidR="005C42AC" w:rsidRPr="001F226C" w:rsidRDefault="005C42AC" w:rsidP="005C42AC">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Overall mean degree of one-off partnerships</w:t>
            </w:r>
          </w:p>
        </w:tc>
        <w:tc>
          <w:tcPr>
            <w:tcW w:w="3828" w:type="dxa"/>
            <w:tcBorders>
              <w:left w:val="single" w:sz="2" w:space="0" w:color="000000"/>
              <w:bottom w:val="single" w:sz="2" w:space="0" w:color="000000"/>
            </w:tcBorders>
            <w:shd w:val="clear" w:color="auto" w:fill="auto"/>
            <w:tcMar>
              <w:top w:w="0" w:type="dxa"/>
              <w:left w:w="10" w:type="dxa"/>
              <w:bottom w:w="0" w:type="dxa"/>
              <w:right w:w="10" w:type="dxa"/>
            </w:tcMar>
          </w:tcPr>
          <w:p w14:paraId="40240B0F" w14:textId="41C90A80" w:rsidR="00020429" w:rsidRPr="001F226C" w:rsidRDefault="00020429" w:rsidP="005C42AC">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Set to match the risk-group-specific degree with one-off partnerships:</w:t>
            </w:r>
          </w:p>
          <w:p w14:paraId="234FBA6E" w14:textId="2C3C69CE" w:rsidR="00024CFD" w:rsidRPr="001F226C" w:rsidRDefault="00024CFD" w:rsidP="005C42AC">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 xml:space="preserve">0.50 </w:t>
            </w:r>
            <w:r w:rsidR="00EE3833" w:rsidRPr="001F226C">
              <w:rPr>
                <w:rFonts w:ascii="Times New Roman" w:hAnsi="Times New Roman" w:cs="Times New Roman"/>
                <w:sz w:val="16"/>
                <w:szCs w:val="16"/>
                <w:lang w:val="en-GB"/>
              </w:rPr>
              <w:t xml:space="preserve">partners per year </w:t>
            </w:r>
            <w:r w:rsidRPr="001F226C">
              <w:rPr>
                <w:rFonts w:ascii="Times New Roman" w:hAnsi="Times New Roman" w:cs="Times New Roman"/>
                <w:sz w:val="16"/>
                <w:szCs w:val="16"/>
                <w:lang w:val="en-GB"/>
              </w:rPr>
              <w:t>for West Bengal</w:t>
            </w:r>
          </w:p>
          <w:p w14:paraId="2161BF77" w14:textId="24B3D61C" w:rsidR="005C42AC" w:rsidRPr="001F226C" w:rsidRDefault="005C42AC" w:rsidP="005C42AC">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 xml:space="preserve">1.98 </w:t>
            </w:r>
            <w:r w:rsidR="00EE3833" w:rsidRPr="001F226C">
              <w:rPr>
                <w:rFonts w:ascii="Times New Roman" w:hAnsi="Times New Roman" w:cs="Times New Roman"/>
                <w:sz w:val="16"/>
                <w:szCs w:val="16"/>
                <w:lang w:val="en-GB"/>
              </w:rPr>
              <w:t xml:space="preserve">partners per year </w:t>
            </w:r>
            <w:r w:rsidRPr="001F226C">
              <w:rPr>
                <w:rFonts w:ascii="Times New Roman" w:hAnsi="Times New Roman" w:cs="Times New Roman"/>
                <w:sz w:val="16"/>
                <w:szCs w:val="16"/>
                <w:lang w:val="en-GB"/>
              </w:rPr>
              <w:t>for Tamil Nadu</w:t>
            </w:r>
          </w:p>
        </w:tc>
        <w:tc>
          <w:tcPr>
            <w:tcW w:w="41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FB0389" w14:textId="18EC1D38" w:rsidR="005C42AC" w:rsidRPr="001F226C" w:rsidRDefault="00020429" w:rsidP="005C42AC">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NA</w:t>
            </w:r>
          </w:p>
        </w:tc>
      </w:tr>
      <w:tr w:rsidR="00DB12FC" w:rsidRPr="001F226C" w14:paraId="5903DFCC" w14:textId="77777777" w:rsidTr="00F867CE">
        <w:tc>
          <w:tcPr>
            <w:tcW w:w="2547" w:type="dxa"/>
            <w:tcBorders>
              <w:left w:val="single" w:sz="2" w:space="0" w:color="000000"/>
              <w:bottom w:val="single" w:sz="2" w:space="0" w:color="000000"/>
            </w:tcBorders>
            <w:shd w:val="clear" w:color="auto" w:fill="auto"/>
            <w:tcMar>
              <w:top w:w="55" w:type="dxa"/>
              <w:left w:w="55" w:type="dxa"/>
              <w:bottom w:w="55" w:type="dxa"/>
              <w:right w:w="55" w:type="dxa"/>
            </w:tcMar>
          </w:tcPr>
          <w:p w14:paraId="11DF753C" w14:textId="1204872C" w:rsidR="005C42AC" w:rsidRPr="001F226C" w:rsidRDefault="00000000" w:rsidP="005C42AC">
            <w:pPr>
              <w:pStyle w:val="TableContents"/>
              <w:jc w:val="center"/>
              <w:rPr>
                <w:rFonts w:ascii="Times New Roman" w:hAnsi="Times New Roman" w:cs="Times New Roman"/>
                <w:sz w:val="16"/>
                <w:szCs w:val="16"/>
                <w:lang w:val="en-GB"/>
              </w:rPr>
            </w:pPr>
            <m:oMathPara>
              <m:oMath>
                <m:sSup>
                  <m:sSupPr>
                    <m:ctrlPr>
                      <w:rPr>
                        <w:rFonts w:ascii="Cambria Math" w:hAnsi="Cambria Math" w:cs="Times New Roman"/>
                        <w:sz w:val="16"/>
                        <w:szCs w:val="16"/>
                        <w:lang w:val="en-GB"/>
                      </w:rPr>
                    </m:ctrlPr>
                  </m:sSupPr>
                  <m:e>
                    <m:r>
                      <w:rPr>
                        <w:rFonts w:ascii="Cambria Math" w:hAnsi="Cambria Math" w:cs="Times New Roman"/>
                        <w:sz w:val="16"/>
                        <w:szCs w:val="16"/>
                        <w:lang w:val="en-GB"/>
                      </w:rPr>
                      <m:t>s</m:t>
                    </m:r>
                  </m:e>
                  <m:sup>
                    <m:r>
                      <w:rPr>
                        <w:rFonts w:ascii="Cambria Math" w:hAnsi="Cambria Math" w:cs="Times New Roman"/>
                        <w:sz w:val="16"/>
                        <w:szCs w:val="16"/>
                        <w:lang w:val="en-GB"/>
                      </w:rPr>
                      <m:t>one-off</m:t>
                    </m:r>
                  </m:sup>
                </m:sSup>
              </m:oMath>
            </m:oMathPara>
          </w:p>
        </w:tc>
        <w:tc>
          <w:tcPr>
            <w:tcW w:w="3118" w:type="dxa"/>
            <w:tcBorders>
              <w:left w:val="single" w:sz="2" w:space="0" w:color="000000"/>
              <w:bottom w:val="single" w:sz="2" w:space="0" w:color="000000"/>
            </w:tcBorders>
            <w:shd w:val="clear" w:color="auto" w:fill="auto"/>
            <w:tcMar>
              <w:top w:w="55" w:type="dxa"/>
              <w:left w:w="55" w:type="dxa"/>
              <w:bottom w:w="55" w:type="dxa"/>
              <w:right w:w="55" w:type="dxa"/>
            </w:tcMar>
          </w:tcPr>
          <w:p w14:paraId="44A129A8" w14:textId="52C2637F" w:rsidR="005C42AC" w:rsidRPr="001F226C" w:rsidRDefault="005C42AC" w:rsidP="005C42AC">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Mean duration of one-off partnerships</w:t>
            </w:r>
          </w:p>
        </w:tc>
        <w:tc>
          <w:tcPr>
            <w:tcW w:w="3828" w:type="dxa"/>
            <w:tcBorders>
              <w:left w:val="single" w:sz="2" w:space="0" w:color="000000"/>
              <w:bottom w:val="single" w:sz="2" w:space="0" w:color="000000"/>
            </w:tcBorders>
            <w:shd w:val="clear" w:color="auto" w:fill="auto"/>
            <w:tcMar>
              <w:top w:w="0" w:type="dxa"/>
              <w:left w:w="10" w:type="dxa"/>
              <w:bottom w:w="0" w:type="dxa"/>
              <w:right w:w="10" w:type="dxa"/>
            </w:tcMar>
          </w:tcPr>
          <w:p w14:paraId="75C7E7F9" w14:textId="5BF51676" w:rsidR="005C42AC" w:rsidRPr="001F226C" w:rsidRDefault="005C42AC" w:rsidP="005C42AC">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1 unit of time step</w:t>
            </w:r>
            <w:r w:rsidR="00020429" w:rsidRPr="001F226C">
              <w:rPr>
                <w:rFonts w:ascii="Times New Roman" w:hAnsi="Times New Roman" w:cs="Times New Roman"/>
                <w:sz w:val="16"/>
                <w:szCs w:val="16"/>
                <w:lang w:val="en-GB"/>
              </w:rPr>
              <w:t>, by definition</w:t>
            </w:r>
          </w:p>
        </w:tc>
        <w:tc>
          <w:tcPr>
            <w:tcW w:w="41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11B2269" w14:textId="5B7529CE" w:rsidR="005C42AC" w:rsidRPr="001F226C" w:rsidRDefault="00020429" w:rsidP="005C42AC">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NA</w:t>
            </w:r>
          </w:p>
        </w:tc>
      </w:tr>
      <w:tr w:rsidR="00DB12FC" w:rsidRPr="001F226C" w14:paraId="58B0B5D7" w14:textId="77777777" w:rsidTr="00F867CE">
        <w:tc>
          <w:tcPr>
            <w:tcW w:w="2547" w:type="dxa"/>
            <w:tcBorders>
              <w:left w:val="single" w:sz="2" w:space="0" w:color="000000"/>
              <w:bottom w:val="single" w:sz="2" w:space="0" w:color="000000"/>
            </w:tcBorders>
            <w:shd w:val="clear" w:color="auto" w:fill="auto"/>
            <w:tcMar>
              <w:top w:w="55" w:type="dxa"/>
              <w:left w:w="55" w:type="dxa"/>
              <w:bottom w:w="55" w:type="dxa"/>
              <w:right w:w="55" w:type="dxa"/>
            </w:tcMar>
          </w:tcPr>
          <w:p w14:paraId="70E88E69" w14:textId="0DCB7289" w:rsidR="005C42AC" w:rsidRPr="001F226C" w:rsidRDefault="00000000" w:rsidP="005C42AC">
            <w:pPr>
              <w:pStyle w:val="TableContents"/>
              <w:jc w:val="center"/>
              <w:rPr>
                <w:rFonts w:ascii="Times New Roman" w:hAnsi="Times New Roman" w:cs="Times New Roman"/>
                <w:sz w:val="16"/>
                <w:szCs w:val="16"/>
                <w:lang w:val="en-GB"/>
              </w:rPr>
            </w:pPr>
            <m:oMathPara>
              <m:oMath>
                <m:sSup>
                  <m:sSupPr>
                    <m:ctrlPr>
                      <w:rPr>
                        <w:rFonts w:ascii="Cambria Math" w:hAnsi="Cambria Math" w:cs="Times New Roman"/>
                        <w:sz w:val="16"/>
                        <w:szCs w:val="16"/>
                        <w:lang w:val="en-GB"/>
                      </w:rPr>
                    </m:ctrlPr>
                  </m:sSupPr>
                  <m:e>
                    <m:r>
                      <w:rPr>
                        <w:rFonts w:ascii="Cambria Math" w:hAnsi="Cambria Math" w:cs="Times New Roman"/>
                        <w:sz w:val="16"/>
                        <w:szCs w:val="16"/>
                        <w:lang w:val="en-GB"/>
                      </w:rPr>
                      <m:t>r</m:t>
                    </m:r>
                  </m:e>
                  <m:sup>
                    <m:r>
                      <w:rPr>
                        <w:rFonts w:ascii="Cambria Math" w:hAnsi="Cambria Math" w:cs="Times New Roman"/>
                        <w:sz w:val="16"/>
                        <w:szCs w:val="16"/>
                        <w:lang w:val="en-GB"/>
                      </w:rPr>
                      <m:t>stable</m:t>
                    </m:r>
                  </m:sup>
                </m:sSup>
              </m:oMath>
            </m:oMathPara>
          </w:p>
        </w:tc>
        <w:tc>
          <w:tcPr>
            <w:tcW w:w="3118" w:type="dxa"/>
            <w:tcBorders>
              <w:left w:val="single" w:sz="2" w:space="0" w:color="000000"/>
              <w:bottom w:val="single" w:sz="2" w:space="0" w:color="000000"/>
            </w:tcBorders>
            <w:shd w:val="clear" w:color="auto" w:fill="auto"/>
            <w:tcMar>
              <w:top w:w="55" w:type="dxa"/>
              <w:left w:w="55" w:type="dxa"/>
              <w:bottom w:w="55" w:type="dxa"/>
              <w:right w:w="55" w:type="dxa"/>
            </w:tcMar>
          </w:tcPr>
          <w:p w14:paraId="24AC337A" w14:textId="50F597FB" w:rsidR="005C42AC" w:rsidRPr="001F226C" w:rsidRDefault="005C42AC" w:rsidP="005C42AC">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Mean number of sex acts per time step within stable partnerships according to a Poisson distribution</w:t>
            </w:r>
          </w:p>
        </w:tc>
        <w:tc>
          <w:tcPr>
            <w:tcW w:w="3828" w:type="dxa"/>
            <w:tcBorders>
              <w:left w:val="single" w:sz="2" w:space="0" w:color="000000"/>
              <w:bottom w:val="single" w:sz="2" w:space="0" w:color="000000"/>
            </w:tcBorders>
            <w:shd w:val="clear" w:color="auto" w:fill="auto"/>
            <w:tcMar>
              <w:top w:w="0" w:type="dxa"/>
              <w:left w:w="10" w:type="dxa"/>
              <w:bottom w:w="0" w:type="dxa"/>
              <w:right w:w="10" w:type="dxa"/>
            </w:tcMar>
          </w:tcPr>
          <w:p w14:paraId="7D3FA75C" w14:textId="4F9027DF" w:rsidR="005C42AC" w:rsidRPr="001F226C" w:rsidRDefault="005C42AC" w:rsidP="005C42AC">
            <w:pPr>
              <w:pStyle w:val="TableContents"/>
              <w:rPr>
                <w:rFonts w:ascii="Times New Roman" w:hAnsi="Times New Roman" w:cs="Times New Roman"/>
                <w:sz w:val="16"/>
                <w:szCs w:val="16"/>
                <w:lang w:val="en-GB"/>
              </w:rPr>
            </w:pPr>
          </w:p>
        </w:tc>
        <w:tc>
          <w:tcPr>
            <w:tcW w:w="41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E045EAC" w14:textId="77777777" w:rsidR="005C42AC" w:rsidRPr="001F226C" w:rsidRDefault="005C42AC" w:rsidP="005C42AC">
            <w:pPr>
              <w:pStyle w:val="TableContents"/>
              <w:rPr>
                <w:rFonts w:ascii="Times New Roman" w:hAnsi="Times New Roman" w:cs="Times New Roman"/>
                <w:sz w:val="16"/>
                <w:szCs w:val="16"/>
                <w:lang w:val="en-GB"/>
              </w:rPr>
            </w:pPr>
          </w:p>
        </w:tc>
      </w:tr>
      <w:tr w:rsidR="00DB12FC" w:rsidRPr="001F226C" w14:paraId="4F496FC3" w14:textId="77777777" w:rsidTr="00F867CE">
        <w:tc>
          <w:tcPr>
            <w:tcW w:w="2547" w:type="dxa"/>
            <w:tcBorders>
              <w:left w:val="single" w:sz="2" w:space="0" w:color="000000"/>
              <w:bottom w:val="single" w:sz="2" w:space="0" w:color="000000"/>
            </w:tcBorders>
            <w:shd w:val="clear" w:color="auto" w:fill="auto"/>
            <w:tcMar>
              <w:top w:w="55" w:type="dxa"/>
              <w:left w:w="55" w:type="dxa"/>
              <w:bottom w:w="55" w:type="dxa"/>
              <w:right w:w="55" w:type="dxa"/>
            </w:tcMar>
          </w:tcPr>
          <w:p w14:paraId="4F496FBF" w14:textId="3F2F4FD4" w:rsidR="005C42AC" w:rsidRPr="001F226C" w:rsidRDefault="00000000" w:rsidP="005C42AC">
            <w:pPr>
              <w:pStyle w:val="TableContents"/>
              <w:jc w:val="center"/>
              <w:rPr>
                <w:rFonts w:ascii="Times New Roman" w:hAnsi="Times New Roman" w:cs="Times New Roman"/>
                <w:sz w:val="16"/>
                <w:szCs w:val="16"/>
                <w:lang w:val="en-GB"/>
              </w:rPr>
            </w:pPr>
            <m:oMathPara>
              <m:oMathParaPr>
                <m:jc m:val="center"/>
              </m:oMathParaPr>
              <m:oMath>
                <m:sSup>
                  <m:sSupPr>
                    <m:ctrlPr>
                      <w:rPr>
                        <w:rFonts w:ascii="Cambria Math" w:hAnsi="Cambria Math" w:cs="Times New Roman"/>
                        <w:sz w:val="16"/>
                        <w:szCs w:val="16"/>
                        <w:lang w:val="en-GB"/>
                      </w:rPr>
                    </m:ctrlPr>
                  </m:sSupPr>
                  <m:e>
                    <m:r>
                      <w:rPr>
                        <w:rFonts w:ascii="Cambria Math" w:hAnsi="Cambria Math" w:cs="Times New Roman"/>
                        <w:sz w:val="16"/>
                        <w:szCs w:val="16"/>
                        <w:lang w:val="en-GB"/>
                      </w:rPr>
                      <m:t>r</m:t>
                    </m:r>
                  </m:e>
                  <m:sup>
                    <m:r>
                      <w:rPr>
                        <w:rFonts w:ascii="Cambria Math" w:hAnsi="Cambria Math" w:cs="Times New Roman"/>
                        <w:sz w:val="16"/>
                        <w:szCs w:val="16"/>
                        <w:lang w:val="en-GB"/>
                      </w:rPr>
                      <m:t>one-off</m:t>
                    </m:r>
                  </m:sup>
                </m:sSup>
              </m:oMath>
            </m:oMathPara>
          </w:p>
        </w:tc>
        <w:tc>
          <w:tcPr>
            <w:tcW w:w="3118" w:type="dxa"/>
            <w:tcBorders>
              <w:left w:val="single" w:sz="2" w:space="0" w:color="000000"/>
              <w:bottom w:val="single" w:sz="2" w:space="0" w:color="000000"/>
            </w:tcBorders>
            <w:shd w:val="clear" w:color="auto" w:fill="auto"/>
            <w:tcMar>
              <w:top w:w="55" w:type="dxa"/>
              <w:left w:w="55" w:type="dxa"/>
              <w:bottom w:w="55" w:type="dxa"/>
              <w:right w:w="55" w:type="dxa"/>
            </w:tcMar>
          </w:tcPr>
          <w:p w14:paraId="4F496FC0" w14:textId="4509719E" w:rsidR="005C42AC" w:rsidRPr="001F226C" w:rsidRDefault="005C42AC" w:rsidP="005C42AC">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Fixed number of sex acts per time step within one-off partnerships</w:t>
            </w:r>
          </w:p>
        </w:tc>
        <w:tc>
          <w:tcPr>
            <w:tcW w:w="3828" w:type="dxa"/>
            <w:tcBorders>
              <w:left w:val="single" w:sz="2" w:space="0" w:color="000000"/>
              <w:bottom w:val="single" w:sz="2" w:space="0" w:color="000000"/>
            </w:tcBorders>
            <w:shd w:val="clear" w:color="auto" w:fill="auto"/>
            <w:tcMar>
              <w:top w:w="0" w:type="dxa"/>
              <w:left w:w="10" w:type="dxa"/>
              <w:bottom w:w="0" w:type="dxa"/>
              <w:right w:w="10" w:type="dxa"/>
            </w:tcMar>
          </w:tcPr>
          <w:p w14:paraId="4F496FC1" w14:textId="68FEEA19" w:rsidR="005C42AC" w:rsidRPr="001F226C" w:rsidRDefault="005C42AC" w:rsidP="005C42AC">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1</w:t>
            </w:r>
            <w:r w:rsidR="00024CFD" w:rsidRPr="001F226C">
              <w:rPr>
                <w:rFonts w:ascii="Times New Roman" w:hAnsi="Times New Roman" w:cs="Times New Roman"/>
                <w:sz w:val="16"/>
                <w:szCs w:val="16"/>
                <w:lang w:val="en-GB"/>
              </w:rPr>
              <w:t xml:space="preserve"> </w:t>
            </w:r>
            <w:r w:rsidRPr="001F226C">
              <w:rPr>
                <w:rFonts w:ascii="Times New Roman" w:hAnsi="Times New Roman" w:cs="Times New Roman"/>
                <w:sz w:val="16"/>
                <w:szCs w:val="16"/>
                <w:lang w:val="en-GB"/>
              </w:rPr>
              <w:t>act</w:t>
            </w:r>
            <w:r w:rsidR="00020429" w:rsidRPr="001F226C">
              <w:rPr>
                <w:rFonts w:ascii="Times New Roman" w:hAnsi="Times New Roman" w:cs="Times New Roman"/>
                <w:sz w:val="16"/>
                <w:szCs w:val="16"/>
                <w:lang w:val="en-GB"/>
              </w:rPr>
              <w:t>,</w:t>
            </w:r>
            <w:r w:rsidR="00A86ABD" w:rsidRPr="001F226C">
              <w:rPr>
                <w:rFonts w:ascii="Times New Roman" w:hAnsi="Times New Roman" w:cs="Times New Roman"/>
                <w:sz w:val="16"/>
                <w:szCs w:val="16"/>
                <w:lang w:val="en-GB"/>
              </w:rPr>
              <w:t xml:space="preserve"> by definition</w:t>
            </w:r>
          </w:p>
        </w:tc>
        <w:tc>
          <w:tcPr>
            <w:tcW w:w="41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F496FC2" w14:textId="5F13FAD5" w:rsidR="005C42AC" w:rsidRPr="001F226C" w:rsidRDefault="00A86ABD" w:rsidP="005C42AC">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NA</w:t>
            </w:r>
          </w:p>
        </w:tc>
      </w:tr>
      <w:tr w:rsidR="00DB12FC" w:rsidRPr="001F226C" w14:paraId="32B81E75" w14:textId="77777777" w:rsidTr="00F867CE">
        <w:tc>
          <w:tcPr>
            <w:tcW w:w="2547" w:type="dxa"/>
            <w:tcBorders>
              <w:left w:val="single" w:sz="2" w:space="0" w:color="000000"/>
              <w:bottom w:val="single" w:sz="2" w:space="0" w:color="000000"/>
            </w:tcBorders>
            <w:shd w:val="clear" w:color="auto" w:fill="auto"/>
            <w:tcMar>
              <w:top w:w="55" w:type="dxa"/>
              <w:left w:w="55" w:type="dxa"/>
              <w:bottom w:w="55" w:type="dxa"/>
              <w:right w:w="55" w:type="dxa"/>
            </w:tcMar>
          </w:tcPr>
          <w:p w14:paraId="2CA78FFE" w14:textId="3E4E7B51" w:rsidR="005C42AC" w:rsidRPr="001F226C" w:rsidRDefault="00000000" w:rsidP="005C42AC">
            <w:pPr>
              <w:pStyle w:val="TableContents"/>
              <w:jc w:val="center"/>
              <w:rPr>
                <w:rFonts w:ascii="Times New Roman" w:hAnsi="Times New Roman" w:cs="Times New Roman"/>
                <w:sz w:val="16"/>
                <w:szCs w:val="16"/>
                <w:lang w:val="en-GB"/>
              </w:rPr>
            </w:pPr>
            <m:oMathPara>
              <m:oMath>
                <m:sSup>
                  <m:sSupPr>
                    <m:ctrlPr>
                      <w:rPr>
                        <w:rFonts w:ascii="Cambria Math" w:hAnsi="Cambria Math" w:cs="Times New Roman"/>
                        <w:sz w:val="16"/>
                        <w:szCs w:val="16"/>
                        <w:lang w:val="en-GB"/>
                      </w:rPr>
                    </m:ctrlPr>
                  </m:sSupPr>
                  <m:e>
                    <m:r>
                      <w:rPr>
                        <w:rFonts w:ascii="Cambria Math" w:hAnsi="Cambria Math" w:cs="Times New Roman"/>
                        <w:sz w:val="16"/>
                        <w:szCs w:val="16"/>
                        <w:lang w:val="en-GB"/>
                      </w:rPr>
                      <m:t>θ</m:t>
                    </m:r>
                  </m:e>
                  <m:sup>
                    <m:r>
                      <w:rPr>
                        <w:rFonts w:ascii="Cambria Math" w:hAnsi="Cambria Math" w:cs="Times New Roman"/>
                        <w:sz w:val="16"/>
                        <w:szCs w:val="16"/>
                        <w:lang w:val="en-GB"/>
                      </w:rPr>
                      <m:t>one-off</m:t>
                    </m:r>
                  </m:sup>
                </m:sSup>
              </m:oMath>
            </m:oMathPara>
          </w:p>
        </w:tc>
        <w:tc>
          <w:tcPr>
            <w:tcW w:w="3118" w:type="dxa"/>
            <w:tcBorders>
              <w:left w:val="single" w:sz="2" w:space="0" w:color="000000"/>
              <w:bottom w:val="single" w:sz="2" w:space="0" w:color="000000"/>
            </w:tcBorders>
            <w:shd w:val="clear" w:color="auto" w:fill="auto"/>
            <w:tcMar>
              <w:top w:w="55" w:type="dxa"/>
              <w:left w:w="55" w:type="dxa"/>
              <w:bottom w:w="55" w:type="dxa"/>
              <w:right w:w="55" w:type="dxa"/>
            </w:tcMar>
          </w:tcPr>
          <w:p w14:paraId="334BBD0B" w14:textId="3246F06F" w:rsidR="005C42AC" w:rsidRPr="001F226C" w:rsidRDefault="005C42AC" w:rsidP="005C42AC">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One-off partnership underreporting rate</w:t>
            </w:r>
          </w:p>
        </w:tc>
        <w:tc>
          <w:tcPr>
            <w:tcW w:w="3828" w:type="dxa"/>
            <w:tcBorders>
              <w:left w:val="single" w:sz="2" w:space="0" w:color="000000"/>
              <w:bottom w:val="single" w:sz="2" w:space="0" w:color="000000"/>
            </w:tcBorders>
            <w:shd w:val="clear" w:color="auto" w:fill="auto"/>
            <w:tcMar>
              <w:top w:w="0" w:type="dxa"/>
              <w:left w:w="10" w:type="dxa"/>
              <w:bottom w:w="0" w:type="dxa"/>
              <w:right w:w="10" w:type="dxa"/>
            </w:tcMar>
          </w:tcPr>
          <w:p w14:paraId="7BA02A8E" w14:textId="38855784" w:rsidR="005C42AC" w:rsidRPr="001F226C" w:rsidRDefault="009B3E05" w:rsidP="005C42AC">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Derived from model calibration with the following r</w:t>
            </w:r>
            <w:r w:rsidR="00954453" w:rsidRPr="001F226C">
              <w:rPr>
                <w:rFonts w:ascii="Times New Roman" w:hAnsi="Times New Roman" w:cs="Times New Roman"/>
                <w:sz w:val="16"/>
                <w:szCs w:val="16"/>
                <w:lang w:val="en-GB"/>
              </w:rPr>
              <w:t xml:space="preserve">ange for candidate values: </w:t>
            </w:r>
            <w:r w:rsidR="005C42AC" w:rsidRPr="001F226C">
              <w:rPr>
                <w:rFonts w:ascii="Times New Roman" w:hAnsi="Times New Roman" w:cs="Times New Roman"/>
                <w:sz w:val="16"/>
                <w:szCs w:val="16"/>
                <w:lang w:val="en-GB"/>
              </w:rPr>
              <w:t>(8, 20)</w:t>
            </w:r>
          </w:p>
        </w:tc>
        <w:tc>
          <w:tcPr>
            <w:tcW w:w="41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A8D8870" w14:textId="7894A29A" w:rsidR="005C42AC" w:rsidRPr="001F226C" w:rsidRDefault="009B3E05" w:rsidP="005C42AC">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NA</w:t>
            </w:r>
          </w:p>
        </w:tc>
      </w:tr>
      <w:tr w:rsidR="00DB12FC" w:rsidRPr="001F226C" w14:paraId="4F496FC5" w14:textId="77777777">
        <w:tc>
          <w:tcPr>
            <w:tcW w:w="13618" w:type="dxa"/>
            <w:gridSpan w:val="4"/>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F496FC4" w14:textId="77777777" w:rsidR="005C42AC" w:rsidRPr="001F226C" w:rsidRDefault="005C42AC" w:rsidP="005C42AC">
            <w:pPr>
              <w:pStyle w:val="TableContents"/>
              <w:rPr>
                <w:rFonts w:ascii="Times New Roman" w:hAnsi="Times New Roman" w:cs="Times New Roman"/>
                <w:i/>
                <w:iCs/>
                <w:sz w:val="16"/>
                <w:szCs w:val="16"/>
                <w:lang w:val="en-GB"/>
              </w:rPr>
            </w:pPr>
            <w:r w:rsidRPr="001F226C">
              <w:rPr>
                <w:rFonts w:ascii="Times New Roman" w:hAnsi="Times New Roman" w:cs="Times New Roman"/>
                <w:i/>
                <w:iCs/>
                <w:sz w:val="16"/>
                <w:szCs w:val="16"/>
                <w:lang w:val="en-GB"/>
              </w:rPr>
              <w:t>HPV natural history</w:t>
            </w:r>
          </w:p>
        </w:tc>
      </w:tr>
      <w:tr w:rsidR="00DB12FC" w:rsidRPr="001F226C" w14:paraId="4F496FCA" w14:textId="77777777" w:rsidTr="00F867CE">
        <w:tc>
          <w:tcPr>
            <w:tcW w:w="2547" w:type="dxa"/>
            <w:tcBorders>
              <w:left w:val="single" w:sz="2" w:space="0" w:color="000000"/>
              <w:bottom w:val="single" w:sz="4" w:space="0" w:color="000000"/>
            </w:tcBorders>
            <w:shd w:val="clear" w:color="auto" w:fill="auto"/>
            <w:tcMar>
              <w:top w:w="55" w:type="dxa"/>
              <w:left w:w="55" w:type="dxa"/>
              <w:bottom w:w="55" w:type="dxa"/>
              <w:right w:w="55" w:type="dxa"/>
            </w:tcMar>
          </w:tcPr>
          <w:p w14:paraId="4F496FC6" w14:textId="77777777" w:rsidR="005C42AC" w:rsidRPr="001F226C" w:rsidRDefault="00000000" w:rsidP="005C42AC">
            <w:pPr>
              <w:pStyle w:val="TableContents"/>
              <w:jc w:val="center"/>
              <w:rPr>
                <w:rFonts w:ascii="Times New Roman" w:hAnsi="Times New Roman" w:cs="Times New Roman"/>
                <w:sz w:val="16"/>
                <w:szCs w:val="16"/>
                <w:lang w:val="en-GB"/>
              </w:rPr>
            </w:pPr>
            <m:oMathPara>
              <m:oMathParaPr>
                <m:jc m:val="center"/>
              </m:oMathParaPr>
              <m:oMath>
                <m:sSub>
                  <m:sSubPr>
                    <m:ctrlPr>
                      <w:rPr>
                        <w:rFonts w:ascii="Cambria Math" w:hAnsi="Cambria Math" w:cs="Times New Roman"/>
                        <w:sz w:val="16"/>
                        <w:szCs w:val="16"/>
                        <w:lang w:val="en-GB"/>
                      </w:rPr>
                    </m:ctrlPr>
                  </m:sSubPr>
                  <m:e>
                    <m:r>
                      <w:rPr>
                        <w:rFonts w:ascii="Cambria Math" w:hAnsi="Cambria Math" w:cs="Times New Roman"/>
                        <w:sz w:val="16"/>
                        <w:szCs w:val="16"/>
                        <w:lang w:val="en-GB"/>
                      </w:rPr>
                      <m:t>β</m:t>
                    </m:r>
                  </m:e>
                  <m:sub>
                    <m:r>
                      <w:rPr>
                        <w:rFonts w:ascii="Cambria Math" w:hAnsi="Cambria Math" w:cs="Times New Roman"/>
                        <w:sz w:val="16"/>
                        <w:szCs w:val="16"/>
                        <w:lang w:val="en-GB"/>
                      </w:rPr>
                      <m:t>i</m:t>
                    </m:r>
                  </m:sub>
                </m:sSub>
              </m:oMath>
            </m:oMathPara>
          </w:p>
        </w:tc>
        <w:tc>
          <w:tcPr>
            <w:tcW w:w="3118" w:type="dxa"/>
            <w:tcBorders>
              <w:left w:val="single" w:sz="2" w:space="0" w:color="000000"/>
              <w:bottom w:val="single" w:sz="4" w:space="0" w:color="000000"/>
            </w:tcBorders>
            <w:shd w:val="clear" w:color="auto" w:fill="auto"/>
            <w:tcMar>
              <w:top w:w="55" w:type="dxa"/>
              <w:left w:w="55" w:type="dxa"/>
              <w:bottom w:w="55" w:type="dxa"/>
              <w:right w:w="55" w:type="dxa"/>
            </w:tcMar>
          </w:tcPr>
          <w:p w14:paraId="4F496FC7" w14:textId="77777777" w:rsidR="005C42AC" w:rsidRPr="001F226C" w:rsidRDefault="005C42AC" w:rsidP="005C42AC">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 xml:space="preserve">Transmission probability of type </w:t>
            </w:r>
            <m:oMath>
              <m:r>
                <w:rPr>
                  <w:rFonts w:ascii="Cambria Math" w:hAnsi="Cambria Math" w:cs="Times New Roman"/>
                  <w:sz w:val="16"/>
                  <w:szCs w:val="16"/>
                  <w:lang w:val="en-GB"/>
                </w:rPr>
                <m:t>i</m:t>
              </m:r>
            </m:oMath>
            <w:r w:rsidRPr="001F226C">
              <w:rPr>
                <w:rFonts w:ascii="Times New Roman" w:hAnsi="Times New Roman" w:cs="Times New Roman"/>
                <w:sz w:val="16"/>
                <w:szCs w:val="16"/>
                <w:lang w:val="en-GB"/>
              </w:rPr>
              <w:t xml:space="preserve"> per sex act</w:t>
            </w:r>
          </w:p>
        </w:tc>
        <w:tc>
          <w:tcPr>
            <w:tcW w:w="3828" w:type="dxa"/>
            <w:tcBorders>
              <w:left w:val="single" w:sz="2" w:space="0" w:color="000000"/>
              <w:bottom w:val="single" w:sz="4" w:space="0" w:color="000000"/>
            </w:tcBorders>
            <w:shd w:val="clear" w:color="auto" w:fill="auto"/>
            <w:tcMar>
              <w:top w:w="0" w:type="dxa"/>
              <w:left w:w="10" w:type="dxa"/>
              <w:bottom w:w="0" w:type="dxa"/>
              <w:right w:w="10" w:type="dxa"/>
            </w:tcMar>
          </w:tcPr>
          <w:p w14:paraId="4F496FC8" w14:textId="3C198A2D" w:rsidR="005C42AC" w:rsidRPr="001F226C" w:rsidRDefault="009B3E05" w:rsidP="005C42AC">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Derived from model calibration with the following r</w:t>
            </w:r>
            <w:r w:rsidR="00CE0C01" w:rsidRPr="001F226C">
              <w:rPr>
                <w:rFonts w:ascii="Times New Roman" w:hAnsi="Times New Roman" w:cs="Times New Roman"/>
                <w:sz w:val="16"/>
                <w:szCs w:val="16"/>
                <w:lang w:val="en-GB"/>
              </w:rPr>
              <w:t xml:space="preserve">ange for candidate values: </w:t>
            </w:r>
            <w:r w:rsidR="005C42AC" w:rsidRPr="001F226C">
              <w:rPr>
                <w:rFonts w:ascii="Times New Roman" w:hAnsi="Times New Roman" w:cs="Times New Roman"/>
                <w:sz w:val="16"/>
                <w:szCs w:val="16"/>
                <w:lang w:val="en-GB"/>
              </w:rPr>
              <w:t>(0.2, 0.95)</w:t>
            </w:r>
            <w:r w:rsidR="00CE0C01" w:rsidRPr="001F226C">
              <w:rPr>
                <w:rFonts w:ascii="Times New Roman" w:hAnsi="Times New Roman" w:cs="Times New Roman"/>
                <w:sz w:val="16"/>
                <w:szCs w:val="16"/>
                <w:lang w:val="en-GB"/>
              </w:rPr>
              <w:t>.</w:t>
            </w:r>
          </w:p>
        </w:tc>
        <w:tc>
          <w:tcPr>
            <w:tcW w:w="4125"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4F496FC9" w14:textId="118BE6E5" w:rsidR="005C42AC" w:rsidRPr="001F226C" w:rsidRDefault="009B3E05" w:rsidP="005C42AC">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NA</w:t>
            </w:r>
          </w:p>
        </w:tc>
      </w:tr>
      <w:tr w:rsidR="00DB12FC" w:rsidRPr="001F226C" w14:paraId="4F496FCF" w14:textId="77777777" w:rsidTr="00F867CE">
        <w:tc>
          <w:tcPr>
            <w:tcW w:w="2547"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4F496FCB" w14:textId="77FCE850" w:rsidR="005C42AC" w:rsidRPr="001F226C" w:rsidRDefault="00000000" w:rsidP="005C42AC">
            <w:pPr>
              <w:pStyle w:val="TableContents"/>
              <w:jc w:val="center"/>
              <w:rPr>
                <w:rFonts w:ascii="Times New Roman" w:hAnsi="Times New Roman" w:cs="Times New Roman"/>
                <w:sz w:val="16"/>
                <w:szCs w:val="16"/>
                <w:lang w:val="en-GB"/>
              </w:rPr>
            </w:pPr>
            <m:oMathPara>
              <m:oMathParaPr>
                <m:jc m:val="center"/>
              </m:oMathParaPr>
              <m:oMath>
                <m:sSub>
                  <m:sSubPr>
                    <m:ctrlPr>
                      <w:rPr>
                        <w:rFonts w:ascii="Cambria Math" w:hAnsi="Cambria Math" w:cs="Times New Roman"/>
                        <w:sz w:val="16"/>
                        <w:szCs w:val="16"/>
                        <w:lang w:val="en-GB"/>
                      </w:rPr>
                    </m:ctrlPr>
                  </m:sSubPr>
                  <m:e>
                    <m:r>
                      <w:rPr>
                        <w:rFonts w:ascii="Cambria Math" w:hAnsi="Cambria Math" w:cs="Times New Roman"/>
                        <w:sz w:val="16"/>
                        <w:szCs w:val="16"/>
                        <w:lang w:val="en-GB"/>
                      </w:rPr>
                      <m:t>γ</m:t>
                    </m:r>
                  </m:e>
                  <m:sub>
                    <m:r>
                      <w:rPr>
                        <w:rFonts w:ascii="Cambria Math" w:hAnsi="Cambria Math" w:cs="Times New Roman"/>
                        <w:sz w:val="16"/>
                        <w:szCs w:val="16"/>
                        <w:lang w:val="en-GB"/>
                      </w:rPr>
                      <m:t>16</m:t>
                    </m:r>
                  </m:sub>
                </m:sSub>
                <m:r>
                  <w:rPr>
                    <w:rFonts w:ascii="Cambria Math" w:hAnsi="Cambria Math" w:cs="Times New Roman"/>
                    <w:sz w:val="16"/>
                    <w:szCs w:val="16"/>
                    <w:lang w:val="en-GB"/>
                  </w:rPr>
                  <m:t xml:space="preserve">, </m:t>
                </m:r>
                <m:sSub>
                  <m:sSubPr>
                    <m:ctrlPr>
                      <w:rPr>
                        <w:rFonts w:ascii="Cambria Math" w:hAnsi="Cambria Math" w:cs="Times New Roman"/>
                        <w:sz w:val="16"/>
                        <w:szCs w:val="16"/>
                        <w:lang w:val="en-GB"/>
                      </w:rPr>
                    </m:ctrlPr>
                  </m:sSubPr>
                  <m:e>
                    <m:r>
                      <w:rPr>
                        <w:rFonts w:ascii="Cambria Math" w:hAnsi="Cambria Math" w:cs="Times New Roman"/>
                        <w:sz w:val="16"/>
                        <w:szCs w:val="16"/>
                        <w:lang w:val="en-GB"/>
                      </w:rPr>
                      <m:t>γ</m:t>
                    </m:r>
                  </m:e>
                  <m:sub>
                    <m:r>
                      <w:rPr>
                        <w:rFonts w:ascii="Cambria Math" w:hAnsi="Cambria Math" w:cs="Times New Roman"/>
                        <w:sz w:val="16"/>
                        <w:szCs w:val="16"/>
                        <w:lang w:val="en-GB"/>
                      </w:rPr>
                      <m:t>18</m:t>
                    </m:r>
                  </m:sub>
                </m:sSub>
                <m:r>
                  <w:rPr>
                    <w:rFonts w:ascii="Cambria Math" w:hAnsi="Cambria Math" w:cs="Times New Roman"/>
                    <w:sz w:val="16"/>
                    <w:szCs w:val="16"/>
                    <w:lang w:val="en-GB"/>
                  </w:rPr>
                  <m:t>,</m:t>
                </m:r>
                <m:sSub>
                  <m:sSubPr>
                    <m:ctrlPr>
                      <w:rPr>
                        <w:rFonts w:ascii="Cambria Math" w:hAnsi="Cambria Math" w:cs="Times New Roman"/>
                        <w:sz w:val="16"/>
                        <w:szCs w:val="16"/>
                        <w:lang w:val="en-GB"/>
                      </w:rPr>
                    </m:ctrlPr>
                  </m:sSubPr>
                  <m:e>
                    <m:r>
                      <w:rPr>
                        <w:rFonts w:ascii="Cambria Math" w:hAnsi="Cambria Math" w:cs="Times New Roman"/>
                        <w:sz w:val="16"/>
                        <w:szCs w:val="16"/>
                        <w:lang w:val="en-GB"/>
                      </w:rPr>
                      <m:t>γ</m:t>
                    </m:r>
                  </m:e>
                  <m:sub>
                    <m:r>
                      <w:rPr>
                        <w:rFonts w:ascii="Cambria Math" w:hAnsi="Cambria Math" w:cs="Times New Roman"/>
                        <w:sz w:val="16"/>
                        <w:szCs w:val="16"/>
                        <w:lang w:val="en-GB"/>
                      </w:rPr>
                      <m:t>cross</m:t>
                    </m:r>
                  </m:sub>
                </m:sSub>
                <m:r>
                  <w:rPr>
                    <w:rFonts w:ascii="Cambria Math" w:hAnsi="Cambria Math" w:cs="Times New Roman"/>
                    <w:sz w:val="16"/>
                    <w:szCs w:val="16"/>
                    <w:lang w:val="en-GB"/>
                  </w:rPr>
                  <m:t>,</m:t>
                </m:r>
                <m:r>
                  <m:rPr>
                    <m:sty m:val="p"/>
                  </m:rPr>
                  <w:rPr>
                    <w:rFonts w:ascii="Cambria Math" w:hAnsi="Cambria Math" w:cs="Times New Roman"/>
                    <w:sz w:val="16"/>
                    <w:szCs w:val="16"/>
                    <w:lang w:val="en-GB"/>
                  </w:rPr>
                  <m:t xml:space="preserve"> </m:t>
                </m:r>
                <m:sSub>
                  <m:sSubPr>
                    <m:ctrlPr>
                      <w:rPr>
                        <w:rFonts w:ascii="Cambria Math" w:hAnsi="Cambria Math" w:cs="Times New Roman"/>
                        <w:sz w:val="16"/>
                        <w:szCs w:val="16"/>
                        <w:lang w:val="en-GB"/>
                      </w:rPr>
                    </m:ctrlPr>
                  </m:sSubPr>
                  <m:e>
                    <m:r>
                      <w:rPr>
                        <w:rFonts w:ascii="Cambria Math" w:hAnsi="Cambria Math" w:cs="Times New Roman"/>
                        <w:sz w:val="16"/>
                        <w:szCs w:val="16"/>
                        <w:lang w:val="en-GB"/>
                      </w:rPr>
                      <m:t>γ</m:t>
                    </m:r>
                  </m:e>
                  <m:sub>
                    <m:r>
                      <w:rPr>
                        <w:rFonts w:ascii="Cambria Math" w:hAnsi="Cambria Math" w:cs="Times New Roman"/>
                        <w:sz w:val="16"/>
                        <w:szCs w:val="16"/>
                        <w:lang w:val="en-GB"/>
                      </w:rPr>
                      <m:t>other</m:t>
                    </m:r>
                  </m:sub>
                </m:sSub>
              </m:oMath>
            </m:oMathPara>
          </w:p>
        </w:tc>
        <w:tc>
          <w:tcPr>
            <w:tcW w:w="3118"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4F496FCC" w14:textId="3C6947E3" w:rsidR="005C42AC" w:rsidRPr="001F226C" w:rsidRDefault="005C42AC" w:rsidP="005C42AC">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 xml:space="preserve">Clearance rate from CIN0 </w:t>
            </w:r>
          </w:p>
        </w:tc>
        <w:tc>
          <w:tcPr>
            <w:tcW w:w="3828" w:type="dxa"/>
            <w:tcBorders>
              <w:top w:val="single" w:sz="4" w:space="0" w:color="000000"/>
              <w:left w:val="single" w:sz="2" w:space="0" w:color="000000"/>
              <w:bottom w:val="single" w:sz="2" w:space="0" w:color="000000"/>
            </w:tcBorders>
            <w:shd w:val="clear" w:color="auto" w:fill="auto"/>
            <w:tcMar>
              <w:top w:w="0" w:type="dxa"/>
              <w:left w:w="10" w:type="dxa"/>
              <w:bottom w:w="0" w:type="dxa"/>
              <w:right w:w="10" w:type="dxa"/>
            </w:tcMar>
          </w:tcPr>
          <w:p w14:paraId="5758471D" w14:textId="68138056" w:rsidR="005C42AC" w:rsidRPr="001F226C" w:rsidRDefault="005C42AC" w:rsidP="005C42AC">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0.824 per year</w:t>
            </w:r>
            <w:r w:rsidR="002B79C7" w:rsidRPr="001F226C">
              <w:rPr>
                <w:rFonts w:ascii="Times New Roman" w:hAnsi="Times New Roman" w:cs="Times New Roman"/>
                <w:sz w:val="16"/>
                <w:szCs w:val="16"/>
                <w:lang w:val="en-GB"/>
              </w:rPr>
              <w:t xml:space="preserve"> for HPV 16,</w:t>
            </w:r>
          </w:p>
          <w:p w14:paraId="4B3899D8" w14:textId="77777777" w:rsidR="002B79C7" w:rsidRPr="001F226C" w:rsidRDefault="002B79C7" w:rsidP="005C42AC">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0.955 per year for HPV 18,</w:t>
            </w:r>
          </w:p>
          <w:p w14:paraId="4F496FCD" w14:textId="2BF4D872" w:rsidR="002B79C7" w:rsidRPr="001F226C" w:rsidRDefault="002B79C7" w:rsidP="005C42AC">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 xml:space="preserve">1.18 per year for </w:t>
            </w:r>
            <w:r w:rsidR="00432068" w:rsidRPr="001F226C">
              <w:rPr>
                <w:rFonts w:ascii="Times New Roman" w:hAnsi="Times New Roman" w:cs="Times New Roman"/>
                <w:sz w:val="16"/>
                <w:szCs w:val="16"/>
                <w:lang w:val="en-GB"/>
              </w:rPr>
              <w:t xml:space="preserve">the </w:t>
            </w:r>
            <w:r w:rsidR="002B68C3" w:rsidRPr="001F226C">
              <w:rPr>
                <w:rFonts w:ascii="Times New Roman" w:hAnsi="Times New Roman" w:cs="Times New Roman"/>
                <w:sz w:val="16"/>
                <w:szCs w:val="16"/>
                <w:lang w:val="en-GB"/>
              </w:rPr>
              <w:t xml:space="preserve">cross-protective </w:t>
            </w:r>
            <w:r w:rsidR="00432068" w:rsidRPr="001F226C">
              <w:rPr>
                <w:rFonts w:ascii="Times New Roman" w:hAnsi="Times New Roman" w:cs="Times New Roman"/>
                <w:sz w:val="16"/>
                <w:szCs w:val="16"/>
                <w:lang w:val="en-GB"/>
              </w:rPr>
              <w:t xml:space="preserve">types and remaining HR HPV </w:t>
            </w:r>
            <w:r w:rsidR="002B68C3" w:rsidRPr="001F226C">
              <w:rPr>
                <w:rFonts w:ascii="Times New Roman" w:hAnsi="Times New Roman" w:cs="Times New Roman"/>
                <w:sz w:val="16"/>
                <w:szCs w:val="16"/>
                <w:lang w:val="en-GB"/>
              </w:rPr>
              <w:t xml:space="preserve">types </w:t>
            </w:r>
          </w:p>
        </w:tc>
        <w:tc>
          <w:tcPr>
            <w:tcW w:w="4125"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F496FCE" w14:textId="6F03EF6C" w:rsidR="005C42AC" w:rsidRPr="00E9639D" w:rsidRDefault="00E9639D" w:rsidP="005C42AC">
            <w:pPr>
              <w:pStyle w:val="TableContents"/>
              <w:rPr>
                <w:rFonts w:ascii="Times New Roman" w:hAnsi="Times New Roman" w:cs="Times New Roman"/>
                <w:sz w:val="16"/>
                <w:szCs w:val="16"/>
                <w:vertAlign w:val="superscript"/>
                <w:lang w:val="en-GB"/>
              </w:rPr>
            </w:pPr>
            <w:r w:rsidRPr="00E9639D">
              <w:rPr>
                <w:rFonts w:ascii="Times New Roman" w:hAnsi="Times New Roman" w:cs="Times New Roman"/>
                <w:sz w:val="16"/>
                <w:szCs w:val="16"/>
                <w:vertAlign w:val="superscript"/>
                <w:lang w:val="en-GB"/>
              </w:rPr>
              <w:t>6,7</w:t>
            </w:r>
          </w:p>
        </w:tc>
      </w:tr>
      <w:tr w:rsidR="00DB12FC" w:rsidRPr="001F226C" w14:paraId="1EEBB1E9" w14:textId="77777777" w:rsidTr="00F867CE">
        <w:tc>
          <w:tcPr>
            <w:tcW w:w="2547"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67090D91" w14:textId="50242345" w:rsidR="003802CC" w:rsidRPr="001F226C" w:rsidRDefault="00000000" w:rsidP="003802CC">
            <w:pPr>
              <w:pStyle w:val="TableContents"/>
              <w:jc w:val="center"/>
              <w:rPr>
                <w:rFonts w:ascii="Times New Roman" w:hAnsi="Times New Roman" w:cs="Times New Roman"/>
                <w:sz w:val="16"/>
                <w:szCs w:val="16"/>
                <w:lang w:val="en-GB"/>
              </w:rPr>
            </w:pPr>
            <m:oMathPara>
              <m:oMath>
                <m:sSub>
                  <m:sSubPr>
                    <m:ctrlPr>
                      <w:rPr>
                        <w:rFonts w:ascii="Cambria Math" w:hAnsi="Cambria Math" w:cs="Times New Roman"/>
                        <w:sz w:val="16"/>
                        <w:szCs w:val="16"/>
                        <w:lang w:val="en-GB"/>
                      </w:rPr>
                    </m:ctrlPr>
                  </m:sSubPr>
                  <m:e>
                    <m:r>
                      <w:rPr>
                        <w:rFonts w:ascii="Cambria Math" w:hAnsi="Cambria Math" w:cs="Times New Roman"/>
                        <w:sz w:val="16"/>
                        <w:szCs w:val="16"/>
                        <w:lang w:val="en-GB"/>
                      </w:rPr>
                      <m:t>η</m:t>
                    </m:r>
                  </m:e>
                  <m:sub>
                    <m:r>
                      <w:rPr>
                        <w:rFonts w:ascii="Cambria Math" w:hAnsi="Cambria Math" w:cs="Times New Roman"/>
                        <w:sz w:val="16"/>
                        <w:szCs w:val="16"/>
                        <w:lang w:val="en-GB"/>
                      </w:rPr>
                      <m:t>16</m:t>
                    </m:r>
                  </m:sub>
                </m:sSub>
                <m:r>
                  <w:rPr>
                    <w:rFonts w:ascii="Cambria Math" w:hAnsi="Cambria Math" w:cs="Times New Roman"/>
                    <w:sz w:val="16"/>
                    <w:szCs w:val="16"/>
                    <w:lang w:val="en-GB"/>
                  </w:rPr>
                  <m:t xml:space="preserve">, </m:t>
                </m:r>
                <m:sSub>
                  <m:sSubPr>
                    <m:ctrlPr>
                      <w:rPr>
                        <w:rFonts w:ascii="Cambria Math" w:hAnsi="Cambria Math" w:cs="Times New Roman"/>
                        <w:sz w:val="16"/>
                        <w:szCs w:val="16"/>
                        <w:lang w:val="en-GB"/>
                      </w:rPr>
                    </m:ctrlPr>
                  </m:sSubPr>
                  <m:e>
                    <m:r>
                      <w:rPr>
                        <w:rFonts w:ascii="Cambria Math" w:hAnsi="Cambria Math" w:cs="Times New Roman"/>
                        <w:sz w:val="16"/>
                        <w:szCs w:val="16"/>
                        <w:lang w:val="en-GB"/>
                      </w:rPr>
                      <m:t>η</m:t>
                    </m:r>
                  </m:e>
                  <m:sub>
                    <m:r>
                      <w:rPr>
                        <w:rFonts w:ascii="Cambria Math" w:hAnsi="Cambria Math" w:cs="Times New Roman"/>
                        <w:sz w:val="16"/>
                        <w:szCs w:val="16"/>
                        <w:lang w:val="en-GB"/>
                      </w:rPr>
                      <m:t>18</m:t>
                    </m:r>
                  </m:sub>
                </m:sSub>
                <m:r>
                  <w:rPr>
                    <w:rFonts w:ascii="Cambria Math" w:hAnsi="Cambria Math" w:cs="Times New Roman"/>
                    <w:sz w:val="16"/>
                    <w:szCs w:val="16"/>
                    <w:lang w:val="en-GB"/>
                  </w:rPr>
                  <m:t>,</m:t>
                </m:r>
                <m:sSub>
                  <m:sSubPr>
                    <m:ctrlPr>
                      <w:rPr>
                        <w:rFonts w:ascii="Cambria Math" w:hAnsi="Cambria Math" w:cs="Times New Roman"/>
                        <w:sz w:val="16"/>
                        <w:szCs w:val="16"/>
                        <w:lang w:val="en-GB"/>
                      </w:rPr>
                    </m:ctrlPr>
                  </m:sSubPr>
                  <m:e>
                    <m:r>
                      <w:rPr>
                        <w:rFonts w:ascii="Cambria Math" w:hAnsi="Cambria Math" w:cs="Times New Roman"/>
                        <w:sz w:val="16"/>
                        <w:szCs w:val="16"/>
                        <w:lang w:val="en-GB"/>
                      </w:rPr>
                      <m:t>η</m:t>
                    </m:r>
                  </m:e>
                  <m:sub>
                    <m:r>
                      <w:rPr>
                        <w:rFonts w:ascii="Cambria Math" w:hAnsi="Cambria Math" w:cs="Times New Roman"/>
                        <w:sz w:val="16"/>
                        <w:szCs w:val="16"/>
                        <w:lang w:val="en-GB"/>
                      </w:rPr>
                      <m:t>cross</m:t>
                    </m:r>
                  </m:sub>
                </m:sSub>
                <m:r>
                  <w:rPr>
                    <w:rFonts w:ascii="Cambria Math" w:hAnsi="Cambria Math" w:cs="Times New Roman"/>
                    <w:sz w:val="16"/>
                    <w:szCs w:val="16"/>
                    <w:lang w:val="en-GB"/>
                  </w:rPr>
                  <m:t>,</m:t>
                </m:r>
                <m:r>
                  <m:rPr>
                    <m:sty m:val="p"/>
                  </m:rPr>
                  <w:rPr>
                    <w:rFonts w:ascii="Cambria Math" w:hAnsi="Cambria Math" w:cs="Times New Roman"/>
                    <w:sz w:val="16"/>
                    <w:szCs w:val="16"/>
                    <w:lang w:val="en-GB"/>
                  </w:rPr>
                  <m:t xml:space="preserve"> </m:t>
                </m:r>
                <m:sSub>
                  <m:sSubPr>
                    <m:ctrlPr>
                      <w:rPr>
                        <w:rFonts w:ascii="Cambria Math" w:hAnsi="Cambria Math" w:cs="Times New Roman"/>
                        <w:sz w:val="16"/>
                        <w:szCs w:val="16"/>
                        <w:lang w:val="en-GB"/>
                      </w:rPr>
                    </m:ctrlPr>
                  </m:sSubPr>
                  <m:e>
                    <m:r>
                      <w:rPr>
                        <w:rFonts w:ascii="Cambria Math" w:hAnsi="Cambria Math" w:cs="Times New Roman"/>
                        <w:sz w:val="16"/>
                        <w:szCs w:val="16"/>
                        <w:lang w:val="en-GB"/>
                      </w:rPr>
                      <m:t>η</m:t>
                    </m:r>
                  </m:e>
                  <m:sub>
                    <m:r>
                      <w:rPr>
                        <w:rFonts w:ascii="Cambria Math" w:hAnsi="Cambria Math" w:cs="Times New Roman"/>
                        <w:sz w:val="16"/>
                        <w:szCs w:val="16"/>
                        <w:lang w:val="en-GB"/>
                      </w:rPr>
                      <m:t>other</m:t>
                    </m:r>
                  </m:sub>
                </m:sSub>
              </m:oMath>
            </m:oMathPara>
          </w:p>
        </w:tc>
        <w:tc>
          <w:tcPr>
            <w:tcW w:w="3118"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615A6C15" w14:textId="0B3087C2" w:rsidR="003802CC" w:rsidRPr="001F226C" w:rsidRDefault="003802CC" w:rsidP="003802CC">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 xml:space="preserve">Progression rate from CIN0 to CIN1 </w:t>
            </w:r>
          </w:p>
        </w:tc>
        <w:tc>
          <w:tcPr>
            <w:tcW w:w="3828" w:type="dxa"/>
            <w:tcBorders>
              <w:top w:val="single" w:sz="4" w:space="0" w:color="000000"/>
              <w:left w:val="single" w:sz="2" w:space="0" w:color="000000"/>
              <w:bottom w:val="single" w:sz="2" w:space="0" w:color="000000"/>
            </w:tcBorders>
            <w:shd w:val="clear" w:color="auto" w:fill="auto"/>
            <w:tcMar>
              <w:top w:w="0" w:type="dxa"/>
              <w:left w:w="10" w:type="dxa"/>
              <w:bottom w:w="0" w:type="dxa"/>
              <w:right w:w="10" w:type="dxa"/>
            </w:tcMar>
          </w:tcPr>
          <w:p w14:paraId="58A9080D" w14:textId="3EB46568" w:rsidR="003802CC" w:rsidRPr="001F226C" w:rsidRDefault="003802CC" w:rsidP="003802CC">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0.676 per year for HPV 16,</w:t>
            </w:r>
          </w:p>
          <w:p w14:paraId="4E3F9B98" w14:textId="506D1662" w:rsidR="003802CC" w:rsidRPr="001F226C" w:rsidRDefault="003802CC" w:rsidP="003802CC">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lastRenderedPageBreak/>
              <w:t>0.545 per year for HPV 18,</w:t>
            </w:r>
          </w:p>
          <w:p w14:paraId="64F15DDC" w14:textId="72859EF8" w:rsidR="003802CC" w:rsidRPr="001F226C" w:rsidRDefault="003802CC" w:rsidP="003802CC">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0.324 per year for the cross-protective types and remaining HR HPV types</w:t>
            </w:r>
          </w:p>
        </w:tc>
        <w:tc>
          <w:tcPr>
            <w:tcW w:w="4125"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AAAA0E8" w14:textId="0747BCC5" w:rsidR="003802CC" w:rsidRPr="00E9639D" w:rsidRDefault="00E9639D" w:rsidP="003802CC">
            <w:pPr>
              <w:pStyle w:val="TableContents"/>
              <w:rPr>
                <w:rFonts w:ascii="Times New Roman" w:hAnsi="Times New Roman" w:cs="Times New Roman"/>
                <w:sz w:val="16"/>
                <w:szCs w:val="16"/>
                <w:vertAlign w:val="superscript"/>
                <w:lang w:val="en-GB"/>
              </w:rPr>
            </w:pPr>
            <w:r w:rsidRPr="00E9639D">
              <w:rPr>
                <w:rFonts w:ascii="Times New Roman" w:hAnsi="Times New Roman" w:cs="Times New Roman"/>
                <w:sz w:val="16"/>
                <w:szCs w:val="16"/>
                <w:vertAlign w:val="superscript"/>
                <w:lang w:val="en-GB"/>
              </w:rPr>
              <w:lastRenderedPageBreak/>
              <w:t>6,7</w:t>
            </w:r>
          </w:p>
        </w:tc>
      </w:tr>
      <w:tr w:rsidR="00DB12FC" w:rsidRPr="001F226C" w14:paraId="4F496FD9" w14:textId="77777777" w:rsidTr="00F867CE">
        <w:tc>
          <w:tcPr>
            <w:tcW w:w="2547" w:type="dxa"/>
            <w:tcBorders>
              <w:left w:val="single" w:sz="2" w:space="0" w:color="000000"/>
              <w:bottom w:val="single" w:sz="4" w:space="0" w:color="000000"/>
            </w:tcBorders>
            <w:shd w:val="clear" w:color="auto" w:fill="auto"/>
            <w:tcMar>
              <w:top w:w="55" w:type="dxa"/>
              <w:left w:w="55" w:type="dxa"/>
              <w:bottom w:w="55" w:type="dxa"/>
              <w:right w:w="55" w:type="dxa"/>
            </w:tcMar>
          </w:tcPr>
          <w:p w14:paraId="4F496FD5" w14:textId="156018E4" w:rsidR="003802CC" w:rsidRPr="001F226C" w:rsidRDefault="00000000" w:rsidP="003802CC">
            <w:pPr>
              <w:pStyle w:val="TableContents"/>
              <w:jc w:val="center"/>
              <w:rPr>
                <w:rFonts w:ascii="Times New Roman" w:hAnsi="Times New Roman" w:cs="Times New Roman"/>
                <w:sz w:val="16"/>
                <w:szCs w:val="16"/>
                <w:lang w:val="en-GB"/>
              </w:rPr>
            </w:pPr>
            <m:oMath>
              <m:sSub>
                <m:sSubPr>
                  <m:ctrlPr>
                    <w:rPr>
                      <w:rFonts w:ascii="Cambria Math" w:hAnsi="Cambria Math" w:cs="Times New Roman"/>
                      <w:sz w:val="16"/>
                      <w:szCs w:val="16"/>
                      <w:lang w:val="en-GB"/>
                    </w:rPr>
                  </m:ctrlPr>
                </m:sSubPr>
                <m:e>
                  <m:r>
                    <w:rPr>
                      <w:rFonts w:ascii="Cambria Math" w:hAnsi="Cambria Math" w:cs="Times New Roman"/>
                      <w:sz w:val="16"/>
                      <w:szCs w:val="16"/>
                      <w:lang w:val="en-GB"/>
                    </w:rPr>
                    <m:t>δ</m:t>
                  </m:r>
                </m:e>
                <m:sub>
                  <m:r>
                    <w:rPr>
                      <w:rFonts w:ascii="Cambria Math" w:hAnsi="Cambria Math" w:cs="Times New Roman"/>
                      <w:sz w:val="16"/>
                      <w:szCs w:val="16"/>
                      <w:lang w:val="en-GB"/>
                    </w:rPr>
                    <m:t>16,1</m:t>
                  </m:r>
                </m:sub>
              </m:sSub>
              <m:r>
                <w:rPr>
                  <w:rFonts w:ascii="Cambria Math" w:hAnsi="Cambria Math" w:cs="Times New Roman"/>
                  <w:sz w:val="16"/>
                  <w:szCs w:val="16"/>
                  <w:lang w:val="en-GB"/>
                </w:rPr>
                <m:t xml:space="preserve">, </m:t>
              </m:r>
              <m:sSub>
                <m:sSubPr>
                  <m:ctrlPr>
                    <w:rPr>
                      <w:rFonts w:ascii="Cambria Math" w:hAnsi="Cambria Math" w:cs="Times New Roman"/>
                      <w:sz w:val="16"/>
                      <w:szCs w:val="16"/>
                      <w:lang w:val="en-GB"/>
                    </w:rPr>
                  </m:ctrlPr>
                </m:sSubPr>
                <m:e>
                  <m:r>
                    <w:rPr>
                      <w:rFonts w:ascii="Cambria Math" w:hAnsi="Cambria Math" w:cs="Times New Roman"/>
                      <w:sz w:val="16"/>
                      <w:szCs w:val="16"/>
                      <w:lang w:val="en-GB"/>
                    </w:rPr>
                    <m:t>δ</m:t>
                  </m:r>
                </m:e>
                <m:sub>
                  <m:r>
                    <w:rPr>
                      <w:rFonts w:ascii="Cambria Math" w:hAnsi="Cambria Math" w:cs="Times New Roman"/>
                      <w:sz w:val="16"/>
                      <w:szCs w:val="16"/>
                      <w:lang w:val="en-GB"/>
                    </w:rPr>
                    <m:t>18,1</m:t>
                  </m:r>
                </m:sub>
              </m:sSub>
            </m:oMath>
            <w:r w:rsidR="003802CC" w:rsidRPr="001F226C">
              <w:rPr>
                <w:rFonts w:ascii="Times New Roman" w:hAnsi="Times New Roman" w:cs="Times New Roman"/>
                <w:sz w:val="16"/>
                <w:szCs w:val="16"/>
                <w:lang w:val="en-GB"/>
              </w:rPr>
              <w:t>,</w:t>
            </w:r>
            <m:oMath>
              <m:r>
                <m:rPr>
                  <m:sty m:val="p"/>
                </m:rPr>
                <w:rPr>
                  <w:rFonts w:ascii="Cambria Math" w:hAnsi="Cambria Math" w:cs="Times New Roman"/>
                  <w:sz w:val="16"/>
                  <w:szCs w:val="16"/>
                  <w:lang w:val="en-GB"/>
                </w:rPr>
                <m:t xml:space="preserve"> </m:t>
              </m:r>
              <m:sSub>
                <m:sSubPr>
                  <m:ctrlPr>
                    <w:rPr>
                      <w:rFonts w:ascii="Cambria Math" w:hAnsi="Cambria Math" w:cs="Times New Roman"/>
                      <w:sz w:val="16"/>
                      <w:szCs w:val="16"/>
                      <w:lang w:val="en-GB"/>
                    </w:rPr>
                  </m:ctrlPr>
                </m:sSubPr>
                <m:e>
                  <m:r>
                    <w:rPr>
                      <w:rFonts w:ascii="Cambria Math" w:hAnsi="Cambria Math" w:cs="Times New Roman"/>
                      <w:sz w:val="16"/>
                      <w:szCs w:val="16"/>
                      <w:lang w:val="en-GB"/>
                    </w:rPr>
                    <m:t>δ</m:t>
                  </m:r>
                </m:e>
                <m:sub>
                  <m:r>
                    <w:rPr>
                      <w:rFonts w:ascii="Cambria Math" w:hAnsi="Cambria Math" w:cs="Times New Roman"/>
                      <w:sz w:val="16"/>
                      <w:szCs w:val="16"/>
                      <w:lang w:val="en-GB"/>
                    </w:rPr>
                    <m:t>cross,1</m:t>
                  </m:r>
                </m:sub>
              </m:sSub>
            </m:oMath>
            <w:r w:rsidR="003802CC" w:rsidRPr="001F226C">
              <w:rPr>
                <w:rFonts w:ascii="Times New Roman" w:hAnsi="Times New Roman" w:cs="Times New Roman"/>
                <w:sz w:val="16"/>
                <w:szCs w:val="16"/>
                <w:lang w:val="en-GB"/>
              </w:rPr>
              <w:t xml:space="preserve">, </w:t>
            </w:r>
            <m:oMath>
              <m:sSub>
                <m:sSubPr>
                  <m:ctrlPr>
                    <w:rPr>
                      <w:rFonts w:ascii="Cambria Math" w:hAnsi="Cambria Math" w:cs="Times New Roman"/>
                      <w:sz w:val="16"/>
                      <w:szCs w:val="16"/>
                      <w:lang w:val="en-GB"/>
                    </w:rPr>
                  </m:ctrlPr>
                </m:sSubPr>
                <m:e>
                  <m:r>
                    <w:rPr>
                      <w:rFonts w:ascii="Cambria Math" w:hAnsi="Cambria Math" w:cs="Times New Roman"/>
                      <w:sz w:val="16"/>
                      <w:szCs w:val="16"/>
                      <w:lang w:val="en-GB"/>
                    </w:rPr>
                    <m:t>δ</m:t>
                  </m:r>
                </m:e>
                <m:sub>
                  <m:r>
                    <w:rPr>
                      <w:rFonts w:ascii="Cambria Math" w:hAnsi="Cambria Math" w:cs="Times New Roman"/>
                      <w:sz w:val="16"/>
                      <w:szCs w:val="16"/>
                      <w:lang w:val="en-GB"/>
                    </w:rPr>
                    <m:t>other,1</m:t>
                  </m:r>
                </m:sub>
              </m:sSub>
            </m:oMath>
          </w:p>
        </w:tc>
        <w:tc>
          <w:tcPr>
            <w:tcW w:w="3118" w:type="dxa"/>
            <w:tcBorders>
              <w:left w:val="single" w:sz="2" w:space="0" w:color="000000"/>
              <w:bottom w:val="single" w:sz="4" w:space="0" w:color="000000"/>
            </w:tcBorders>
            <w:shd w:val="clear" w:color="auto" w:fill="auto"/>
            <w:tcMar>
              <w:top w:w="55" w:type="dxa"/>
              <w:left w:w="55" w:type="dxa"/>
              <w:bottom w:w="55" w:type="dxa"/>
              <w:right w:w="55" w:type="dxa"/>
            </w:tcMar>
          </w:tcPr>
          <w:p w14:paraId="4F496FD6" w14:textId="16852EBD" w:rsidR="003802CC" w:rsidRPr="001F226C" w:rsidRDefault="003802CC" w:rsidP="003802CC">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Clearance rate from CIN1</w:t>
            </w:r>
          </w:p>
        </w:tc>
        <w:tc>
          <w:tcPr>
            <w:tcW w:w="3828" w:type="dxa"/>
            <w:tcBorders>
              <w:left w:val="single" w:sz="2" w:space="0" w:color="000000"/>
              <w:bottom w:val="single" w:sz="4" w:space="0" w:color="000000"/>
            </w:tcBorders>
            <w:shd w:val="clear" w:color="auto" w:fill="auto"/>
            <w:tcMar>
              <w:top w:w="0" w:type="dxa"/>
              <w:left w:w="10" w:type="dxa"/>
              <w:bottom w:w="0" w:type="dxa"/>
              <w:right w:w="10" w:type="dxa"/>
            </w:tcMar>
          </w:tcPr>
          <w:p w14:paraId="6F7F8497" w14:textId="2C899897" w:rsidR="003802CC" w:rsidRPr="001F226C" w:rsidRDefault="003802CC" w:rsidP="003802CC">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0.133 per year for HPV 16,</w:t>
            </w:r>
          </w:p>
          <w:p w14:paraId="5AA735F7" w14:textId="65924422" w:rsidR="003802CC" w:rsidRPr="001F226C" w:rsidRDefault="003802CC" w:rsidP="003802CC">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0.386 per year for HPV 18,</w:t>
            </w:r>
          </w:p>
          <w:p w14:paraId="4F496FD7" w14:textId="2A0E3A1A" w:rsidR="003802CC" w:rsidRPr="001F226C" w:rsidRDefault="003802CC" w:rsidP="003802CC">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0.481 per year for the cross-protective types and remaining HR HPV types</w:t>
            </w:r>
          </w:p>
        </w:tc>
        <w:tc>
          <w:tcPr>
            <w:tcW w:w="4125"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4F496FD8" w14:textId="05CB2185" w:rsidR="003802CC" w:rsidRPr="001F226C" w:rsidRDefault="00E9639D" w:rsidP="003802CC">
            <w:pPr>
              <w:pStyle w:val="TableContents"/>
              <w:rPr>
                <w:rFonts w:ascii="Times New Roman" w:hAnsi="Times New Roman" w:cs="Times New Roman"/>
                <w:sz w:val="16"/>
                <w:szCs w:val="16"/>
                <w:lang w:val="en-GB"/>
              </w:rPr>
            </w:pPr>
            <w:r w:rsidRPr="00E9639D">
              <w:rPr>
                <w:rFonts w:ascii="Times New Roman" w:hAnsi="Times New Roman" w:cs="Times New Roman"/>
                <w:sz w:val="16"/>
                <w:szCs w:val="16"/>
                <w:vertAlign w:val="superscript"/>
                <w:lang w:val="en-GB"/>
              </w:rPr>
              <w:t>6,7</w:t>
            </w:r>
          </w:p>
        </w:tc>
      </w:tr>
      <w:tr w:rsidR="00DB12FC" w:rsidRPr="001F226C" w14:paraId="46BD8326" w14:textId="77777777" w:rsidTr="00F867CE">
        <w:tc>
          <w:tcPr>
            <w:tcW w:w="2547" w:type="dxa"/>
            <w:tcBorders>
              <w:left w:val="single" w:sz="2" w:space="0" w:color="000000"/>
              <w:bottom w:val="single" w:sz="4" w:space="0" w:color="000000"/>
            </w:tcBorders>
            <w:shd w:val="clear" w:color="auto" w:fill="auto"/>
            <w:tcMar>
              <w:top w:w="55" w:type="dxa"/>
              <w:left w:w="55" w:type="dxa"/>
              <w:bottom w:w="55" w:type="dxa"/>
              <w:right w:w="55" w:type="dxa"/>
            </w:tcMar>
          </w:tcPr>
          <w:p w14:paraId="7D37782D" w14:textId="03470605" w:rsidR="003802CC" w:rsidRPr="001F226C" w:rsidRDefault="00000000" w:rsidP="003802CC">
            <w:pPr>
              <w:pStyle w:val="TableContents"/>
              <w:jc w:val="center"/>
              <w:rPr>
                <w:rFonts w:ascii="Times New Roman" w:hAnsi="Times New Roman" w:cs="Times New Roman"/>
                <w:sz w:val="16"/>
                <w:szCs w:val="16"/>
                <w:lang w:val="en-GB"/>
              </w:rPr>
            </w:pPr>
            <m:oMath>
              <m:sSub>
                <m:sSubPr>
                  <m:ctrlPr>
                    <w:rPr>
                      <w:rFonts w:ascii="Cambria Math" w:hAnsi="Cambria Math" w:cs="Times New Roman"/>
                      <w:sz w:val="16"/>
                      <w:szCs w:val="16"/>
                      <w:lang w:val="en-GB"/>
                    </w:rPr>
                  </m:ctrlPr>
                </m:sSubPr>
                <m:e>
                  <m:r>
                    <w:rPr>
                      <w:rFonts w:ascii="Cambria Math" w:hAnsi="Cambria Math" w:cs="Times New Roman"/>
                      <w:sz w:val="16"/>
                      <w:szCs w:val="16"/>
                      <w:lang w:val="en-GB"/>
                    </w:rPr>
                    <m:t>δ</m:t>
                  </m:r>
                </m:e>
                <m:sub>
                  <m:r>
                    <w:rPr>
                      <w:rFonts w:ascii="Cambria Math" w:hAnsi="Cambria Math" w:cs="Times New Roman"/>
                      <w:sz w:val="16"/>
                      <w:szCs w:val="16"/>
                      <w:lang w:val="en-GB"/>
                    </w:rPr>
                    <m:t>16,2</m:t>
                  </m:r>
                </m:sub>
              </m:sSub>
            </m:oMath>
            <w:r w:rsidR="003802CC" w:rsidRPr="001F226C">
              <w:rPr>
                <w:rFonts w:ascii="Times New Roman" w:hAnsi="Times New Roman" w:cs="Times New Roman"/>
                <w:sz w:val="16"/>
                <w:szCs w:val="16"/>
                <w:lang w:val="en-GB"/>
              </w:rPr>
              <w:t>,</w:t>
            </w:r>
            <m:oMath>
              <m:r>
                <m:rPr>
                  <m:sty m:val="p"/>
                </m:rPr>
                <w:rPr>
                  <w:rFonts w:ascii="Cambria Math" w:hAnsi="Cambria Math" w:cs="Times New Roman"/>
                  <w:sz w:val="16"/>
                  <w:szCs w:val="16"/>
                  <w:lang w:val="en-GB"/>
                </w:rPr>
                <m:t xml:space="preserve"> </m:t>
              </m:r>
              <m:sSub>
                <m:sSubPr>
                  <m:ctrlPr>
                    <w:rPr>
                      <w:rFonts w:ascii="Cambria Math" w:hAnsi="Cambria Math" w:cs="Times New Roman"/>
                      <w:sz w:val="16"/>
                      <w:szCs w:val="16"/>
                      <w:lang w:val="en-GB"/>
                    </w:rPr>
                  </m:ctrlPr>
                </m:sSubPr>
                <m:e>
                  <m:r>
                    <w:rPr>
                      <w:rFonts w:ascii="Cambria Math" w:hAnsi="Cambria Math" w:cs="Times New Roman"/>
                      <w:sz w:val="16"/>
                      <w:szCs w:val="16"/>
                      <w:lang w:val="en-GB"/>
                    </w:rPr>
                    <m:t>δ</m:t>
                  </m:r>
                </m:e>
                <m:sub>
                  <m:r>
                    <w:rPr>
                      <w:rFonts w:ascii="Cambria Math" w:hAnsi="Cambria Math" w:cs="Times New Roman"/>
                      <w:sz w:val="16"/>
                      <w:szCs w:val="16"/>
                      <w:lang w:val="en-GB"/>
                    </w:rPr>
                    <m:t>18,2</m:t>
                  </m:r>
                </m:sub>
              </m:sSub>
              <m:r>
                <w:rPr>
                  <w:rFonts w:ascii="Cambria Math" w:hAnsi="Cambria Math" w:cs="Times New Roman"/>
                  <w:sz w:val="16"/>
                  <w:szCs w:val="16"/>
                  <w:lang w:val="en-GB"/>
                </w:rPr>
                <m:t>,</m:t>
              </m:r>
              <m:sSub>
                <m:sSubPr>
                  <m:ctrlPr>
                    <w:rPr>
                      <w:rFonts w:ascii="Cambria Math" w:hAnsi="Cambria Math" w:cs="Times New Roman"/>
                      <w:sz w:val="16"/>
                      <w:szCs w:val="16"/>
                      <w:lang w:val="en-GB"/>
                    </w:rPr>
                  </m:ctrlPr>
                </m:sSubPr>
                <m:e>
                  <m:r>
                    <w:rPr>
                      <w:rFonts w:ascii="Cambria Math" w:hAnsi="Cambria Math" w:cs="Times New Roman"/>
                      <w:sz w:val="16"/>
                      <w:szCs w:val="16"/>
                      <w:lang w:val="en-GB"/>
                    </w:rPr>
                    <m:t>δ</m:t>
                  </m:r>
                </m:e>
                <m:sub>
                  <m:r>
                    <w:rPr>
                      <w:rFonts w:ascii="Cambria Math" w:hAnsi="Cambria Math" w:cs="Times New Roman"/>
                      <w:sz w:val="16"/>
                      <w:szCs w:val="16"/>
                      <w:lang w:val="en-GB"/>
                    </w:rPr>
                    <m:t>cross,2</m:t>
                  </m:r>
                </m:sub>
              </m:sSub>
            </m:oMath>
            <w:r w:rsidR="003802CC" w:rsidRPr="001F226C">
              <w:rPr>
                <w:rFonts w:ascii="Times New Roman" w:hAnsi="Times New Roman" w:cs="Times New Roman"/>
                <w:sz w:val="16"/>
                <w:szCs w:val="16"/>
                <w:lang w:val="en-GB"/>
              </w:rPr>
              <w:t>,</w:t>
            </w:r>
            <m:oMath>
              <m:r>
                <m:rPr>
                  <m:sty m:val="p"/>
                </m:rPr>
                <w:rPr>
                  <w:rFonts w:ascii="Cambria Math" w:hAnsi="Cambria Math" w:cs="Times New Roman"/>
                  <w:sz w:val="16"/>
                  <w:szCs w:val="16"/>
                  <w:lang w:val="en-GB"/>
                </w:rPr>
                <m:t xml:space="preserve"> </m:t>
              </m:r>
              <m:sSub>
                <m:sSubPr>
                  <m:ctrlPr>
                    <w:rPr>
                      <w:rFonts w:ascii="Cambria Math" w:hAnsi="Cambria Math" w:cs="Times New Roman"/>
                      <w:sz w:val="16"/>
                      <w:szCs w:val="16"/>
                      <w:lang w:val="en-GB"/>
                    </w:rPr>
                  </m:ctrlPr>
                </m:sSubPr>
                <m:e>
                  <m:r>
                    <w:rPr>
                      <w:rFonts w:ascii="Cambria Math" w:hAnsi="Cambria Math" w:cs="Times New Roman"/>
                      <w:sz w:val="16"/>
                      <w:szCs w:val="16"/>
                      <w:lang w:val="en-GB"/>
                    </w:rPr>
                    <m:t>δ</m:t>
                  </m:r>
                </m:e>
                <m:sub>
                  <m:r>
                    <w:rPr>
                      <w:rFonts w:ascii="Cambria Math" w:hAnsi="Cambria Math" w:cs="Times New Roman"/>
                      <w:sz w:val="16"/>
                      <w:szCs w:val="16"/>
                      <w:lang w:val="en-GB"/>
                    </w:rPr>
                    <m:t>cross,2</m:t>
                  </m:r>
                </m:sub>
              </m:sSub>
            </m:oMath>
          </w:p>
        </w:tc>
        <w:tc>
          <w:tcPr>
            <w:tcW w:w="3118" w:type="dxa"/>
            <w:tcBorders>
              <w:left w:val="single" w:sz="2" w:space="0" w:color="000000"/>
              <w:bottom w:val="single" w:sz="4" w:space="0" w:color="000000"/>
            </w:tcBorders>
            <w:shd w:val="clear" w:color="auto" w:fill="auto"/>
            <w:tcMar>
              <w:top w:w="55" w:type="dxa"/>
              <w:left w:w="55" w:type="dxa"/>
              <w:bottom w:w="55" w:type="dxa"/>
              <w:right w:w="55" w:type="dxa"/>
            </w:tcMar>
          </w:tcPr>
          <w:p w14:paraId="540A6430" w14:textId="2FB8BFE8" w:rsidR="003802CC" w:rsidRPr="001F226C" w:rsidRDefault="003802CC" w:rsidP="003802CC">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 xml:space="preserve">Clearance rate from </w:t>
            </w:r>
            <w:r w:rsidR="00FC6E0B">
              <w:rPr>
                <w:rFonts w:ascii="Times New Roman" w:hAnsi="Times New Roman" w:cs="Times New Roman"/>
                <w:sz w:val="16"/>
                <w:szCs w:val="16"/>
                <w:lang w:val="en-GB"/>
              </w:rPr>
              <w:t xml:space="preserve">regressive </w:t>
            </w:r>
            <w:r w:rsidRPr="001F226C">
              <w:rPr>
                <w:rFonts w:ascii="Times New Roman" w:hAnsi="Times New Roman" w:cs="Times New Roman"/>
                <w:sz w:val="16"/>
                <w:szCs w:val="16"/>
                <w:lang w:val="en-GB"/>
              </w:rPr>
              <w:t>CIN2</w:t>
            </w:r>
            <w:r w:rsidR="00FC6E0B">
              <w:rPr>
                <w:rFonts w:ascii="Times New Roman" w:hAnsi="Times New Roman" w:cs="Times New Roman"/>
                <w:sz w:val="16"/>
                <w:szCs w:val="16"/>
                <w:lang w:val="en-GB"/>
              </w:rPr>
              <w:t>/3</w:t>
            </w:r>
            <w:r w:rsidRPr="001F226C">
              <w:rPr>
                <w:rFonts w:ascii="Times New Roman" w:hAnsi="Times New Roman" w:cs="Times New Roman"/>
                <w:sz w:val="16"/>
                <w:szCs w:val="16"/>
                <w:lang w:val="en-GB"/>
              </w:rPr>
              <w:t xml:space="preserve"> </w:t>
            </w:r>
          </w:p>
        </w:tc>
        <w:tc>
          <w:tcPr>
            <w:tcW w:w="3828" w:type="dxa"/>
            <w:tcBorders>
              <w:left w:val="single" w:sz="2" w:space="0" w:color="000000"/>
              <w:bottom w:val="single" w:sz="4" w:space="0" w:color="000000"/>
            </w:tcBorders>
            <w:shd w:val="clear" w:color="auto" w:fill="auto"/>
            <w:tcMar>
              <w:top w:w="0" w:type="dxa"/>
              <w:left w:w="10" w:type="dxa"/>
              <w:bottom w:w="0" w:type="dxa"/>
              <w:right w:w="10" w:type="dxa"/>
            </w:tcMar>
          </w:tcPr>
          <w:p w14:paraId="56ED9A13" w14:textId="3084640C" w:rsidR="003802CC" w:rsidRPr="001F226C" w:rsidRDefault="003802CC" w:rsidP="003802CC">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2.10 per year for HPV 16,</w:t>
            </w:r>
          </w:p>
          <w:p w14:paraId="743CB586" w14:textId="6C1B1D92" w:rsidR="003802CC" w:rsidRPr="001F226C" w:rsidRDefault="003802CC" w:rsidP="003802CC">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2.10 per year for HPV 18,</w:t>
            </w:r>
          </w:p>
          <w:p w14:paraId="2DB2596F" w14:textId="7646BB2F" w:rsidR="003802CC" w:rsidRPr="001F226C" w:rsidRDefault="003802CC" w:rsidP="003802CC">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2.10 per year for the cross-protective types and remaining HR HPV types</w:t>
            </w:r>
          </w:p>
        </w:tc>
        <w:tc>
          <w:tcPr>
            <w:tcW w:w="4125"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2E1DC28E" w14:textId="70DF8240" w:rsidR="003802CC" w:rsidRPr="001F226C" w:rsidRDefault="00E9639D" w:rsidP="003802CC">
            <w:pPr>
              <w:pStyle w:val="TableContents"/>
              <w:rPr>
                <w:rFonts w:ascii="Times New Roman" w:hAnsi="Times New Roman" w:cs="Times New Roman"/>
                <w:sz w:val="16"/>
                <w:szCs w:val="16"/>
                <w:lang w:val="en-GB"/>
              </w:rPr>
            </w:pPr>
            <w:r w:rsidRPr="00E9639D">
              <w:rPr>
                <w:rFonts w:ascii="Times New Roman" w:hAnsi="Times New Roman" w:cs="Times New Roman"/>
                <w:sz w:val="16"/>
                <w:szCs w:val="16"/>
                <w:vertAlign w:val="superscript"/>
                <w:lang w:val="en-GB"/>
              </w:rPr>
              <w:t>6,7</w:t>
            </w:r>
          </w:p>
        </w:tc>
      </w:tr>
      <w:tr w:rsidR="00DB12FC" w:rsidRPr="001F226C" w14:paraId="4F496FE3" w14:textId="77777777" w:rsidTr="00F867CE">
        <w:tc>
          <w:tcPr>
            <w:tcW w:w="254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F496FDF" w14:textId="78A5F0BD" w:rsidR="003802CC" w:rsidRPr="001F226C" w:rsidRDefault="00000000" w:rsidP="003802CC">
            <w:pPr>
              <w:pStyle w:val="TableContents"/>
              <w:jc w:val="center"/>
              <w:rPr>
                <w:rFonts w:ascii="Times New Roman" w:hAnsi="Times New Roman" w:cs="Times New Roman"/>
                <w:sz w:val="16"/>
                <w:szCs w:val="16"/>
                <w:lang w:val="en-GB"/>
              </w:rPr>
            </w:pPr>
            <m:oMath>
              <m:sSub>
                <m:sSubPr>
                  <m:ctrlPr>
                    <w:rPr>
                      <w:rFonts w:ascii="Cambria Math" w:hAnsi="Cambria Math" w:cs="Times New Roman"/>
                      <w:sz w:val="16"/>
                      <w:szCs w:val="16"/>
                      <w:lang w:val="en-GB"/>
                    </w:rPr>
                  </m:ctrlPr>
                </m:sSubPr>
                <m:e>
                  <m:r>
                    <w:rPr>
                      <w:rFonts w:ascii="Cambria Math" w:hAnsi="Cambria Math" w:cs="Times New Roman"/>
                      <w:sz w:val="16"/>
                      <w:szCs w:val="16"/>
                      <w:lang w:val="en-GB"/>
                    </w:rPr>
                    <m:t>ν</m:t>
                  </m:r>
                </m:e>
                <m:sub>
                  <m:r>
                    <w:rPr>
                      <w:rFonts w:ascii="Cambria Math" w:hAnsi="Cambria Math" w:cs="Times New Roman"/>
                      <w:sz w:val="16"/>
                      <w:szCs w:val="16"/>
                      <w:lang w:val="en-GB"/>
                    </w:rPr>
                    <m:t>16,1</m:t>
                  </m:r>
                </m:sub>
              </m:sSub>
            </m:oMath>
            <w:r w:rsidR="003802CC" w:rsidRPr="001F226C">
              <w:rPr>
                <w:rFonts w:ascii="Times New Roman" w:hAnsi="Times New Roman" w:cs="Times New Roman"/>
                <w:sz w:val="16"/>
                <w:szCs w:val="16"/>
                <w:lang w:val="en-GB"/>
              </w:rPr>
              <w:t>,</w:t>
            </w:r>
            <m:oMath>
              <m:sSub>
                <m:sSubPr>
                  <m:ctrlPr>
                    <w:rPr>
                      <w:rFonts w:ascii="Cambria Math" w:hAnsi="Cambria Math" w:cs="Times New Roman"/>
                      <w:sz w:val="16"/>
                      <w:szCs w:val="16"/>
                      <w:lang w:val="en-GB"/>
                    </w:rPr>
                  </m:ctrlPr>
                </m:sSubPr>
                <m:e>
                  <m:r>
                    <w:rPr>
                      <w:rFonts w:ascii="Cambria Math" w:hAnsi="Cambria Math" w:cs="Times New Roman"/>
                      <w:sz w:val="16"/>
                      <w:szCs w:val="16"/>
                      <w:lang w:val="en-GB"/>
                    </w:rPr>
                    <m:t>ν</m:t>
                  </m:r>
                </m:e>
                <m:sub>
                  <m:r>
                    <w:rPr>
                      <w:rFonts w:ascii="Cambria Math" w:hAnsi="Cambria Math" w:cs="Times New Roman"/>
                      <w:sz w:val="16"/>
                      <w:szCs w:val="16"/>
                      <w:lang w:val="en-GB"/>
                    </w:rPr>
                    <m:t>18,1</m:t>
                  </m:r>
                </m:sub>
              </m:sSub>
            </m:oMath>
            <w:r w:rsidR="003802CC" w:rsidRPr="001F226C">
              <w:rPr>
                <w:rFonts w:ascii="Times New Roman" w:hAnsi="Times New Roman" w:cs="Times New Roman"/>
                <w:sz w:val="16"/>
                <w:szCs w:val="16"/>
                <w:lang w:val="en-GB"/>
              </w:rPr>
              <w:t>,</w:t>
            </w:r>
            <m:oMath>
              <m:r>
                <m:rPr>
                  <m:sty m:val="p"/>
                </m:rPr>
                <w:rPr>
                  <w:rFonts w:ascii="Cambria Math" w:hAnsi="Cambria Math" w:cs="Times New Roman"/>
                  <w:sz w:val="16"/>
                  <w:szCs w:val="16"/>
                  <w:lang w:val="en-GB"/>
                </w:rPr>
                <m:t xml:space="preserve"> </m:t>
              </m:r>
              <m:sSub>
                <m:sSubPr>
                  <m:ctrlPr>
                    <w:rPr>
                      <w:rFonts w:ascii="Cambria Math" w:hAnsi="Cambria Math" w:cs="Times New Roman"/>
                      <w:sz w:val="16"/>
                      <w:szCs w:val="16"/>
                      <w:lang w:val="en-GB"/>
                    </w:rPr>
                  </m:ctrlPr>
                </m:sSubPr>
                <m:e>
                  <m:r>
                    <w:rPr>
                      <w:rFonts w:ascii="Cambria Math" w:hAnsi="Cambria Math" w:cs="Times New Roman"/>
                      <w:sz w:val="16"/>
                      <w:szCs w:val="16"/>
                      <w:lang w:val="en-GB"/>
                    </w:rPr>
                    <m:t>ν</m:t>
                  </m:r>
                </m:e>
                <m:sub>
                  <m:r>
                    <w:rPr>
                      <w:rFonts w:ascii="Cambria Math" w:hAnsi="Cambria Math" w:cs="Times New Roman"/>
                      <w:sz w:val="16"/>
                      <w:szCs w:val="16"/>
                      <w:lang w:val="en-GB"/>
                    </w:rPr>
                    <m:t>cross,1</m:t>
                  </m:r>
                </m:sub>
              </m:sSub>
            </m:oMath>
            <w:r w:rsidR="003802CC" w:rsidRPr="001F226C">
              <w:rPr>
                <w:rFonts w:ascii="Times New Roman" w:hAnsi="Times New Roman" w:cs="Times New Roman"/>
                <w:sz w:val="16"/>
                <w:szCs w:val="16"/>
                <w:lang w:val="en-GB"/>
              </w:rPr>
              <w:t xml:space="preserve">, </w:t>
            </w:r>
            <m:oMath>
              <m:r>
                <m:rPr>
                  <m:sty m:val="p"/>
                </m:rPr>
                <w:rPr>
                  <w:rFonts w:ascii="Cambria Math" w:hAnsi="Cambria Math" w:cs="Times New Roman"/>
                  <w:sz w:val="16"/>
                  <w:szCs w:val="16"/>
                  <w:lang w:val="en-GB"/>
                </w:rPr>
                <w:br/>
              </m:r>
            </m:oMath>
            <m:oMathPara>
              <m:oMathParaPr>
                <m:jc m:val="center"/>
              </m:oMathParaPr>
              <m:oMath>
                <m:sSub>
                  <m:sSubPr>
                    <m:ctrlPr>
                      <w:rPr>
                        <w:rFonts w:ascii="Cambria Math" w:hAnsi="Cambria Math" w:cs="Times New Roman"/>
                        <w:sz w:val="16"/>
                        <w:szCs w:val="16"/>
                        <w:lang w:val="en-GB"/>
                      </w:rPr>
                    </m:ctrlPr>
                  </m:sSubPr>
                  <m:e>
                    <m:r>
                      <w:rPr>
                        <w:rFonts w:ascii="Cambria Math" w:hAnsi="Cambria Math" w:cs="Times New Roman"/>
                        <w:sz w:val="16"/>
                        <w:szCs w:val="16"/>
                        <w:lang w:val="en-GB"/>
                      </w:rPr>
                      <m:t>ν</m:t>
                    </m:r>
                  </m:e>
                  <m:sub>
                    <m:r>
                      <w:rPr>
                        <w:rFonts w:ascii="Cambria Math" w:hAnsi="Cambria Math" w:cs="Times New Roman"/>
                        <w:sz w:val="16"/>
                        <w:szCs w:val="16"/>
                        <w:lang w:val="en-GB"/>
                      </w:rPr>
                      <m:t>other,1</m:t>
                    </m:r>
                  </m:sub>
                </m:sSub>
              </m:oMath>
            </m:oMathPara>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F496FE0" w14:textId="57546CE3" w:rsidR="003802CC" w:rsidRPr="001F226C" w:rsidRDefault="003802CC" w:rsidP="003802CC">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 xml:space="preserve">Progression rate from CIN1 </w:t>
            </w:r>
            <w:r w:rsidR="000C1486">
              <w:rPr>
                <w:rFonts w:ascii="Times New Roman" w:hAnsi="Times New Roman" w:cs="Times New Roman"/>
                <w:sz w:val="16"/>
                <w:szCs w:val="16"/>
                <w:lang w:val="en-GB"/>
              </w:rPr>
              <w:t xml:space="preserve">to </w:t>
            </w:r>
            <w:r w:rsidR="00B658DB">
              <w:rPr>
                <w:rFonts w:ascii="Times New Roman" w:hAnsi="Times New Roman" w:cs="Times New Roman"/>
                <w:sz w:val="16"/>
                <w:szCs w:val="16"/>
                <w:lang w:val="en-GB"/>
              </w:rPr>
              <w:t>regressive CIN2/3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16F9680" w14:textId="77777777" w:rsidR="003802CC" w:rsidRPr="001F226C" w:rsidRDefault="003802CC" w:rsidP="003802CC">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0.048 per year for HPV 16,</w:t>
            </w:r>
          </w:p>
          <w:p w14:paraId="32BD7E60" w14:textId="77777777" w:rsidR="003802CC" w:rsidRPr="001F226C" w:rsidRDefault="003802CC" w:rsidP="003802CC">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0.00681 per year for HPV 18,</w:t>
            </w:r>
          </w:p>
          <w:p w14:paraId="4F496FE1" w14:textId="19DF719F" w:rsidR="003802CC" w:rsidRPr="001F226C" w:rsidRDefault="003802CC" w:rsidP="003802CC">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0.0447 per year for the cross-protective types and remaining HR HPV types</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F496FE2" w14:textId="6D53BF8A" w:rsidR="003802CC" w:rsidRPr="001F226C" w:rsidRDefault="00E9639D" w:rsidP="003802CC">
            <w:pPr>
              <w:pStyle w:val="TableContents"/>
              <w:rPr>
                <w:rFonts w:ascii="Times New Roman" w:hAnsi="Times New Roman" w:cs="Times New Roman"/>
                <w:sz w:val="16"/>
                <w:szCs w:val="16"/>
                <w:lang w:val="en-GB"/>
              </w:rPr>
            </w:pPr>
            <w:r w:rsidRPr="00E9639D">
              <w:rPr>
                <w:rFonts w:ascii="Times New Roman" w:hAnsi="Times New Roman" w:cs="Times New Roman"/>
                <w:sz w:val="16"/>
                <w:szCs w:val="16"/>
                <w:vertAlign w:val="superscript"/>
                <w:lang w:val="en-GB"/>
              </w:rPr>
              <w:t>6,7</w:t>
            </w:r>
          </w:p>
        </w:tc>
      </w:tr>
      <w:tr w:rsidR="00DB12FC" w:rsidRPr="001F226C" w14:paraId="1B052125" w14:textId="77777777" w:rsidTr="00F867CE">
        <w:tc>
          <w:tcPr>
            <w:tcW w:w="254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82F15D0" w14:textId="542C6E55" w:rsidR="003802CC" w:rsidRPr="001F226C" w:rsidRDefault="00000000" w:rsidP="003802CC">
            <w:pPr>
              <w:pStyle w:val="TableContents"/>
              <w:jc w:val="center"/>
              <w:rPr>
                <w:rFonts w:ascii="Times New Roman" w:hAnsi="Times New Roman" w:cs="Times New Roman"/>
                <w:sz w:val="16"/>
                <w:szCs w:val="16"/>
                <w:lang w:val="en-GB"/>
              </w:rPr>
            </w:pPr>
            <m:oMath>
              <m:sSub>
                <m:sSubPr>
                  <m:ctrlPr>
                    <w:rPr>
                      <w:rFonts w:ascii="Cambria Math" w:hAnsi="Cambria Math" w:cs="Times New Roman"/>
                      <w:sz w:val="16"/>
                      <w:szCs w:val="16"/>
                      <w:lang w:val="en-GB"/>
                    </w:rPr>
                  </m:ctrlPr>
                </m:sSubPr>
                <m:e>
                  <m:r>
                    <w:rPr>
                      <w:rFonts w:ascii="Cambria Math" w:hAnsi="Cambria Math" w:cs="Times New Roman"/>
                      <w:sz w:val="16"/>
                      <w:szCs w:val="16"/>
                      <w:lang w:val="en-GB"/>
                    </w:rPr>
                    <m:t>ν</m:t>
                  </m:r>
                </m:e>
                <m:sub>
                  <m:r>
                    <w:rPr>
                      <w:rFonts w:ascii="Cambria Math" w:hAnsi="Cambria Math" w:cs="Times New Roman"/>
                      <w:sz w:val="16"/>
                      <w:szCs w:val="16"/>
                      <w:lang w:val="en-GB"/>
                    </w:rPr>
                    <m:t>16,2</m:t>
                  </m:r>
                </m:sub>
              </m:sSub>
            </m:oMath>
            <w:r w:rsidR="003802CC" w:rsidRPr="001F226C">
              <w:rPr>
                <w:rFonts w:ascii="Times New Roman" w:hAnsi="Times New Roman" w:cs="Times New Roman"/>
                <w:sz w:val="16"/>
                <w:szCs w:val="16"/>
                <w:lang w:val="en-GB"/>
              </w:rPr>
              <w:t>,</w:t>
            </w:r>
            <m:oMath>
              <m:sSub>
                <m:sSubPr>
                  <m:ctrlPr>
                    <w:rPr>
                      <w:rFonts w:ascii="Cambria Math" w:hAnsi="Cambria Math" w:cs="Times New Roman"/>
                      <w:sz w:val="16"/>
                      <w:szCs w:val="16"/>
                      <w:lang w:val="en-GB"/>
                    </w:rPr>
                  </m:ctrlPr>
                </m:sSubPr>
                <m:e>
                  <m:r>
                    <w:rPr>
                      <w:rFonts w:ascii="Cambria Math" w:hAnsi="Cambria Math" w:cs="Times New Roman"/>
                      <w:sz w:val="16"/>
                      <w:szCs w:val="16"/>
                      <w:lang w:val="en-GB"/>
                    </w:rPr>
                    <m:t>ν</m:t>
                  </m:r>
                </m:e>
                <m:sub>
                  <m:r>
                    <w:rPr>
                      <w:rFonts w:ascii="Cambria Math" w:hAnsi="Cambria Math" w:cs="Times New Roman"/>
                      <w:sz w:val="16"/>
                      <w:szCs w:val="16"/>
                      <w:lang w:val="en-GB"/>
                    </w:rPr>
                    <m:t>18,2</m:t>
                  </m:r>
                </m:sub>
              </m:sSub>
            </m:oMath>
            <w:r w:rsidR="003802CC" w:rsidRPr="001F226C">
              <w:rPr>
                <w:rFonts w:ascii="Times New Roman" w:hAnsi="Times New Roman" w:cs="Times New Roman"/>
                <w:sz w:val="16"/>
                <w:szCs w:val="16"/>
                <w:lang w:val="en-GB"/>
              </w:rPr>
              <w:t>,</w:t>
            </w:r>
            <m:oMath>
              <m:r>
                <m:rPr>
                  <m:sty m:val="p"/>
                </m:rPr>
                <w:rPr>
                  <w:rFonts w:ascii="Cambria Math" w:hAnsi="Cambria Math" w:cs="Times New Roman"/>
                  <w:sz w:val="16"/>
                  <w:szCs w:val="16"/>
                  <w:lang w:val="en-GB"/>
                </w:rPr>
                <m:t xml:space="preserve"> </m:t>
              </m:r>
              <m:sSub>
                <m:sSubPr>
                  <m:ctrlPr>
                    <w:rPr>
                      <w:rFonts w:ascii="Cambria Math" w:hAnsi="Cambria Math" w:cs="Times New Roman"/>
                      <w:sz w:val="16"/>
                      <w:szCs w:val="16"/>
                      <w:lang w:val="en-GB"/>
                    </w:rPr>
                  </m:ctrlPr>
                </m:sSubPr>
                <m:e>
                  <m:r>
                    <w:rPr>
                      <w:rFonts w:ascii="Cambria Math" w:hAnsi="Cambria Math" w:cs="Times New Roman"/>
                      <w:sz w:val="16"/>
                      <w:szCs w:val="16"/>
                      <w:lang w:val="en-GB"/>
                    </w:rPr>
                    <m:t>ν</m:t>
                  </m:r>
                </m:e>
                <m:sub>
                  <m:r>
                    <w:rPr>
                      <w:rFonts w:ascii="Cambria Math" w:hAnsi="Cambria Math" w:cs="Times New Roman"/>
                      <w:sz w:val="16"/>
                      <w:szCs w:val="16"/>
                      <w:lang w:val="en-GB"/>
                    </w:rPr>
                    <m:t>cross,2</m:t>
                  </m:r>
                </m:sub>
              </m:sSub>
            </m:oMath>
            <w:r w:rsidR="003802CC" w:rsidRPr="001F226C">
              <w:rPr>
                <w:rFonts w:ascii="Times New Roman" w:hAnsi="Times New Roman" w:cs="Times New Roman"/>
                <w:sz w:val="16"/>
                <w:szCs w:val="16"/>
                <w:lang w:val="en-GB"/>
              </w:rPr>
              <w:t xml:space="preserve">, </w:t>
            </w:r>
            <m:oMath>
              <m:r>
                <m:rPr>
                  <m:sty m:val="p"/>
                </m:rPr>
                <w:rPr>
                  <w:rFonts w:ascii="Cambria Math" w:hAnsi="Cambria Math" w:cs="Times New Roman"/>
                  <w:sz w:val="16"/>
                  <w:szCs w:val="16"/>
                  <w:lang w:val="en-GB"/>
                </w:rPr>
                <w:br/>
              </m:r>
            </m:oMath>
            <m:oMathPara>
              <m:oMath>
                <m:sSub>
                  <m:sSubPr>
                    <m:ctrlPr>
                      <w:rPr>
                        <w:rFonts w:ascii="Cambria Math" w:hAnsi="Cambria Math" w:cs="Times New Roman"/>
                        <w:sz w:val="16"/>
                        <w:szCs w:val="16"/>
                        <w:lang w:val="en-GB"/>
                      </w:rPr>
                    </m:ctrlPr>
                  </m:sSubPr>
                  <m:e>
                    <m:r>
                      <w:rPr>
                        <w:rFonts w:ascii="Cambria Math" w:hAnsi="Cambria Math" w:cs="Times New Roman"/>
                        <w:sz w:val="16"/>
                        <w:szCs w:val="16"/>
                        <w:lang w:val="en-GB"/>
                      </w:rPr>
                      <m:t>ν</m:t>
                    </m:r>
                  </m:e>
                  <m:sub>
                    <m:r>
                      <w:rPr>
                        <w:rFonts w:ascii="Cambria Math" w:hAnsi="Cambria Math" w:cs="Times New Roman"/>
                        <w:sz w:val="16"/>
                        <w:szCs w:val="16"/>
                        <w:lang w:val="en-GB"/>
                      </w:rPr>
                      <m:t>other,2</m:t>
                    </m:r>
                  </m:sub>
                </m:sSub>
              </m:oMath>
            </m:oMathPara>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164A728" w14:textId="36CCD91F" w:rsidR="003802CC" w:rsidRPr="001F226C" w:rsidRDefault="003802CC" w:rsidP="003802CC">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 xml:space="preserve">Progression rate from CIN1 to </w:t>
            </w:r>
            <w:r w:rsidR="00B658DB">
              <w:rPr>
                <w:rFonts w:ascii="Times New Roman" w:hAnsi="Times New Roman" w:cs="Times New Roman"/>
                <w:sz w:val="16"/>
                <w:szCs w:val="16"/>
                <w:lang w:val="en-GB"/>
              </w:rPr>
              <w:t>non-</w:t>
            </w:r>
            <w:r w:rsidR="00FC6E0B">
              <w:rPr>
                <w:rFonts w:ascii="Times New Roman" w:hAnsi="Times New Roman" w:cs="Times New Roman"/>
                <w:sz w:val="16"/>
                <w:szCs w:val="16"/>
                <w:lang w:val="en-GB"/>
              </w:rPr>
              <w:t xml:space="preserve">regressive </w:t>
            </w:r>
            <w:r w:rsidRPr="001F226C">
              <w:rPr>
                <w:rFonts w:ascii="Times New Roman" w:hAnsi="Times New Roman" w:cs="Times New Roman"/>
                <w:sz w:val="16"/>
                <w:szCs w:val="16"/>
                <w:lang w:val="en-GB"/>
              </w:rPr>
              <w:t>CIN2</w:t>
            </w:r>
            <w:r w:rsidR="00FC6E0B">
              <w:rPr>
                <w:rFonts w:ascii="Times New Roman" w:hAnsi="Times New Roman" w:cs="Times New Roman"/>
                <w:sz w:val="16"/>
                <w:szCs w:val="16"/>
                <w:lang w:val="en-GB"/>
              </w:rPr>
              <w:t>/3</w:t>
            </w:r>
            <w:r w:rsidRPr="001F226C">
              <w:rPr>
                <w:rFonts w:ascii="Times New Roman" w:hAnsi="Times New Roman" w:cs="Times New Roman"/>
                <w:sz w:val="16"/>
                <w:szCs w:val="16"/>
                <w:lang w:val="en-GB"/>
              </w:rPr>
              <w:t xml:space="preserve">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F5F57D" w14:textId="77777777" w:rsidR="003802CC" w:rsidRPr="001F226C" w:rsidRDefault="003802CC" w:rsidP="003802CC">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0.0454 per year for HPV 16,</w:t>
            </w:r>
          </w:p>
          <w:p w14:paraId="00E8E882" w14:textId="77777777" w:rsidR="003802CC" w:rsidRPr="001F226C" w:rsidRDefault="003802CC" w:rsidP="003802CC">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0.0450 per year for HPV 18,</w:t>
            </w:r>
          </w:p>
          <w:p w14:paraId="0D6D4DCD" w14:textId="49017CD7" w:rsidR="003802CC" w:rsidRPr="001F226C" w:rsidRDefault="003802CC" w:rsidP="003802CC">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0.0110 per year for the cross-protective types and remaining HR HPV types</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54E61A7" w14:textId="71A2936B" w:rsidR="003802CC" w:rsidRPr="001F226C" w:rsidRDefault="003802CC" w:rsidP="003802CC">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fldChar w:fldCharType="begin" w:fldLock="1"/>
            </w:r>
            <w:r w:rsidR="005060F8" w:rsidRPr="001F226C">
              <w:rPr>
                <w:rFonts w:ascii="Times New Roman" w:hAnsi="Times New Roman" w:cs="Times New Roman"/>
                <w:sz w:val="16"/>
                <w:szCs w:val="16"/>
                <w:lang w:val="en-GB"/>
              </w:rPr>
              <w:instrText>ADDIN CSL_CITATION {"citationItems":[{"id":"ITEM-1","itemData":{"DOI":"10.1093/aje/kwp466","ISSN":"00029262","PMID":"20231211","abstract":"Viral transmissibility and natural resistance to infection are key determinants in assessing the population impact of human papillomavirus (HPV) vaccination, yet information on these parameters is scarce. Using data from 2 large-scale surveys on sexual behavior in the Netherlands (carried out in 2005-2006), the authors employed a Bayesian framework to fit a transmission model to the cross-sectional age-dependent prevalence of HPV DNA in cervical smears (data collected in 1992-2002), assuming that the prevaccine situation reflected an endemic equilibrium, and calculated type-specific estimates of transmissibility and infection-induced resistance. The posterior median transmission probability per heterosexual partnership covered a range of 0.43-0.94 among the 14 high-risk types of HPV. The transmission probability of HPV-16 was estimated at 0.80 (95% posterior interval: 0.60, 0.99) and that of HPV-18 at 0.93 (95% posterior interval: 0.72, 1). The model predicted that the decrease in HPV prevalence with age could not solely be explained by sexual activity and screening but also by resistance to reinfection, which is lost at a rate of 0.014-0.047 (1%-5%) per year. These results support the notion that HPV infection is highly transmissible, and they suggest a gradual loss of type-specific immunity over time. Because high transmission potential is associated with a low impact of herd immunity, extensive vaccination coverage will be required to substantially reduce cervical cancer incidence.","author":[{"dropping-particle":"","family":"Bogaards","given":"Johannes A.","non-dropping-particle":"","parse-names":false,"suffix":""},{"dropping-particle":"","family":"Xiridou","given":"Maria","non-dropping-particle":"","parse-names":false,"suffix":""},{"dropping-particle":"","family":"Coupé","given":"Veerle M.H.","non-dropping-particle":"","parse-names":false,"suffix":""},{"dropping-particle":"","family":"Meijer","given":"Chris J.L.M.","non-dropping-particle":"","parse-names":false,"suffix":""},{"dropping-particle":"","family":"Wallinga","given":"Jacco","non-dropping-particle":"","parse-names":false,"suffix":""},{"dropping-particle":"","family":"Berkhof","given":"Johannes","non-dropping-particle":"","parse-names":false,"suffix":""}],"container-title":"American Journal of Epidemiology","id":"ITEM-1","issue":"7","issued":{"date-parts":[["2010"]]},"page":"817-825","title":"Model-based estimation of viral transmissibility and infection-induced resistance from the age-dependent prevalence of infection for 14 high-risk types of human papillomavirus","type":"article-journal","volume":"171"},"uris":["http://www.mendeley.com/documents/?uuid=0094e599-d617-4960-a2da-5f1dc7f7ea31"]},{"id":"ITEM-2","itemData":{"DOI":"10.1016/J.VACCINE.2013.04.086","ISSN":"0264-410X","abstract":"We studied the cost-effectiveness of cervical cancer prevention strategies in the Central and Eastern Europe and Central Asia (CEECA) region. The cost-effectiveness of human papillomavirus (HPV)16/18 vaccination of 12 year-old girls was calculated for 28 countries, under the assumption that vaccination prevents 70% of all cervical cancer cases and that cervical cancer and all-cause mortality rates are stable without vaccination. At three-dose vaccination costs of I$ 100 per vaccinated girl (currency 2005 international dollars), HPV16/18 vaccination was very cost-effective in 25 out of 28 countries using the country's gross domestic product (GDP) per capita as cost-effectiveness threshold (criterion by World Health Organization). A three-dose vaccination cost of I$ 100 is within the current range of vaccine costs in European immunization programs, and therefore our results indicate that HPV vaccination may be good value for money. To evaluate the cost-effectiveness of cervical cancer screening combined with vaccination, we calibrated a published simulation model to HPV genotype data collected in Slovenia, Poland, and Georgia. The screening interval was varied at 3, 6, and 10 years starting at age 25 or 30 and ending at age 60. In Slovenia and Poland, combined vaccination and 10-yearly HPV (DNA) screening (vaccination coverage 70%, screening coverage per round 70%) was very cost-effective when the cost of three-dose vaccination was I$ 100 per vaccinated girl. More intensive screening was very cost-effective when the screening coverage per round was 30% or 50%. In Georgia, 10-yearly Pap screening was very cost-effective in unvaccinated women. Vaccination combined with 10-yearly HPV screening was likely to be cost-effective if the three-dose vaccination cost was I$ 50 per vaccinated girl. To conclude, cervical cancer prevention strategies utilizing both HPV16/18 vaccination and HPV screening are very cost-effective in countries with sufficient resources. In low-resource settings, low vaccine pricing is essential for strategies of combined vaccination and screening to be cost-effective.This article forms part of a regional report entitled \"Comprehensive Control of HPV Infections and Related Diseases in the Central and Eastern Europe and Central Asia Region\" Vaccine Volume 31, Supplement 7, 2013. Updates of the progress in the field are presented in a separate monograph entitled \"Comprehensive Control of HPV Infections and Related Diseases\" Vaccine Volume 30,…","author":[{"dropping-particle":"","family":"Berkhof","given":"Johannes","non-dropping-particle":"","parse-names":false,"suffix":""},{"dropping-particle":"","family":"Bogaards","given":"Johannes A.","non-dropping-particle":"","parse-names":false,"suffix":""},{"dropping-particle":"","family":"Demirel","given":"Erhan","non-dropping-particle":"","parse-names":false,"suffix":""},{"dropping-particle":"","family":"Diaz","given":"Mireia","non-dropping-particle":"","parse-names":false,"suffix":""},{"dropping-particle":"","family":"Sharma","given":"Monisha","non-dropping-particle":"","parse-names":false,"suffix":""},{"dropping-particle":"","family":"Kim","given":"Jane J.","non-dropping-particle":"","parse-names":false,"suffix":""}],"container-title":"Vaccine","id":"ITEM-2","issue":"S7","issued":{"date-parts":[["2013","12","31"]]},"page":"H71-H79","publisher":"Elsevier","title":"Cost-Effectiveness of Cervical Cancer Prevention in Central and Eastern Europe and Central Asia","type":"article-journal","volume":"31"},"uris":["http://www.mendeley.com/documents/?uuid=61124f11-b1f4-3e0d-8db8-661bed9cbce5"]}],"mendeley":{"formattedCitation":"(3,4)","plainTextFormattedCitation":"(3,4)","previouslyFormattedCitation":"(3,4)"},"properties":{"noteIndex":0},"schema":"https://github.com/citation-style-language/schema/raw/master/csl-citation.json"}</w:instrText>
            </w:r>
            <w:r w:rsidRPr="001F226C">
              <w:rPr>
                <w:rFonts w:ascii="Times New Roman" w:hAnsi="Times New Roman" w:cs="Times New Roman"/>
                <w:sz w:val="16"/>
                <w:szCs w:val="16"/>
                <w:lang w:val="en-GB"/>
              </w:rPr>
              <w:fldChar w:fldCharType="end"/>
            </w:r>
          </w:p>
        </w:tc>
      </w:tr>
      <w:tr w:rsidR="003802CC" w:rsidRPr="001F226C" w14:paraId="717C4245" w14:textId="77777777" w:rsidTr="00F867CE">
        <w:tc>
          <w:tcPr>
            <w:tcW w:w="254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4CB4CAE" w14:textId="0F86634B" w:rsidR="003802CC" w:rsidRPr="001F226C" w:rsidRDefault="00000000" w:rsidP="003802CC">
            <w:pPr>
              <w:pStyle w:val="TableContents"/>
              <w:jc w:val="center"/>
              <w:rPr>
                <w:rFonts w:ascii="Times New Roman" w:hAnsi="Times New Roman" w:cs="Times New Roman"/>
                <w:sz w:val="16"/>
                <w:szCs w:val="16"/>
                <w:lang w:val="en-GB"/>
              </w:rPr>
            </w:pPr>
            <m:oMath>
              <m:sSub>
                <m:sSubPr>
                  <m:ctrlPr>
                    <w:rPr>
                      <w:rFonts w:ascii="Cambria Math" w:hAnsi="Cambria Math" w:cs="Times New Roman"/>
                      <w:sz w:val="16"/>
                      <w:szCs w:val="16"/>
                      <w:lang w:val="en-GB"/>
                    </w:rPr>
                  </m:ctrlPr>
                </m:sSubPr>
                <m:e>
                  <m:r>
                    <w:rPr>
                      <w:rFonts w:ascii="Cambria Math" w:hAnsi="Cambria Math" w:cs="Times New Roman"/>
                      <w:sz w:val="16"/>
                      <w:szCs w:val="16"/>
                      <w:lang w:val="en-GB"/>
                    </w:rPr>
                    <m:t>μ</m:t>
                  </m:r>
                </m:e>
                <m:sub>
                  <m:r>
                    <w:rPr>
                      <w:rFonts w:ascii="Cambria Math" w:hAnsi="Cambria Math" w:cs="Times New Roman"/>
                      <w:sz w:val="16"/>
                      <w:szCs w:val="16"/>
                      <w:lang w:val="en-GB"/>
                    </w:rPr>
                    <m:t>16</m:t>
                  </m:r>
                </m:sub>
              </m:sSub>
            </m:oMath>
            <w:r w:rsidR="003802CC" w:rsidRPr="001F226C">
              <w:rPr>
                <w:rFonts w:ascii="Times New Roman" w:hAnsi="Times New Roman" w:cs="Times New Roman"/>
                <w:sz w:val="16"/>
                <w:szCs w:val="16"/>
                <w:lang w:val="en-GB"/>
              </w:rPr>
              <w:t xml:space="preserve">, </w:t>
            </w:r>
            <m:oMath>
              <m:sSub>
                <m:sSubPr>
                  <m:ctrlPr>
                    <w:rPr>
                      <w:rFonts w:ascii="Cambria Math" w:hAnsi="Cambria Math" w:cs="Times New Roman"/>
                      <w:sz w:val="16"/>
                      <w:szCs w:val="16"/>
                      <w:lang w:val="en-GB"/>
                    </w:rPr>
                  </m:ctrlPr>
                </m:sSubPr>
                <m:e>
                  <m:r>
                    <w:rPr>
                      <w:rFonts w:ascii="Cambria Math" w:hAnsi="Cambria Math" w:cs="Times New Roman"/>
                      <w:sz w:val="16"/>
                      <w:szCs w:val="16"/>
                      <w:lang w:val="en-GB"/>
                    </w:rPr>
                    <m:t>μ</m:t>
                  </m:r>
                </m:e>
                <m:sub>
                  <m:r>
                    <w:rPr>
                      <w:rFonts w:ascii="Cambria Math" w:hAnsi="Cambria Math" w:cs="Times New Roman"/>
                      <w:sz w:val="16"/>
                      <w:szCs w:val="16"/>
                      <w:lang w:val="en-GB"/>
                    </w:rPr>
                    <m:t>18</m:t>
                  </m:r>
                </m:sub>
              </m:sSub>
            </m:oMath>
            <w:r w:rsidR="003802CC" w:rsidRPr="001F226C">
              <w:rPr>
                <w:rFonts w:ascii="Times New Roman" w:hAnsi="Times New Roman" w:cs="Times New Roman"/>
                <w:sz w:val="16"/>
                <w:szCs w:val="16"/>
                <w:lang w:val="en-GB"/>
              </w:rPr>
              <w:t>,</w:t>
            </w:r>
            <m:oMath>
              <m:r>
                <m:rPr>
                  <m:sty m:val="p"/>
                </m:rPr>
                <w:rPr>
                  <w:rFonts w:ascii="Cambria Math" w:hAnsi="Cambria Math" w:cs="Times New Roman"/>
                  <w:sz w:val="16"/>
                  <w:szCs w:val="16"/>
                  <w:lang w:val="en-GB"/>
                </w:rPr>
                <m:t xml:space="preserve"> </m:t>
              </m:r>
              <m:sSub>
                <m:sSubPr>
                  <m:ctrlPr>
                    <w:rPr>
                      <w:rFonts w:ascii="Cambria Math" w:hAnsi="Cambria Math" w:cs="Times New Roman"/>
                      <w:sz w:val="16"/>
                      <w:szCs w:val="16"/>
                      <w:lang w:val="en-GB"/>
                    </w:rPr>
                  </m:ctrlPr>
                </m:sSubPr>
                <m:e>
                  <m:r>
                    <w:rPr>
                      <w:rFonts w:ascii="Cambria Math" w:hAnsi="Cambria Math" w:cs="Times New Roman"/>
                      <w:sz w:val="16"/>
                      <w:szCs w:val="16"/>
                      <w:lang w:val="en-GB"/>
                    </w:rPr>
                    <m:t>μ</m:t>
                  </m:r>
                </m:e>
                <m:sub>
                  <m:r>
                    <w:rPr>
                      <w:rFonts w:ascii="Cambria Math" w:hAnsi="Cambria Math" w:cs="Times New Roman"/>
                      <w:sz w:val="16"/>
                      <w:szCs w:val="16"/>
                      <w:lang w:val="en-GB"/>
                    </w:rPr>
                    <m:t>cross</m:t>
                  </m:r>
                </m:sub>
              </m:sSub>
            </m:oMath>
            <w:r w:rsidR="003802CC" w:rsidRPr="001F226C">
              <w:rPr>
                <w:rFonts w:ascii="Times New Roman" w:hAnsi="Times New Roman" w:cs="Times New Roman"/>
                <w:sz w:val="16"/>
                <w:szCs w:val="16"/>
                <w:lang w:val="en-GB"/>
              </w:rPr>
              <w:t>,</w:t>
            </w:r>
            <m:oMath>
              <m:r>
                <m:rPr>
                  <m:sty m:val="p"/>
                </m:rPr>
                <w:rPr>
                  <w:rFonts w:ascii="Cambria Math" w:hAnsi="Cambria Math" w:cs="Times New Roman"/>
                  <w:sz w:val="16"/>
                  <w:szCs w:val="16"/>
                  <w:lang w:val="en-GB"/>
                </w:rPr>
                <w:br/>
              </m:r>
            </m:oMath>
            <m:oMathPara>
              <m:oMath>
                <m:sSub>
                  <m:sSubPr>
                    <m:ctrlPr>
                      <w:rPr>
                        <w:rFonts w:ascii="Cambria Math" w:hAnsi="Cambria Math" w:cs="Times New Roman"/>
                        <w:sz w:val="16"/>
                        <w:szCs w:val="16"/>
                        <w:lang w:val="en-GB"/>
                      </w:rPr>
                    </m:ctrlPr>
                  </m:sSubPr>
                  <m:e>
                    <m:r>
                      <w:rPr>
                        <w:rFonts w:ascii="Cambria Math" w:hAnsi="Cambria Math" w:cs="Times New Roman"/>
                        <w:sz w:val="16"/>
                        <w:szCs w:val="16"/>
                        <w:lang w:val="en-GB"/>
                      </w:rPr>
                      <m:t>μ</m:t>
                    </m:r>
                  </m:e>
                  <m:sub>
                    <m:r>
                      <w:rPr>
                        <w:rFonts w:ascii="Cambria Math" w:hAnsi="Cambria Math" w:cs="Times New Roman"/>
                        <w:sz w:val="16"/>
                        <w:szCs w:val="16"/>
                        <w:lang w:val="en-GB"/>
                      </w:rPr>
                      <m:t>other</m:t>
                    </m:r>
                  </m:sub>
                </m:sSub>
              </m:oMath>
            </m:oMathPara>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6498993" w14:textId="319BE04E" w:rsidR="003802CC" w:rsidRPr="001F226C" w:rsidRDefault="003802CC" w:rsidP="003802CC">
            <w:pPr>
              <w:pStyle w:val="TableContents"/>
              <w:rPr>
                <w:rFonts w:ascii="Times New Roman" w:hAnsi="Times New Roman" w:cs="Times New Roman"/>
                <w:sz w:val="16"/>
                <w:szCs w:val="16"/>
                <w:lang w:val="en-GB"/>
              </w:rPr>
            </w:pPr>
            <w:r w:rsidRPr="001F226C">
              <w:rPr>
                <w:rFonts w:ascii="Times New Roman" w:hAnsi="Times New Roman" w:cs="Times New Roman"/>
                <w:sz w:val="16"/>
                <w:szCs w:val="16"/>
                <w:lang w:val="en-GB"/>
              </w:rPr>
              <w:t xml:space="preserve">Rate of waning natural immunity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F7C31DD" w14:textId="77777777" w:rsidR="003802CC" w:rsidRPr="001F226C" w:rsidRDefault="003802CC" w:rsidP="003802CC">
            <w:pPr>
              <w:pStyle w:val="TableContents"/>
              <w:tabs>
                <w:tab w:val="left" w:pos="2492"/>
              </w:tabs>
              <w:rPr>
                <w:rFonts w:ascii="Times New Roman" w:hAnsi="Times New Roman" w:cs="Times New Roman"/>
                <w:sz w:val="16"/>
                <w:szCs w:val="16"/>
                <w:lang w:val="en-GB"/>
              </w:rPr>
            </w:pPr>
            <w:r w:rsidRPr="001F226C">
              <w:rPr>
                <w:rFonts w:ascii="Times New Roman" w:hAnsi="Times New Roman" w:cs="Times New Roman"/>
                <w:sz w:val="16"/>
                <w:szCs w:val="16"/>
                <w:lang w:val="en-GB"/>
              </w:rPr>
              <w:t>0.0407 per year for HPV 16,</w:t>
            </w:r>
          </w:p>
          <w:p w14:paraId="7E1D1075" w14:textId="77777777" w:rsidR="003802CC" w:rsidRPr="001F226C" w:rsidRDefault="003802CC" w:rsidP="003802CC">
            <w:pPr>
              <w:pStyle w:val="TableContents"/>
              <w:tabs>
                <w:tab w:val="left" w:pos="2492"/>
              </w:tabs>
              <w:rPr>
                <w:rFonts w:ascii="Times New Roman" w:hAnsi="Times New Roman" w:cs="Times New Roman"/>
                <w:sz w:val="16"/>
                <w:szCs w:val="16"/>
                <w:lang w:val="en-GB"/>
              </w:rPr>
            </w:pPr>
            <w:r w:rsidRPr="001F226C">
              <w:rPr>
                <w:rFonts w:ascii="Times New Roman" w:hAnsi="Times New Roman" w:cs="Times New Roman"/>
                <w:sz w:val="16"/>
                <w:szCs w:val="16"/>
                <w:lang w:val="en-GB"/>
              </w:rPr>
              <w:t>0.0287 per year for HPV 18,</w:t>
            </w:r>
          </w:p>
          <w:p w14:paraId="2E2FA87E" w14:textId="0E5F65C8" w:rsidR="003802CC" w:rsidRPr="001F226C" w:rsidRDefault="003802CC" w:rsidP="003802CC">
            <w:pPr>
              <w:pStyle w:val="TableContents"/>
              <w:tabs>
                <w:tab w:val="left" w:pos="2492"/>
              </w:tabs>
              <w:rPr>
                <w:rFonts w:ascii="Times New Roman" w:hAnsi="Times New Roman" w:cs="Times New Roman"/>
                <w:sz w:val="16"/>
                <w:szCs w:val="16"/>
                <w:lang w:val="en-GB"/>
              </w:rPr>
            </w:pPr>
            <w:r w:rsidRPr="001F226C">
              <w:rPr>
                <w:rFonts w:ascii="Times New Roman" w:hAnsi="Times New Roman" w:cs="Times New Roman"/>
                <w:sz w:val="16"/>
                <w:szCs w:val="16"/>
                <w:lang w:val="en-GB"/>
              </w:rPr>
              <w:t>0.0320 per year for the cross-protective types and remaining HR HPV types</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55FA650" w14:textId="1D283908" w:rsidR="003802CC" w:rsidRPr="001F226C" w:rsidRDefault="00E9639D" w:rsidP="003802CC">
            <w:pPr>
              <w:pStyle w:val="TableContents"/>
              <w:rPr>
                <w:rFonts w:ascii="Times New Roman" w:hAnsi="Times New Roman" w:cs="Times New Roman"/>
                <w:sz w:val="16"/>
                <w:szCs w:val="16"/>
                <w:lang w:val="en-GB"/>
              </w:rPr>
            </w:pPr>
            <w:r w:rsidRPr="00E9639D">
              <w:rPr>
                <w:rFonts w:ascii="Times New Roman" w:hAnsi="Times New Roman" w:cs="Times New Roman"/>
                <w:sz w:val="16"/>
                <w:szCs w:val="16"/>
                <w:vertAlign w:val="superscript"/>
                <w:lang w:val="en-GB"/>
              </w:rPr>
              <w:t>6,7</w:t>
            </w:r>
          </w:p>
        </w:tc>
      </w:tr>
    </w:tbl>
    <w:p w14:paraId="4F496FE9" w14:textId="77777777" w:rsidR="007F4785" w:rsidRPr="001F226C" w:rsidRDefault="007F4785">
      <w:pPr>
        <w:pStyle w:val="Table"/>
        <w:rPr>
          <w:rFonts w:ascii="Times New Roman" w:hAnsi="Times New Roman" w:cs="Times New Roman"/>
          <w:b/>
          <w:bCs/>
          <w:i w:val="0"/>
          <w:iCs w:val="0"/>
          <w:sz w:val="22"/>
          <w:szCs w:val="22"/>
          <w:lang w:val="en-GB"/>
        </w:rPr>
      </w:pPr>
    </w:p>
    <w:p w14:paraId="4D51AF99" w14:textId="77777777" w:rsidR="00253B52" w:rsidRDefault="00253B52">
      <w:pPr>
        <w:suppressAutoHyphens w:val="0"/>
        <w:rPr>
          <w:rFonts w:ascii="Times New Roman" w:hAnsi="Times New Roman" w:cs="Times New Roman"/>
          <w:sz w:val="20"/>
          <w:szCs w:val="20"/>
          <w:lang w:val="en-GB"/>
        </w:rPr>
      </w:pPr>
    </w:p>
    <w:p w14:paraId="00C10B1F" w14:textId="77777777" w:rsidR="00E9639D" w:rsidRDefault="00E9639D">
      <w:pPr>
        <w:suppressAutoHyphens w:val="0"/>
        <w:rPr>
          <w:rFonts w:ascii="Times New Roman" w:hAnsi="Times New Roman" w:cs="Times New Roman"/>
          <w:sz w:val="20"/>
          <w:szCs w:val="20"/>
          <w:lang w:val="en-GB"/>
        </w:rPr>
      </w:pPr>
    </w:p>
    <w:p w14:paraId="54DE0378" w14:textId="5D181A97" w:rsidR="00E9639D" w:rsidRDefault="00E9639D">
      <w:pPr>
        <w:suppressAutoHyphens w:val="0"/>
        <w:rPr>
          <w:rFonts w:ascii="Times New Roman" w:hAnsi="Times New Roman" w:cs="Times New Roman"/>
          <w:sz w:val="20"/>
          <w:szCs w:val="20"/>
          <w:lang w:val="en-GB"/>
        </w:rPr>
        <w:sectPr w:rsidR="00E9639D" w:rsidSect="00A564EB">
          <w:type w:val="continuous"/>
          <w:pgSz w:w="16838" w:h="11906" w:orient="landscape"/>
          <w:pgMar w:top="1134" w:right="1134" w:bottom="1134" w:left="1134" w:header="720" w:footer="720" w:gutter="0"/>
          <w:cols w:space="720"/>
          <w:docGrid w:linePitch="326"/>
        </w:sectPr>
      </w:pPr>
    </w:p>
    <w:p w14:paraId="1422D133" w14:textId="030C607E" w:rsidR="0092667F" w:rsidRDefault="0023159C" w:rsidP="00E9639D">
      <w:pPr>
        <w:pStyle w:val="Heading1"/>
        <w:rPr>
          <w:rFonts w:ascii="Times New Roman" w:hAnsi="Times New Roman" w:cs="Times New Roman"/>
          <w:color w:val="auto"/>
          <w:lang w:val="en-GB"/>
        </w:rPr>
      </w:pPr>
      <w:bookmarkStart w:id="0" w:name="_Toc135819371"/>
      <w:r w:rsidRPr="001F226C">
        <w:rPr>
          <w:rFonts w:ascii="Times New Roman" w:hAnsi="Times New Roman" w:cs="Times New Roman"/>
          <w:color w:val="auto"/>
          <w:lang w:val="en-GB"/>
        </w:rPr>
        <w:t>Reference</w:t>
      </w:r>
      <w:r w:rsidR="00D4528C">
        <w:rPr>
          <w:rFonts w:ascii="Times New Roman" w:hAnsi="Times New Roman" w:cs="Times New Roman"/>
          <w:color w:val="auto"/>
          <w:lang w:val="en-GB"/>
        </w:rPr>
        <w:t>s</w:t>
      </w:r>
      <w:bookmarkEnd w:id="0"/>
    </w:p>
    <w:p w14:paraId="0CDE715B" w14:textId="09970191" w:rsidR="00E9639D" w:rsidRDefault="00E9639D" w:rsidP="00E9639D">
      <w:pPr>
        <w:rPr>
          <w:lang w:val="en-GB"/>
        </w:rPr>
      </w:pPr>
    </w:p>
    <w:p w14:paraId="0123D44C" w14:textId="2B209B9C" w:rsidR="00E9639D" w:rsidRPr="00E9639D" w:rsidRDefault="00E9639D" w:rsidP="00E9639D">
      <w:pPr>
        <w:pStyle w:val="ListParagraph"/>
        <w:numPr>
          <w:ilvl w:val="0"/>
          <w:numId w:val="25"/>
        </w:numPr>
        <w:rPr>
          <w:lang w:val="en-GB"/>
        </w:rPr>
      </w:pPr>
      <w:r w:rsidRPr="00E9639D">
        <w:rPr>
          <w:rFonts w:cs="Liberation Serif"/>
          <w:color w:val="222222"/>
          <w:shd w:val="clear" w:color="auto" w:fill="FFFFFF"/>
        </w:rPr>
        <w:t>UN Life tables. United Nations Department of Economic Social Affairs Population Dynamics. </w:t>
      </w:r>
    </w:p>
    <w:p w14:paraId="6A02803F" w14:textId="1CFE6FE3" w:rsidR="00E9639D" w:rsidRDefault="00E9639D" w:rsidP="00E9639D">
      <w:pPr>
        <w:pStyle w:val="ListParagraph"/>
        <w:numPr>
          <w:ilvl w:val="0"/>
          <w:numId w:val="25"/>
        </w:numPr>
      </w:pPr>
      <w:r w:rsidRPr="00E9639D">
        <w:t>The Demographic and Health Surveys (DHS). United States Agency of International Development (USAID).</w:t>
      </w:r>
    </w:p>
    <w:p w14:paraId="0F37C2AC" w14:textId="6817247D" w:rsidR="00E9639D" w:rsidRDefault="00E9639D" w:rsidP="00E9639D">
      <w:pPr>
        <w:pStyle w:val="ListParagraph"/>
        <w:numPr>
          <w:ilvl w:val="0"/>
          <w:numId w:val="25"/>
        </w:numPr>
      </w:pPr>
      <w:proofErr w:type="spellStart"/>
      <w:r w:rsidRPr="00E9639D">
        <w:rPr>
          <w:lang w:val="nl-NL"/>
        </w:rPr>
        <w:t>Gaffey</w:t>
      </w:r>
      <w:proofErr w:type="spellEnd"/>
      <w:r w:rsidRPr="00E9639D">
        <w:rPr>
          <w:lang w:val="nl-NL"/>
        </w:rPr>
        <w:t xml:space="preserve"> MF, </w:t>
      </w:r>
      <w:proofErr w:type="spellStart"/>
      <w:r w:rsidRPr="00E9639D">
        <w:rPr>
          <w:lang w:val="nl-NL"/>
        </w:rPr>
        <w:t>Venkatesh</w:t>
      </w:r>
      <w:proofErr w:type="spellEnd"/>
      <w:r w:rsidRPr="00E9639D">
        <w:rPr>
          <w:lang w:val="nl-NL"/>
        </w:rPr>
        <w:t xml:space="preserve"> S, </w:t>
      </w:r>
      <w:proofErr w:type="spellStart"/>
      <w:r w:rsidRPr="00E9639D">
        <w:rPr>
          <w:lang w:val="nl-NL"/>
        </w:rPr>
        <w:t>Dhingra</w:t>
      </w:r>
      <w:proofErr w:type="spellEnd"/>
      <w:r w:rsidRPr="00E9639D">
        <w:rPr>
          <w:lang w:val="nl-NL"/>
        </w:rPr>
        <w:t xml:space="preserve"> N, et al. </w:t>
      </w:r>
      <w:r w:rsidRPr="00E9639D">
        <w:t xml:space="preserve">Male use of female sex work in India: A nationally representative </w:t>
      </w:r>
      <w:proofErr w:type="spellStart"/>
      <w:r w:rsidRPr="00E9639D">
        <w:t>behavioural</w:t>
      </w:r>
      <w:proofErr w:type="spellEnd"/>
      <w:r w:rsidRPr="00E9639D">
        <w:t xml:space="preserve"> survey. </w:t>
      </w:r>
      <w:proofErr w:type="spellStart"/>
      <w:r w:rsidRPr="00E9639D">
        <w:rPr>
          <w:i/>
        </w:rPr>
        <w:t>PLoS</w:t>
      </w:r>
      <w:proofErr w:type="spellEnd"/>
      <w:r w:rsidRPr="00E9639D">
        <w:rPr>
          <w:i/>
        </w:rPr>
        <w:t xml:space="preserve"> One</w:t>
      </w:r>
      <w:r w:rsidRPr="00E9639D">
        <w:t xml:space="preserve"> 2011; </w:t>
      </w:r>
      <w:r w:rsidRPr="00E9639D">
        <w:rPr>
          <w:b/>
        </w:rPr>
        <w:t>6</w:t>
      </w:r>
      <w:r w:rsidRPr="00E9639D">
        <w:t>(7): e22704.</w:t>
      </w:r>
    </w:p>
    <w:p w14:paraId="7B2587E9" w14:textId="5ADFC51F" w:rsidR="00E9639D" w:rsidRDefault="00E9639D" w:rsidP="00E9639D">
      <w:pPr>
        <w:pStyle w:val="ListParagraph"/>
        <w:numPr>
          <w:ilvl w:val="0"/>
          <w:numId w:val="25"/>
        </w:numPr>
      </w:pPr>
      <w:proofErr w:type="spellStart"/>
      <w:r w:rsidRPr="00E9639D">
        <w:t>Vandepitte</w:t>
      </w:r>
      <w:proofErr w:type="spellEnd"/>
      <w:r w:rsidRPr="00E9639D">
        <w:t xml:space="preserve"> J, Lyerla R, </w:t>
      </w:r>
      <w:proofErr w:type="spellStart"/>
      <w:r w:rsidRPr="00E9639D">
        <w:t>Dallabetta</w:t>
      </w:r>
      <w:proofErr w:type="spellEnd"/>
      <w:r w:rsidRPr="00E9639D">
        <w:t xml:space="preserve"> G, </w:t>
      </w:r>
      <w:proofErr w:type="spellStart"/>
      <w:r w:rsidRPr="00E9639D">
        <w:t>Crabbé</w:t>
      </w:r>
      <w:proofErr w:type="spellEnd"/>
      <w:r w:rsidRPr="00E9639D">
        <w:t xml:space="preserve"> F, Alary M, </w:t>
      </w:r>
      <w:proofErr w:type="spellStart"/>
      <w:r w:rsidRPr="00E9639D">
        <w:t>Buvé</w:t>
      </w:r>
      <w:proofErr w:type="spellEnd"/>
      <w:r w:rsidRPr="00E9639D">
        <w:t xml:space="preserve"> A. Estimates of the number of female sex workers in different regions of the world. </w:t>
      </w:r>
      <w:r w:rsidRPr="00E9639D">
        <w:rPr>
          <w:i/>
        </w:rPr>
        <w:t>Sexually Transmitted Infections</w:t>
      </w:r>
      <w:r w:rsidRPr="00E9639D">
        <w:t xml:space="preserve"> 2006; </w:t>
      </w:r>
      <w:r w:rsidRPr="00E9639D">
        <w:rPr>
          <w:b/>
        </w:rPr>
        <w:t>82</w:t>
      </w:r>
      <w:r w:rsidRPr="00E9639D">
        <w:t>(suppl 3): iii18-25.</w:t>
      </w:r>
    </w:p>
    <w:p w14:paraId="095125F5" w14:textId="559A1DD0" w:rsidR="00E9639D" w:rsidRPr="00E9639D" w:rsidRDefault="00E9639D" w:rsidP="00E9639D">
      <w:pPr>
        <w:pStyle w:val="ListParagraph"/>
        <w:numPr>
          <w:ilvl w:val="0"/>
          <w:numId w:val="25"/>
        </w:numPr>
      </w:pPr>
      <w:r w:rsidRPr="00E9639D">
        <w:t xml:space="preserve">National </w:t>
      </w:r>
      <w:proofErr w:type="spellStart"/>
      <w:r w:rsidRPr="00E9639D">
        <w:t>Behavioural</w:t>
      </w:r>
      <w:proofErr w:type="spellEnd"/>
      <w:r w:rsidRPr="00E9639D">
        <w:t xml:space="preserve"> Surveillance Survey: General Population 2006. National AIDS Control </w:t>
      </w:r>
      <w:proofErr w:type="spellStart"/>
      <w:r w:rsidRPr="00E9639D">
        <w:t>Organisation</w:t>
      </w:r>
      <w:proofErr w:type="spellEnd"/>
      <w:r w:rsidRPr="00E9639D">
        <w:t xml:space="preserve"> Ministry of Health and Family Welfare Government of India. </w:t>
      </w:r>
    </w:p>
    <w:p w14:paraId="13A36A78" w14:textId="14768F74" w:rsidR="00E9639D" w:rsidRPr="00E9639D" w:rsidRDefault="00E9639D" w:rsidP="00E9639D">
      <w:pPr>
        <w:pStyle w:val="ListParagraph"/>
        <w:numPr>
          <w:ilvl w:val="0"/>
          <w:numId w:val="25"/>
        </w:numPr>
      </w:pPr>
      <w:proofErr w:type="spellStart"/>
      <w:r w:rsidRPr="00E9639D">
        <w:t>Berkhof</w:t>
      </w:r>
      <w:proofErr w:type="spellEnd"/>
      <w:r w:rsidRPr="00E9639D">
        <w:t xml:space="preserve"> J, </w:t>
      </w:r>
      <w:proofErr w:type="spellStart"/>
      <w:r w:rsidRPr="00E9639D">
        <w:t>Bogaards</w:t>
      </w:r>
      <w:proofErr w:type="spellEnd"/>
      <w:r w:rsidRPr="00E9639D">
        <w:t xml:space="preserve"> JA, </w:t>
      </w:r>
      <w:proofErr w:type="spellStart"/>
      <w:r w:rsidRPr="00E9639D">
        <w:t>Demirel</w:t>
      </w:r>
      <w:proofErr w:type="spellEnd"/>
      <w:r w:rsidRPr="00E9639D">
        <w:t xml:space="preserve"> E, Diaz M, Sharma M, Kim JJ. Cost-Effectiveness of Cervical Cancer Prevention in Central and Eastern Europe and Central Asia. </w:t>
      </w:r>
      <w:r w:rsidRPr="00E9639D">
        <w:rPr>
          <w:i/>
        </w:rPr>
        <w:t>Vaccine</w:t>
      </w:r>
      <w:r w:rsidRPr="00E9639D">
        <w:t xml:space="preserve"> 2013; </w:t>
      </w:r>
      <w:r w:rsidRPr="00E9639D">
        <w:rPr>
          <w:b/>
        </w:rPr>
        <w:t>31</w:t>
      </w:r>
      <w:r w:rsidRPr="00E9639D">
        <w:t>(S7): H71-H9.</w:t>
      </w:r>
    </w:p>
    <w:p w14:paraId="7F38406D" w14:textId="236A1548" w:rsidR="00E9639D" w:rsidRPr="00E9639D" w:rsidRDefault="00E9639D" w:rsidP="00E9639D">
      <w:pPr>
        <w:pStyle w:val="ListParagraph"/>
        <w:numPr>
          <w:ilvl w:val="0"/>
          <w:numId w:val="25"/>
        </w:numPr>
      </w:pPr>
      <w:proofErr w:type="spellStart"/>
      <w:r w:rsidRPr="00E9639D">
        <w:lastRenderedPageBreak/>
        <w:t>Bogaards</w:t>
      </w:r>
      <w:proofErr w:type="spellEnd"/>
      <w:r w:rsidRPr="00E9639D">
        <w:t xml:space="preserve"> JA, </w:t>
      </w:r>
      <w:proofErr w:type="spellStart"/>
      <w:r w:rsidRPr="00E9639D">
        <w:t>Xiridou</w:t>
      </w:r>
      <w:proofErr w:type="spellEnd"/>
      <w:r w:rsidRPr="00E9639D">
        <w:t xml:space="preserve"> M, Coupé VMH, Meijer CJLM, </w:t>
      </w:r>
      <w:proofErr w:type="spellStart"/>
      <w:r w:rsidRPr="00E9639D">
        <w:t>Wallinga</w:t>
      </w:r>
      <w:proofErr w:type="spellEnd"/>
      <w:r w:rsidRPr="00E9639D">
        <w:t xml:space="preserve"> J, </w:t>
      </w:r>
      <w:proofErr w:type="spellStart"/>
      <w:r w:rsidRPr="00E9639D">
        <w:t>Berkhof</w:t>
      </w:r>
      <w:proofErr w:type="spellEnd"/>
      <w:r w:rsidRPr="00E9639D">
        <w:t xml:space="preserve"> J. Model-based estimation of viral transmissibility and infection-induced resistance from the age-dependent prevalence of infection for 14 high-risk types of human papillomavirus. </w:t>
      </w:r>
      <w:r w:rsidRPr="00E9639D">
        <w:rPr>
          <w:i/>
        </w:rPr>
        <w:t>American Journal of Epidemiology</w:t>
      </w:r>
      <w:r w:rsidRPr="00E9639D">
        <w:t xml:space="preserve"> 2010; </w:t>
      </w:r>
      <w:r w:rsidRPr="00E9639D">
        <w:rPr>
          <w:b/>
        </w:rPr>
        <w:t>171</w:t>
      </w:r>
      <w:r w:rsidRPr="00E9639D">
        <w:t xml:space="preserve">(7): 817-25. </w:t>
      </w:r>
    </w:p>
    <w:p w14:paraId="01040E40" w14:textId="77777777" w:rsidR="00E9639D" w:rsidRPr="00E9639D" w:rsidRDefault="00E9639D" w:rsidP="00E9639D"/>
    <w:p w14:paraId="61AC4A0D" w14:textId="77777777" w:rsidR="00E9639D" w:rsidRPr="00E9639D" w:rsidRDefault="00E9639D" w:rsidP="00E9639D">
      <w:pPr>
        <w:rPr>
          <w:lang w:val="en-GB"/>
        </w:rPr>
      </w:pPr>
    </w:p>
    <w:sectPr w:rsidR="00E9639D" w:rsidRPr="00E9639D" w:rsidSect="00A564EB">
      <w:type w:val="continuous"/>
      <w:pgSz w:w="16838" w:h="11906" w:orient="landscape"/>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88DD5" w14:textId="77777777" w:rsidR="0062568C" w:rsidRDefault="0062568C">
      <w:r>
        <w:separator/>
      </w:r>
    </w:p>
  </w:endnote>
  <w:endnote w:type="continuationSeparator" w:id="0">
    <w:p w14:paraId="675173E0" w14:textId="77777777" w:rsidR="0062568C" w:rsidRDefault="0062568C">
      <w:r>
        <w:continuationSeparator/>
      </w:r>
    </w:p>
  </w:endnote>
  <w:endnote w:type="continuationNotice" w:id="1">
    <w:p w14:paraId="71F53CDE" w14:textId="77777777" w:rsidR="0062568C" w:rsidRDefault="006256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ourier New"/>
    <w:panose1 w:val="020B0604020202020204"/>
    <w:charset w:val="4D"/>
    <w:family w:val="decorative"/>
    <w:pitch w:val="variable"/>
    <w:sig w:usb0="800000AF" w:usb1="1001ECEA"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 PL SungtiL GB">
    <w:altName w:val="Calibri"/>
    <w:panose1 w:val="020B0604020202020204"/>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iberation Serif">
    <w:altName w:val="Times New Roman"/>
    <w:panose1 w:val="020B0604020202020204"/>
    <w:charset w:val="00"/>
    <w:family w:val="roman"/>
    <w:pitch w:val="variable"/>
    <w:sig w:usb0="E0000AFF" w:usb1="500078FF" w:usb2="00000021" w:usb3="00000000" w:csb0="000001BF" w:csb1="00000000"/>
  </w:font>
  <w:font w:name="Lohit Devanagari">
    <w:altName w:val="Calibri"/>
    <w:panose1 w:val="020B0604020202020204"/>
    <w:charset w:val="00"/>
    <w:family w:val="auto"/>
    <w:pitch w:val="variable"/>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Liberation Mono">
    <w:panose1 w:val="02070409020205020404"/>
    <w:charset w:val="00"/>
    <w:family w:val="modern"/>
    <w:pitch w:val="fixed"/>
    <w:sig w:usb0="E0000AFF" w:usb1="400078FF" w:usb2="00000001" w:usb3="00000000" w:csb0="000001BF"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978649"/>
      <w:docPartObj>
        <w:docPartGallery w:val="Page Numbers (Bottom of Page)"/>
        <w:docPartUnique/>
      </w:docPartObj>
    </w:sdtPr>
    <w:sdtEndPr>
      <w:rPr>
        <w:noProof/>
      </w:rPr>
    </w:sdtEndPr>
    <w:sdtContent>
      <w:p w14:paraId="06733C3D" w14:textId="19E97D30" w:rsidR="00C8013C" w:rsidRDefault="00C8013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4350C9" w14:textId="77777777" w:rsidR="00C8013C" w:rsidRDefault="00C80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FC8C0" w14:textId="77777777" w:rsidR="0062568C" w:rsidRDefault="0062568C">
      <w:r>
        <w:rPr>
          <w:color w:val="000000"/>
        </w:rPr>
        <w:separator/>
      </w:r>
    </w:p>
  </w:footnote>
  <w:footnote w:type="continuationSeparator" w:id="0">
    <w:p w14:paraId="30F7A01E" w14:textId="77777777" w:rsidR="0062568C" w:rsidRDefault="0062568C">
      <w:r>
        <w:continuationSeparator/>
      </w:r>
    </w:p>
  </w:footnote>
  <w:footnote w:type="continuationNotice" w:id="1">
    <w:p w14:paraId="253871AC" w14:textId="77777777" w:rsidR="0062568C" w:rsidRDefault="006256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5CB4"/>
    <w:multiLevelType w:val="multilevel"/>
    <w:tmpl w:val="700270CA"/>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1" w15:restartNumberingAfterBreak="0">
    <w:nsid w:val="10EF59B4"/>
    <w:multiLevelType w:val="multilevel"/>
    <w:tmpl w:val="5124341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132E0A58"/>
    <w:multiLevelType w:val="multilevel"/>
    <w:tmpl w:val="F31295EE"/>
    <w:lvl w:ilvl="0">
      <w:start w:val="1"/>
      <w:numFmt w:val="decimal"/>
      <w:lvlText w:val="B.%1."/>
      <w:lvlJc w:val="left"/>
      <w:pPr>
        <w:ind w:left="360" w:hanging="360"/>
      </w:pPr>
    </w:lvl>
    <w:lvl w:ilvl="1">
      <w:start w:val="1"/>
      <w:numFmt w:val="decimal"/>
      <w:lvlText w:val="B.%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19305E"/>
    <w:multiLevelType w:val="multilevel"/>
    <w:tmpl w:val="691CF0AE"/>
    <w:lvl w:ilvl="0">
      <w:start w:val="1"/>
      <w:numFmt w:val="decimal"/>
      <w:lvlText w:val="A.%1."/>
      <w:lvlJc w:val="left"/>
      <w:pPr>
        <w:ind w:left="360" w:hanging="360"/>
      </w:pPr>
    </w:lvl>
    <w:lvl w:ilvl="1">
      <w:start w:val="1"/>
      <w:numFmt w:val="decimal"/>
      <w:lvlText w:val="A.%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9038D7"/>
    <w:multiLevelType w:val="hybridMultilevel"/>
    <w:tmpl w:val="025CE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5D44D6"/>
    <w:multiLevelType w:val="multilevel"/>
    <w:tmpl w:val="1B4EC70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2B7035A1"/>
    <w:multiLevelType w:val="multilevel"/>
    <w:tmpl w:val="4C14260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333F46DF"/>
    <w:multiLevelType w:val="multilevel"/>
    <w:tmpl w:val="4072B346"/>
    <w:lvl w:ilvl="0">
      <w:numFmt w:val="bullet"/>
      <w:lvlText w:val="-"/>
      <w:lvlJc w:val="left"/>
      <w:pPr>
        <w:ind w:left="720" w:hanging="360"/>
      </w:pPr>
      <w:rPr>
        <w:rFonts w:ascii="Calibri" w:eastAsia="AR PL SungtiL GB"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7CE197C"/>
    <w:multiLevelType w:val="multilevel"/>
    <w:tmpl w:val="C922B1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3F9A42E4"/>
    <w:multiLevelType w:val="multilevel"/>
    <w:tmpl w:val="B9F0BA2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48A760A1"/>
    <w:multiLevelType w:val="hybridMultilevel"/>
    <w:tmpl w:val="0D446A32"/>
    <w:lvl w:ilvl="0" w:tplc="B616E4A4">
      <w:start w:val="1"/>
      <w:numFmt w:val="decimal"/>
      <w:lvlText w:val="%1."/>
      <w:lvlJc w:val="left"/>
      <w:pPr>
        <w:ind w:left="480" w:hanging="48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9447C9E"/>
    <w:multiLevelType w:val="multilevel"/>
    <w:tmpl w:val="FC3069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4A195865"/>
    <w:multiLevelType w:val="multilevel"/>
    <w:tmpl w:val="AFCA8B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DE51D57"/>
    <w:multiLevelType w:val="hybridMultilevel"/>
    <w:tmpl w:val="95FC7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303598"/>
    <w:multiLevelType w:val="multilevel"/>
    <w:tmpl w:val="704EF92C"/>
    <w:styleLink w:val="WWNum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396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2AF3BCD"/>
    <w:multiLevelType w:val="multilevel"/>
    <w:tmpl w:val="D4FA0F56"/>
    <w:lvl w:ilvl="0">
      <w:numFmt w:val="bullet"/>
      <w:lvlText w:val="-"/>
      <w:lvlJc w:val="left"/>
      <w:pPr>
        <w:ind w:left="840" w:hanging="360"/>
      </w:pPr>
      <w:rPr>
        <w:rFonts w:ascii="Times New Roman" w:eastAsia="AR PL SungtiL GB" w:hAnsi="Times New Roman" w:cs="Times New Roman"/>
      </w:rPr>
    </w:lvl>
    <w:lvl w:ilvl="1">
      <w:numFmt w:val="bullet"/>
      <w:lvlText w:val="o"/>
      <w:lvlJc w:val="left"/>
      <w:pPr>
        <w:ind w:left="1560" w:hanging="360"/>
      </w:pPr>
      <w:rPr>
        <w:rFonts w:ascii="Courier New" w:hAnsi="Courier New" w:cs="Courier New"/>
      </w:rPr>
    </w:lvl>
    <w:lvl w:ilvl="2">
      <w:numFmt w:val="bullet"/>
      <w:lvlText w:val=""/>
      <w:lvlJc w:val="left"/>
      <w:pPr>
        <w:ind w:left="2280" w:hanging="360"/>
      </w:pPr>
      <w:rPr>
        <w:rFonts w:ascii="Wingdings" w:hAnsi="Wingdings"/>
      </w:rPr>
    </w:lvl>
    <w:lvl w:ilvl="3">
      <w:numFmt w:val="bullet"/>
      <w:lvlText w:val=""/>
      <w:lvlJc w:val="left"/>
      <w:pPr>
        <w:ind w:left="3000" w:hanging="360"/>
      </w:pPr>
      <w:rPr>
        <w:rFonts w:ascii="Symbol" w:hAnsi="Symbol"/>
      </w:rPr>
    </w:lvl>
    <w:lvl w:ilvl="4">
      <w:numFmt w:val="bullet"/>
      <w:lvlText w:val="o"/>
      <w:lvlJc w:val="left"/>
      <w:pPr>
        <w:ind w:left="3720" w:hanging="360"/>
      </w:pPr>
      <w:rPr>
        <w:rFonts w:ascii="Courier New" w:hAnsi="Courier New" w:cs="Courier New"/>
      </w:rPr>
    </w:lvl>
    <w:lvl w:ilvl="5">
      <w:numFmt w:val="bullet"/>
      <w:lvlText w:val=""/>
      <w:lvlJc w:val="left"/>
      <w:pPr>
        <w:ind w:left="4440" w:hanging="360"/>
      </w:pPr>
      <w:rPr>
        <w:rFonts w:ascii="Wingdings" w:hAnsi="Wingdings"/>
      </w:rPr>
    </w:lvl>
    <w:lvl w:ilvl="6">
      <w:numFmt w:val="bullet"/>
      <w:lvlText w:val=""/>
      <w:lvlJc w:val="left"/>
      <w:pPr>
        <w:ind w:left="5160" w:hanging="360"/>
      </w:pPr>
      <w:rPr>
        <w:rFonts w:ascii="Symbol" w:hAnsi="Symbol"/>
      </w:rPr>
    </w:lvl>
    <w:lvl w:ilvl="7">
      <w:numFmt w:val="bullet"/>
      <w:lvlText w:val="o"/>
      <w:lvlJc w:val="left"/>
      <w:pPr>
        <w:ind w:left="5880" w:hanging="360"/>
      </w:pPr>
      <w:rPr>
        <w:rFonts w:ascii="Courier New" w:hAnsi="Courier New" w:cs="Courier New"/>
      </w:rPr>
    </w:lvl>
    <w:lvl w:ilvl="8">
      <w:numFmt w:val="bullet"/>
      <w:lvlText w:val=""/>
      <w:lvlJc w:val="left"/>
      <w:pPr>
        <w:ind w:left="6600" w:hanging="360"/>
      </w:pPr>
      <w:rPr>
        <w:rFonts w:ascii="Wingdings" w:hAnsi="Wingdings"/>
      </w:rPr>
    </w:lvl>
  </w:abstractNum>
  <w:abstractNum w:abstractNumId="16" w15:restartNumberingAfterBreak="0">
    <w:nsid w:val="55E86D88"/>
    <w:multiLevelType w:val="multilevel"/>
    <w:tmpl w:val="960CE6F2"/>
    <w:lvl w:ilvl="0">
      <w:numFmt w:val="bullet"/>
      <w:lvlText w:val="-"/>
      <w:lvlJc w:val="left"/>
      <w:pPr>
        <w:ind w:left="840" w:hanging="360"/>
      </w:pPr>
      <w:rPr>
        <w:rFonts w:ascii="Calibri" w:eastAsia="AR PL SungtiL GB" w:hAnsi="Calibri" w:cs="Calibri"/>
      </w:rPr>
    </w:lvl>
    <w:lvl w:ilvl="1">
      <w:numFmt w:val="bullet"/>
      <w:lvlText w:val="o"/>
      <w:lvlJc w:val="left"/>
      <w:pPr>
        <w:ind w:left="1560" w:hanging="360"/>
      </w:pPr>
      <w:rPr>
        <w:rFonts w:ascii="Courier New" w:hAnsi="Courier New" w:cs="Courier New"/>
      </w:rPr>
    </w:lvl>
    <w:lvl w:ilvl="2">
      <w:numFmt w:val="bullet"/>
      <w:lvlText w:val=""/>
      <w:lvlJc w:val="left"/>
      <w:pPr>
        <w:ind w:left="2280" w:hanging="360"/>
      </w:pPr>
      <w:rPr>
        <w:rFonts w:ascii="Wingdings" w:hAnsi="Wingdings"/>
      </w:rPr>
    </w:lvl>
    <w:lvl w:ilvl="3">
      <w:numFmt w:val="bullet"/>
      <w:lvlText w:val=""/>
      <w:lvlJc w:val="left"/>
      <w:pPr>
        <w:ind w:left="3000" w:hanging="360"/>
      </w:pPr>
      <w:rPr>
        <w:rFonts w:ascii="Symbol" w:hAnsi="Symbol"/>
      </w:rPr>
    </w:lvl>
    <w:lvl w:ilvl="4">
      <w:numFmt w:val="bullet"/>
      <w:lvlText w:val="o"/>
      <w:lvlJc w:val="left"/>
      <w:pPr>
        <w:ind w:left="3720" w:hanging="360"/>
      </w:pPr>
      <w:rPr>
        <w:rFonts w:ascii="Courier New" w:hAnsi="Courier New" w:cs="Courier New"/>
      </w:rPr>
    </w:lvl>
    <w:lvl w:ilvl="5">
      <w:numFmt w:val="bullet"/>
      <w:lvlText w:val=""/>
      <w:lvlJc w:val="left"/>
      <w:pPr>
        <w:ind w:left="4440" w:hanging="360"/>
      </w:pPr>
      <w:rPr>
        <w:rFonts w:ascii="Wingdings" w:hAnsi="Wingdings"/>
      </w:rPr>
    </w:lvl>
    <w:lvl w:ilvl="6">
      <w:numFmt w:val="bullet"/>
      <w:lvlText w:val=""/>
      <w:lvlJc w:val="left"/>
      <w:pPr>
        <w:ind w:left="5160" w:hanging="360"/>
      </w:pPr>
      <w:rPr>
        <w:rFonts w:ascii="Symbol" w:hAnsi="Symbol"/>
      </w:rPr>
    </w:lvl>
    <w:lvl w:ilvl="7">
      <w:numFmt w:val="bullet"/>
      <w:lvlText w:val="o"/>
      <w:lvlJc w:val="left"/>
      <w:pPr>
        <w:ind w:left="5880" w:hanging="360"/>
      </w:pPr>
      <w:rPr>
        <w:rFonts w:ascii="Courier New" w:hAnsi="Courier New" w:cs="Courier New"/>
      </w:rPr>
    </w:lvl>
    <w:lvl w:ilvl="8">
      <w:numFmt w:val="bullet"/>
      <w:lvlText w:val=""/>
      <w:lvlJc w:val="left"/>
      <w:pPr>
        <w:ind w:left="6600" w:hanging="360"/>
      </w:pPr>
      <w:rPr>
        <w:rFonts w:ascii="Wingdings" w:hAnsi="Wingdings"/>
      </w:rPr>
    </w:lvl>
  </w:abstractNum>
  <w:abstractNum w:abstractNumId="17" w15:restartNumberingAfterBreak="0">
    <w:nsid w:val="59073185"/>
    <w:multiLevelType w:val="multilevel"/>
    <w:tmpl w:val="D5501F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5ECA361D"/>
    <w:multiLevelType w:val="multilevel"/>
    <w:tmpl w:val="6B564D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15:restartNumberingAfterBreak="0">
    <w:nsid w:val="64B83A2C"/>
    <w:multiLevelType w:val="multilevel"/>
    <w:tmpl w:val="D7E87A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15:restartNumberingAfterBreak="0">
    <w:nsid w:val="73A2514F"/>
    <w:multiLevelType w:val="multilevel"/>
    <w:tmpl w:val="08D42DC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766E25FE"/>
    <w:multiLevelType w:val="multilevel"/>
    <w:tmpl w:val="6F3CB73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7BBA61D8"/>
    <w:multiLevelType w:val="multilevel"/>
    <w:tmpl w:val="E6AC10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15:restartNumberingAfterBreak="0">
    <w:nsid w:val="7BF40A27"/>
    <w:multiLevelType w:val="multilevel"/>
    <w:tmpl w:val="67F458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15:restartNumberingAfterBreak="0">
    <w:nsid w:val="7C837BF1"/>
    <w:multiLevelType w:val="multilevel"/>
    <w:tmpl w:val="579C5B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774781048">
    <w:abstractNumId w:val="14"/>
  </w:num>
  <w:num w:numId="2" w16cid:durableId="38601619">
    <w:abstractNumId w:val="3"/>
  </w:num>
  <w:num w:numId="3" w16cid:durableId="494304035">
    <w:abstractNumId w:val="15"/>
  </w:num>
  <w:num w:numId="4" w16cid:durableId="1973900749">
    <w:abstractNumId w:val="20"/>
  </w:num>
  <w:num w:numId="5" w16cid:durableId="612130933">
    <w:abstractNumId w:val="12"/>
  </w:num>
  <w:num w:numId="6" w16cid:durableId="2030831127">
    <w:abstractNumId w:val="6"/>
  </w:num>
  <w:num w:numId="7" w16cid:durableId="1790968793">
    <w:abstractNumId w:val="22"/>
  </w:num>
  <w:num w:numId="8" w16cid:durableId="1765422736">
    <w:abstractNumId w:val="24"/>
  </w:num>
  <w:num w:numId="9" w16cid:durableId="1694068920">
    <w:abstractNumId w:val="8"/>
  </w:num>
  <w:num w:numId="10" w16cid:durableId="178856761">
    <w:abstractNumId w:val="1"/>
  </w:num>
  <w:num w:numId="11" w16cid:durableId="1092169856">
    <w:abstractNumId w:val="11"/>
  </w:num>
  <w:num w:numId="12" w16cid:durableId="1783528108">
    <w:abstractNumId w:val="21"/>
  </w:num>
  <w:num w:numId="13" w16cid:durableId="703793734">
    <w:abstractNumId w:val="18"/>
  </w:num>
  <w:num w:numId="14" w16cid:durableId="2095586165">
    <w:abstractNumId w:val="23"/>
  </w:num>
  <w:num w:numId="15" w16cid:durableId="23943763">
    <w:abstractNumId w:val="5"/>
  </w:num>
  <w:num w:numId="16" w16cid:durableId="1377195997">
    <w:abstractNumId w:val="17"/>
  </w:num>
  <w:num w:numId="17" w16cid:durableId="897783287">
    <w:abstractNumId w:val="0"/>
  </w:num>
  <w:num w:numId="18" w16cid:durableId="558825798">
    <w:abstractNumId w:val="9"/>
  </w:num>
  <w:num w:numId="19" w16cid:durableId="946501266">
    <w:abstractNumId w:val="19"/>
  </w:num>
  <w:num w:numId="20" w16cid:durableId="159082378">
    <w:abstractNumId w:val="16"/>
  </w:num>
  <w:num w:numId="21" w16cid:durableId="1907184622">
    <w:abstractNumId w:val="2"/>
  </w:num>
  <w:num w:numId="22" w16cid:durableId="164512582">
    <w:abstractNumId w:val="7"/>
  </w:num>
  <w:num w:numId="23" w16cid:durableId="166678871">
    <w:abstractNumId w:val="10"/>
  </w:num>
  <w:num w:numId="24" w16cid:durableId="311645518">
    <w:abstractNumId w:val="4"/>
  </w:num>
  <w:num w:numId="25" w16cid:durableId="10049394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48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Lancet&lt;/Style&gt;&lt;LeftDelim&gt;{&lt;/LeftDelim&gt;&lt;RightDelim&gt;}&lt;/RightDelim&gt;&lt;FontName&gt;&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efzxzzs1xdzvxet90nprpw0vtrredvx5029&quot;&gt;Appendix_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record-ids&gt;&lt;/item&gt;&lt;/Libraries&gt;"/>
  </w:docVars>
  <w:rsids>
    <w:rsidRoot w:val="007F4785"/>
    <w:rsid w:val="0000032C"/>
    <w:rsid w:val="00000A8D"/>
    <w:rsid w:val="00001649"/>
    <w:rsid w:val="0000247A"/>
    <w:rsid w:val="000026DE"/>
    <w:rsid w:val="000029C7"/>
    <w:rsid w:val="00002D99"/>
    <w:rsid w:val="00003DA1"/>
    <w:rsid w:val="0000429A"/>
    <w:rsid w:val="00005125"/>
    <w:rsid w:val="00006770"/>
    <w:rsid w:val="00007CC8"/>
    <w:rsid w:val="00010FC2"/>
    <w:rsid w:val="00012A86"/>
    <w:rsid w:val="00012FFF"/>
    <w:rsid w:val="000138FE"/>
    <w:rsid w:val="00013DB0"/>
    <w:rsid w:val="00014EAD"/>
    <w:rsid w:val="00015913"/>
    <w:rsid w:val="00017C59"/>
    <w:rsid w:val="00017D86"/>
    <w:rsid w:val="00020429"/>
    <w:rsid w:val="000205B0"/>
    <w:rsid w:val="00020B3F"/>
    <w:rsid w:val="000213D3"/>
    <w:rsid w:val="00022282"/>
    <w:rsid w:val="00023A0B"/>
    <w:rsid w:val="000246D0"/>
    <w:rsid w:val="00024CFD"/>
    <w:rsid w:val="00024FD7"/>
    <w:rsid w:val="00026AAC"/>
    <w:rsid w:val="0002765F"/>
    <w:rsid w:val="000300E0"/>
    <w:rsid w:val="00031601"/>
    <w:rsid w:val="0003160D"/>
    <w:rsid w:val="00032D50"/>
    <w:rsid w:val="00033BB1"/>
    <w:rsid w:val="000351F3"/>
    <w:rsid w:val="00035FF0"/>
    <w:rsid w:val="00036ED7"/>
    <w:rsid w:val="0003734E"/>
    <w:rsid w:val="0003787E"/>
    <w:rsid w:val="000431F2"/>
    <w:rsid w:val="00043B66"/>
    <w:rsid w:val="0005261F"/>
    <w:rsid w:val="00052879"/>
    <w:rsid w:val="00053F5B"/>
    <w:rsid w:val="00057CD7"/>
    <w:rsid w:val="00060D83"/>
    <w:rsid w:val="0006184A"/>
    <w:rsid w:val="000629EF"/>
    <w:rsid w:val="000645F3"/>
    <w:rsid w:val="00064F9E"/>
    <w:rsid w:val="000650CF"/>
    <w:rsid w:val="0006598E"/>
    <w:rsid w:val="000700C9"/>
    <w:rsid w:val="00071C5E"/>
    <w:rsid w:val="000724DE"/>
    <w:rsid w:val="000730B3"/>
    <w:rsid w:val="00073152"/>
    <w:rsid w:val="0007377F"/>
    <w:rsid w:val="0007392B"/>
    <w:rsid w:val="00075032"/>
    <w:rsid w:val="00075197"/>
    <w:rsid w:val="00075678"/>
    <w:rsid w:val="00076292"/>
    <w:rsid w:val="0007639A"/>
    <w:rsid w:val="00080157"/>
    <w:rsid w:val="0008175B"/>
    <w:rsid w:val="00082321"/>
    <w:rsid w:val="00083B65"/>
    <w:rsid w:val="00084FBB"/>
    <w:rsid w:val="00085A6F"/>
    <w:rsid w:val="00086B73"/>
    <w:rsid w:val="00087272"/>
    <w:rsid w:val="00087810"/>
    <w:rsid w:val="000919CD"/>
    <w:rsid w:val="00091BE8"/>
    <w:rsid w:val="00093D8C"/>
    <w:rsid w:val="00095A74"/>
    <w:rsid w:val="000A0963"/>
    <w:rsid w:val="000A0965"/>
    <w:rsid w:val="000A737F"/>
    <w:rsid w:val="000A78E3"/>
    <w:rsid w:val="000A7D99"/>
    <w:rsid w:val="000A7E8A"/>
    <w:rsid w:val="000B2520"/>
    <w:rsid w:val="000B4899"/>
    <w:rsid w:val="000B4DC1"/>
    <w:rsid w:val="000B522C"/>
    <w:rsid w:val="000B54F0"/>
    <w:rsid w:val="000B593A"/>
    <w:rsid w:val="000B6900"/>
    <w:rsid w:val="000C1486"/>
    <w:rsid w:val="000C2EFE"/>
    <w:rsid w:val="000C3967"/>
    <w:rsid w:val="000C530D"/>
    <w:rsid w:val="000C79F6"/>
    <w:rsid w:val="000D28F3"/>
    <w:rsid w:val="000D45A4"/>
    <w:rsid w:val="000D5A7B"/>
    <w:rsid w:val="000E043A"/>
    <w:rsid w:val="000E2FC4"/>
    <w:rsid w:val="000E5AC3"/>
    <w:rsid w:val="000E64F0"/>
    <w:rsid w:val="000E7C12"/>
    <w:rsid w:val="000F01BB"/>
    <w:rsid w:val="000F0409"/>
    <w:rsid w:val="000F6B4D"/>
    <w:rsid w:val="000F7292"/>
    <w:rsid w:val="000F76A9"/>
    <w:rsid w:val="0010155C"/>
    <w:rsid w:val="00102340"/>
    <w:rsid w:val="0010267C"/>
    <w:rsid w:val="001027F8"/>
    <w:rsid w:val="00102CAE"/>
    <w:rsid w:val="00102CF0"/>
    <w:rsid w:val="00104B8E"/>
    <w:rsid w:val="001057C0"/>
    <w:rsid w:val="00106EB1"/>
    <w:rsid w:val="00115A61"/>
    <w:rsid w:val="0011654F"/>
    <w:rsid w:val="001177F2"/>
    <w:rsid w:val="00120733"/>
    <w:rsid w:val="00123683"/>
    <w:rsid w:val="00125085"/>
    <w:rsid w:val="001265BD"/>
    <w:rsid w:val="00126DB2"/>
    <w:rsid w:val="0013595C"/>
    <w:rsid w:val="00140FCF"/>
    <w:rsid w:val="0014151B"/>
    <w:rsid w:val="00141EE7"/>
    <w:rsid w:val="00147418"/>
    <w:rsid w:val="0015066D"/>
    <w:rsid w:val="001508A3"/>
    <w:rsid w:val="001527CC"/>
    <w:rsid w:val="001533A6"/>
    <w:rsid w:val="00154810"/>
    <w:rsid w:val="00154EDB"/>
    <w:rsid w:val="001559F4"/>
    <w:rsid w:val="00156AC7"/>
    <w:rsid w:val="00157661"/>
    <w:rsid w:val="00162111"/>
    <w:rsid w:val="001633DE"/>
    <w:rsid w:val="001637FE"/>
    <w:rsid w:val="00164469"/>
    <w:rsid w:val="00164BF3"/>
    <w:rsid w:val="00165EA3"/>
    <w:rsid w:val="001674D6"/>
    <w:rsid w:val="0017021B"/>
    <w:rsid w:val="00171A72"/>
    <w:rsid w:val="00171B24"/>
    <w:rsid w:val="00171C08"/>
    <w:rsid w:val="00171E87"/>
    <w:rsid w:val="00173AD6"/>
    <w:rsid w:val="00176281"/>
    <w:rsid w:val="001802BF"/>
    <w:rsid w:val="001810E6"/>
    <w:rsid w:val="00181133"/>
    <w:rsid w:val="001812DD"/>
    <w:rsid w:val="001867A3"/>
    <w:rsid w:val="00187496"/>
    <w:rsid w:val="00187A97"/>
    <w:rsid w:val="00194259"/>
    <w:rsid w:val="00194B2E"/>
    <w:rsid w:val="0019626E"/>
    <w:rsid w:val="001965D0"/>
    <w:rsid w:val="001973CC"/>
    <w:rsid w:val="0019761D"/>
    <w:rsid w:val="00197936"/>
    <w:rsid w:val="00197E7D"/>
    <w:rsid w:val="001A2BA7"/>
    <w:rsid w:val="001A30BA"/>
    <w:rsid w:val="001A3F0E"/>
    <w:rsid w:val="001A53E0"/>
    <w:rsid w:val="001A564B"/>
    <w:rsid w:val="001A5CA6"/>
    <w:rsid w:val="001A65F3"/>
    <w:rsid w:val="001B178F"/>
    <w:rsid w:val="001B2162"/>
    <w:rsid w:val="001B2E99"/>
    <w:rsid w:val="001B49D6"/>
    <w:rsid w:val="001B62C4"/>
    <w:rsid w:val="001B6E8A"/>
    <w:rsid w:val="001B7358"/>
    <w:rsid w:val="001C19F7"/>
    <w:rsid w:val="001C239B"/>
    <w:rsid w:val="001C5645"/>
    <w:rsid w:val="001D1A03"/>
    <w:rsid w:val="001D51AD"/>
    <w:rsid w:val="001D646E"/>
    <w:rsid w:val="001E19B1"/>
    <w:rsid w:val="001E56DD"/>
    <w:rsid w:val="001E629D"/>
    <w:rsid w:val="001E62FB"/>
    <w:rsid w:val="001F0D22"/>
    <w:rsid w:val="001F1600"/>
    <w:rsid w:val="001F1974"/>
    <w:rsid w:val="001F226C"/>
    <w:rsid w:val="001F4DED"/>
    <w:rsid w:val="001F5CFD"/>
    <w:rsid w:val="001F7186"/>
    <w:rsid w:val="001F7B3D"/>
    <w:rsid w:val="002001B6"/>
    <w:rsid w:val="00203CA8"/>
    <w:rsid w:val="00204A4E"/>
    <w:rsid w:val="00204BF0"/>
    <w:rsid w:val="00205DA2"/>
    <w:rsid w:val="00206242"/>
    <w:rsid w:val="00206F45"/>
    <w:rsid w:val="00210A4A"/>
    <w:rsid w:val="00210C18"/>
    <w:rsid w:val="00211621"/>
    <w:rsid w:val="002143B4"/>
    <w:rsid w:val="002167F0"/>
    <w:rsid w:val="00217FA2"/>
    <w:rsid w:val="00220CB5"/>
    <w:rsid w:val="00220D4C"/>
    <w:rsid w:val="00222778"/>
    <w:rsid w:val="002237F2"/>
    <w:rsid w:val="0022404A"/>
    <w:rsid w:val="00224B9F"/>
    <w:rsid w:val="00227334"/>
    <w:rsid w:val="002300C7"/>
    <w:rsid w:val="0023159C"/>
    <w:rsid w:val="00232440"/>
    <w:rsid w:val="002332BB"/>
    <w:rsid w:val="00233929"/>
    <w:rsid w:val="002365BE"/>
    <w:rsid w:val="00240F4D"/>
    <w:rsid w:val="002410CC"/>
    <w:rsid w:val="00241D1A"/>
    <w:rsid w:val="00242B7E"/>
    <w:rsid w:val="00244B41"/>
    <w:rsid w:val="0024567B"/>
    <w:rsid w:val="00245797"/>
    <w:rsid w:val="002457AF"/>
    <w:rsid w:val="00246AEC"/>
    <w:rsid w:val="00246D37"/>
    <w:rsid w:val="00247A1B"/>
    <w:rsid w:val="00247E3F"/>
    <w:rsid w:val="00252071"/>
    <w:rsid w:val="002523EA"/>
    <w:rsid w:val="00253B52"/>
    <w:rsid w:val="002609C5"/>
    <w:rsid w:val="0026224D"/>
    <w:rsid w:val="002660F9"/>
    <w:rsid w:val="002711D2"/>
    <w:rsid w:val="002742EF"/>
    <w:rsid w:val="002746EB"/>
    <w:rsid w:val="00274F2F"/>
    <w:rsid w:val="00275948"/>
    <w:rsid w:val="002762FF"/>
    <w:rsid w:val="00276E3F"/>
    <w:rsid w:val="0028007A"/>
    <w:rsid w:val="00280588"/>
    <w:rsid w:val="00281788"/>
    <w:rsid w:val="00282A3F"/>
    <w:rsid w:val="00282A51"/>
    <w:rsid w:val="0028309D"/>
    <w:rsid w:val="00283903"/>
    <w:rsid w:val="0028599C"/>
    <w:rsid w:val="00286570"/>
    <w:rsid w:val="002878E8"/>
    <w:rsid w:val="0029145C"/>
    <w:rsid w:val="002938D5"/>
    <w:rsid w:val="00295980"/>
    <w:rsid w:val="002959F8"/>
    <w:rsid w:val="002A2AFC"/>
    <w:rsid w:val="002A2C36"/>
    <w:rsid w:val="002A38A3"/>
    <w:rsid w:val="002A52EC"/>
    <w:rsid w:val="002A6A83"/>
    <w:rsid w:val="002B2905"/>
    <w:rsid w:val="002B3226"/>
    <w:rsid w:val="002B3A83"/>
    <w:rsid w:val="002B498B"/>
    <w:rsid w:val="002B5B9B"/>
    <w:rsid w:val="002B68C3"/>
    <w:rsid w:val="002B79C7"/>
    <w:rsid w:val="002C3DE7"/>
    <w:rsid w:val="002C4780"/>
    <w:rsid w:val="002C640A"/>
    <w:rsid w:val="002C6A49"/>
    <w:rsid w:val="002C7466"/>
    <w:rsid w:val="002D0ADD"/>
    <w:rsid w:val="002D1B4C"/>
    <w:rsid w:val="002D4EE5"/>
    <w:rsid w:val="002D5378"/>
    <w:rsid w:val="002D57E2"/>
    <w:rsid w:val="002D6820"/>
    <w:rsid w:val="002D7DF0"/>
    <w:rsid w:val="002E1AAC"/>
    <w:rsid w:val="002E2764"/>
    <w:rsid w:val="002E3CF6"/>
    <w:rsid w:val="002E5B0C"/>
    <w:rsid w:val="002E6D95"/>
    <w:rsid w:val="002E78D1"/>
    <w:rsid w:val="002F303A"/>
    <w:rsid w:val="002F5C75"/>
    <w:rsid w:val="002F6635"/>
    <w:rsid w:val="002F6B37"/>
    <w:rsid w:val="00303512"/>
    <w:rsid w:val="00304772"/>
    <w:rsid w:val="003061AA"/>
    <w:rsid w:val="00310A3B"/>
    <w:rsid w:val="003131CD"/>
    <w:rsid w:val="003134AE"/>
    <w:rsid w:val="00315ADE"/>
    <w:rsid w:val="0031658E"/>
    <w:rsid w:val="00317A28"/>
    <w:rsid w:val="00320761"/>
    <w:rsid w:val="00321EA5"/>
    <w:rsid w:val="00324D66"/>
    <w:rsid w:val="003262AF"/>
    <w:rsid w:val="0032750A"/>
    <w:rsid w:val="00327DCC"/>
    <w:rsid w:val="00330110"/>
    <w:rsid w:val="003304DD"/>
    <w:rsid w:val="00330D3D"/>
    <w:rsid w:val="00331F83"/>
    <w:rsid w:val="00332040"/>
    <w:rsid w:val="00332DEA"/>
    <w:rsid w:val="00333BE6"/>
    <w:rsid w:val="0033448E"/>
    <w:rsid w:val="00335B07"/>
    <w:rsid w:val="00336A82"/>
    <w:rsid w:val="00336B77"/>
    <w:rsid w:val="003370E9"/>
    <w:rsid w:val="003372D5"/>
    <w:rsid w:val="003405CC"/>
    <w:rsid w:val="00342D96"/>
    <w:rsid w:val="0034300E"/>
    <w:rsid w:val="0035223C"/>
    <w:rsid w:val="00353553"/>
    <w:rsid w:val="00357B2B"/>
    <w:rsid w:val="00360FC9"/>
    <w:rsid w:val="00365361"/>
    <w:rsid w:val="0037162E"/>
    <w:rsid w:val="00373EC2"/>
    <w:rsid w:val="00375390"/>
    <w:rsid w:val="003772EA"/>
    <w:rsid w:val="0037769B"/>
    <w:rsid w:val="003802CC"/>
    <w:rsid w:val="00381E91"/>
    <w:rsid w:val="003826C8"/>
    <w:rsid w:val="00384E48"/>
    <w:rsid w:val="003853C5"/>
    <w:rsid w:val="00385742"/>
    <w:rsid w:val="00385D7E"/>
    <w:rsid w:val="0038621B"/>
    <w:rsid w:val="003870F6"/>
    <w:rsid w:val="00387C4A"/>
    <w:rsid w:val="0039149B"/>
    <w:rsid w:val="003926E1"/>
    <w:rsid w:val="003942D3"/>
    <w:rsid w:val="003949F1"/>
    <w:rsid w:val="003959D9"/>
    <w:rsid w:val="00396884"/>
    <w:rsid w:val="00397626"/>
    <w:rsid w:val="003A0305"/>
    <w:rsid w:val="003A33F0"/>
    <w:rsid w:val="003A488B"/>
    <w:rsid w:val="003A4B69"/>
    <w:rsid w:val="003A55B7"/>
    <w:rsid w:val="003A5E77"/>
    <w:rsid w:val="003A705F"/>
    <w:rsid w:val="003A764B"/>
    <w:rsid w:val="003A7BBD"/>
    <w:rsid w:val="003B0F4B"/>
    <w:rsid w:val="003B17EB"/>
    <w:rsid w:val="003B311B"/>
    <w:rsid w:val="003B476F"/>
    <w:rsid w:val="003B5BB6"/>
    <w:rsid w:val="003B73E4"/>
    <w:rsid w:val="003B757C"/>
    <w:rsid w:val="003B769C"/>
    <w:rsid w:val="003C0946"/>
    <w:rsid w:val="003C3279"/>
    <w:rsid w:val="003C59F0"/>
    <w:rsid w:val="003C5DD3"/>
    <w:rsid w:val="003C66DA"/>
    <w:rsid w:val="003C7148"/>
    <w:rsid w:val="003C7D60"/>
    <w:rsid w:val="003D00D0"/>
    <w:rsid w:val="003D04C2"/>
    <w:rsid w:val="003D0DDE"/>
    <w:rsid w:val="003D0E0E"/>
    <w:rsid w:val="003D1475"/>
    <w:rsid w:val="003D1519"/>
    <w:rsid w:val="003D1E96"/>
    <w:rsid w:val="003D3CCD"/>
    <w:rsid w:val="003D5756"/>
    <w:rsid w:val="003D78C2"/>
    <w:rsid w:val="003D7D42"/>
    <w:rsid w:val="003E259A"/>
    <w:rsid w:val="003E6334"/>
    <w:rsid w:val="003E6925"/>
    <w:rsid w:val="003F128E"/>
    <w:rsid w:val="003F15C4"/>
    <w:rsid w:val="003F1A6D"/>
    <w:rsid w:val="003F339C"/>
    <w:rsid w:val="003F35A4"/>
    <w:rsid w:val="003F3E4F"/>
    <w:rsid w:val="003F44EC"/>
    <w:rsid w:val="003F6B01"/>
    <w:rsid w:val="00401DCC"/>
    <w:rsid w:val="00401E5E"/>
    <w:rsid w:val="00401FF2"/>
    <w:rsid w:val="00402949"/>
    <w:rsid w:val="0040301F"/>
    <w:rsid w:val="0040458C"/>
    <w:rsid w:val="00410402"/>
    <w:rsid w:val="00413188"/>
    <w:rsid w:val="00414669"/>
    <w:rsid w:val="00416E3D"/>
    <w:rsid w:val="0042035D"/>
    <w:rsid w:val="004216E3"/>
    <w:rsid w:val="00422AFD"/>
    <w:rsid w:val="004231A1"/>
    <w:rsid w:val="004243F2"/>
    <w:rsid w:val="0042618C"/>
    <w:rsid w:val="0042735F"/>
    <w:rsid w:val="00427990"/>
    <w:rsid w:val="004312AE"/>
    <w:rsid w:val="004319DC"/>
    <w:rsid w:val="00431AA4"/>
    <w:rsid w:val="00432068"/>
    <w:rsid w:val="00432541"/>
    <w:rsid w:val="004374F9"/>
    <w:rsid w:val="0044063B"/>
    <w:rsid w:val="00440853"/>
    <w:rsid w:val="004416C7"/>
    <w:rsid w:val="00443EFB"/>
    <w:rsid w:val="00444641"/>
    <w:rsid w:val="0044669C"/>
    <w:rsid w:val="00447C38"/>
    <w:rsid w:val="004523AD"/>
    <w:rsid w:val="00452B81"/>
    <w:rsid w:val="004541D1"/>
    <w:rsid w:val="004542B6"/>
    <w:rsid w:val="004554C1"/>
    <w:rsid w:val="0045715D"/>
    <w:rsid w:val="00457D66"/>
    <w:rsid w:val="00460D85"/>
    <w:rsid w:val="00461D08"/>
    <w:rsid w:val="004627CD"/>
    <w:rsid w:val="00462CF5"/>
    <w:rsid w:val="004631A8"/>
    <w:rsid w:val="00463DC3"/>
    <w:rsid w:val="00464249"/>
    <w:rsid w:val="004654C9"/>
    <w:rsid w:val="0046561C"/>
    <w:rsid w:val="00466346"/>
    <w:rsid w:val="00467FB2"/>
    <w:rsid w:val="00470D31"/>
    <w:rsid w:val="00470E30"/>
    <w:rsid w:val="004716CB"/>
    <w:rsid w:val="00472C02"/>
    <w:rsid w:val="00476B19"/>
    <w:rsid w:val="00480A8B"/>
    <w:rsid w:val="00482CE0"/>
    <w:rsid w:val="004834E2"/>
    <w:rsid w:val="0048489A"/>
    <w:rsid w:val="004857F8"/>
    <w:rsid w:val="00485EAC"/>
    <w:rsid w:val="00490279"/>
    <w:rsid w:val="00490DE9"/>
    <w:rsid w:val="00492914"/>
    <w:rsid w:val="00492B7D"/>
    <w:rsid w:val="00492DB5"/>
    <w:rsid w:val="004942A0"/>
    <w:rsid w:val="004956D0"/>
    <w:rsid w:val="00495764"/>
    <w:rsid w:val="004A1B2D"/>
    <w:rsid w:val="004A1DF8"/>
    <w:rsid w:val="004A2893"/>
    <w:rsid w:val="004A2DDE"/>
    <w:rsid w:val="004A31F2"/>
    <w:rsid w:val="004A487F"/>
    <w:rsid w:val="004A4FD6"/>
    <w:rsid w:val="004B2341"/>
    <w:rsid w:val="004B2B1F"/>
    <w:rsid w:val="004B2BBD"/>
    <w:rsid w:val="004B3093"/>
    <w:rsid w:val="004B3128"/>
    <w:rsid w:val="004B3CC6"/>
    <w:rsid w:val="004B59A4"/>
    <w:rsid w:val="004C1B86"/>
    <w:rsid w:val="004C2966"/>
    <w:rsid w:val="004C3A16"/>
    <w:rsid w:val="004C3E26"/>
    <w:rsid w:val="004D03A9"/>
    <w:rsid w:val="004D094C"/>
    <w:rsid w:val="004D2491"/>
    <w:rsid w:val="004D2555"/>
    <w:rsid w:val="004D60B8"/>
    <w:rsid w:val="004D7248"/>
    <w:rsid w:val="004E1894"/>
    <w:rsid w:val="004E2840"/>
    <w:rsid w:val="004E2B1D"/>
    <w:rsid w:val="004E443A"/>
    <w:rsid w:val="004E4D5A"/>
    <w:rsid w:val="004E5AD3"/>
    <w:rsid w:val="004E5FA1"/>
    <w:rsid w:val="004E7531"/>
    <w:rsid w:val="004F0910"/>
    <w:rsid w:val="004F2C6D"/>
    <w:rsid w:val="004F3E8F"/>
    <w:rsid w:val="004F419E"/>
    <w:rsid w:val="004F49CC"/>
    <w:rsid w:val="004F5EB6"/>
    <w:rsid w:val="0050027C"/>
    <w:rsid w:val="00505772"/>
    <w:rsid w:val="005060F8"/>
    <w:rsid w:val="005104C9"/>
    <w:rsid w:val="00515D32"/>
    <w:rsid w:val="00515D51"/>
    <w:rsid w:val="00521A22"/>
    <w:rsid w:val="0052238C"/>
    <w:rsid w:val="00522C46"/>
    <w:rsid w:val="005239BE"/>
    <w:rsid w:val="00524BEA"/>
    <w:rsid w:val="00527478"/>
    <w:rsid w:val="0053131A"/>
    <w:rsid w:val="00532E4A"/>
    <w:rsid w:val="005331D8"/>
    <w:rsid w:val="00534149"/>
    <w:rsid w:val="00535DD2"/>
    <w:rsid w:val="0053620F"/>
    <w:rsid w:val="00536748"/>
    <w:rsid w:val="00537051"/>
    <w:rsid w:val="0053756E"/>
    <w:rsid w:val="0054036E"/>
    <w:rsid w:val="005439E0"/>
    <w:rsid w:val="00546F9E"/>
    <w:rsid w:val="00550ED2"/>
    <w:rsid w:val="0055206E"/>
    <w:rsid w:val="0055253A"/>
    <w:rsid w:val="00552B45"/>
    <w:rsid w:val="00553065"/>
    <w:rsid w:val="00554B0C"/>
    <w:rsid w:val="0055588E"/>
    <w:rsid w:val="00557680"/>
    <w:rsid w:val="005606AB"/>
    <w:rsid w:val="0056167F"/>
    <w:rsid w:val="00561862"/>
    <w:rsid w:val="00563065"/>
    <w:rsid w:val="00564A1D"/>
    <w:rsid w:val="00566AD0"/>
    <w:rsid w:val="00566D06"/>
    <w:rsid w:val="00570FC6"/>
    <w:rsid w:val="005755B8"/>
    <w:rsid w:val="00576691"/>
    <w:rsid w:val="005870F8"/>
    <w:rsid w:val="00592196"/>
    <w:rsid w:val="0059245D"/>
    <w:rsid w:val="00592661"/>
    <w:rsid w:val="00596E5A"/>
    <w:rsid w:val="00597B84"/>
    <w:rsid w:val="005A2611"/>
    <w:rsid w:val="005A3F3E"/>
    <w:rsid w:val="005A452C"/>
    <w:rsid w:val="005A47D6"/>
    <w:rsid w:val="005A537C"/>
    <w:rsid w:val="005A6964"/>
    <w:rsid w:val="005A73CE"/>
    <w:rsid w:val="005B065D"/>
    <w:rsid w:val="005B1AB4"/>
    <w:rsid w:val="005B3BF7"/>
    <w:rsid w:val="005C389B"/>
    <w:rsid w:val="005C42AC"/>
    <w:rsid w:val="005C4638"/>
    <w:rsid w:val="005C6636"/>
    <w:rsid w:val="005C779E"/>
    <w:rsid w:val="005D104F"/>
    <w:rsid w:val="005D2791"/>
    <w:rsid w:val="005D69C6"/>
    <w:rsid w:val="005E0010"/>
    <w:rsid w:val="005E14DA"/>
    <w:rsid w:val="005E2FFF"/>
    <w:rsid w:val="005E47D4"/>
    <w:rsid w:val="005E574F"/>
    <w:rsid w:val="005E59AA"/>
    <w:rsid w:val="005E5B1F"/>
    <w:rsid w:val="005E61FC"/>
    <w:rsid w:val="005E69EE"/>
    <w:rsid w:val="005E7BAE"/>
    <w:rsid w:val="005F15C7"/>
    <w:rsid w:val="005F24CE"/>
    <w:rsid w:val="005F2B57"/>
    <w:rsid w:val="005F2F9E"/>
    <w:rsid w:val="005F6447"/>
    <w:rsid w:val="005F669D"/>
    <w:rsid w:val="006006A9"/>
    <w:rsid w:val="00600870"/>
    <w:rsid w:val="00600F42"/>
    <w:rsid w:val="00604611"/>
    <w:rsid w:val="00606ECC"/>
    <w:rsid w:val="006118BF"/>
    <w:rsid w:val="006128C2"/>
    <w:rsid w:val="00612E50"/>
    <w:rsid w:val="0061364B"/>
    <w:rsid w:val="00614C6C"/>
    <w:rsid w:val="00616950"/>
    <w:rsid w:val="006219F3"/>
    <w:rsid w:val="00622533"/>
    <w:rsid w:val="0062371C"/>
    <w:rsid w:val="0062568C"/>
    <w:rsid w:val="00625893"/>
    <w:rsid w:val="0063047F"/>
    <w:rsid w:val="00631453"/>
    <w:rsid w:val="00631829"/>
    <w:rsid w:val="0063189F"/>
    <w:rsid w:val="0063562F"/>
    <w:rsid w:val="0063622B"/>
    <w:rsid w:val="006378E1"/>
    <w:rsid w:val="00640227"/>
    <w:rsid w:val="00640815"/>
    <w:rsid w:val="006412C4"/>
    <w:rsid w:val="006412FB"/>
    <w:rsid w:val="00643F37"/>
    <w:rsid w:val="00644397"/>
    <w:rsid w:val="00645BD9"/>
    <w:rsid w:val="00646DDD"/>
    <w:rsid w:val="00647180"/>
    <w:rsid w:val="006477C5"/>
    <w:rsid w:val="00660272"/>
    <w:rsid w:val="00660D7A"/>
    <w:rsid w:val="0066182F"/>
    <w:rsid w:val="0066451A"/>
    <w:rsid w:val="00664FAC"/>
    <w:rsid w:val="0066591B"/>
    <w:rsid w:val="006662DC"/>
    <w:rsid w:val="006668EC"/>
    <w:rsid w:val="00666ED6"/>
    <w:rsid w:val="00667F8B"/>
    <w:rsid w:val="00670A39"/>
    <w:rsid w:val="00670A85"/>
    <w:rsid w:val="0067440F"/>
    <w:rsid w:val="00674A1B"/>
    <w:rsid w:val="00674F22"/>
    <w:rsid w:val="00675442"/>
    <w:rsid w:val="0068145A"/>
    <w:rsid w:val="00687320"/>
    <w:rsid w:val="0068758E"/>
    <w:rsid w:val="00687F6F"/>
    <w:rsid w:val="0069058E"/>
    <w:rsid w:val="00690C58"/>
    <w:rsid w:val="006937AD"/>
    <w:rsid w:val="00694CB8"/>
    <w:rsid w:val="00697BAC"/>
    <w:rsid w:val="006A4C85"/>
    <w:rsid w:val="006B1D20"/>
    <w:rsid w:val="006B1E3C"/>
    <w:rsid w:val="006B39A0"/>
    <w:rsid w:val="006B4F3E"/>
    <w:rsid w:val="006C0BF4"/>
    <w:rsid w:val="006C153E"/>
    <w:rsid w:val="006C170E"/>
    <w:rsid w:val="006C1EA4"/>
    <w:rsid w:val="006C3B88"/>
    <w:rsid w:val="006C4C43"/>
    <w:rsid w:val="006C5F4D"/>
    <w:rsid w:val="006C68F3"/>
    <w:rsid w:val="006C7552"/>
    <w:rsid w:val="006D0485"/>
    <w:rsid w:val="006D1498"/>
    <w:rsid w:val="006D281C"/>
    <w:rsid w:val="006D3962"/>
    <w:rsid w:val="006D499D"/>
    <w:rsid w:val="006D4ACA"/>
    <w:rsid w:val="006E077C"/>
    <w:rsid w:val="006E133A"/>
    <w:rsid w:val="006E1B3A"/>
    <w:rsid w:val="006E22B2"/>
    <w:rsid w:val="006E2A87"/>
    <w:rsid w:val="006E4DA7"/>
    <w:rsid w:val="006E6136"/>
    <w:rsid w:val="006E6603"/>
    <w:rsid w:val="006E6F20"/>
    <w:rsid w:val="006F00D5"/>
    <w:rsid w:val="006F07CF"/>
    <w:rsid w:val="006F0E72"/>
    <w:rsid w:val="006F209E"/>
    <w:rsid w:val="006F240D"/>
    <w:rsid w:val="006F29D9"/>
    <w:rsid w:val="006F6B94"/>
    <w:rsid w:val="006F7313"/>
    <w:rsid w:val="006F7FE3"/>
    <w:rsid w:val="007016ED"/>
    <w:rsid w:val="00701DA0"/>
    <w:rsid w:val="0070230F"/>
    <w:rsid w:val="00702697"/>
    <w:rsid w:val="00702E8B"/>
    <w:rsid w:val="0070613B"/>
    <w:rsid w:val="00707450"/>
    <w:rsid w:val="00707D2F"/>
    <w:rsid w:val="007106A2"/>
    <w:rsid w:val="00712D25"/>
    <w:rsid w:val="007142F6"/>
    <w:rsid w:val="00715910"/>
    <w:rsid w:val="007178C7"/>
    <w:rsid w:val="00720591"/>
    <w:rsid w:val="00721365"/>
    <w:rsid w:val="00721738"/>
    <w:rsid w:val="007221A6"/>
    <w:rsid w:val="00722540"/>
    <w:rsid w:val="0072492C"/>
    <w:rsid w:val="0072529F"/>
    <w:rsid w:val="007300DD"/>
    <w:rsid w:val="0073263B"/>
    <w:rsid w:val="00734CFF"/>
    <w:rsid w:val="00735265"/>
    <w:rsid w:val="00744371"/>
    <w:rsid w:val="0074609B"/>
    <w:rsid w:val="00747BF9"/>
    <w:rsid w:val="00747EF4"/>
    <w:rsid w:val="007501B1"/>
    <w:rsid w:val="007507D6"/>
    <w:rsid w:val="00750805"/>
    <w:rsid w:val="007508E1"/>
    <w:rsid w:val="0075156D"/>
    <w:rsid w:val="007537EF"/>
    <w:rsid w:val="00754774"/>
    <w:rsid w:val="00756ADA"/>
    <w:rsid w:val="00756CA5"/>
    <w:rsid w:val="00757887"/>
    <w:rsid w:val="00760199"/>
    <w:rsid w:val="00761344"/>
    <w:rsid w:val="00762C2E"/>
    <w:rsid w:val="007645B8"/>
    <w:rsid w:val="00765087"/>
    <w:rsid w:val="00766B9B"/>
    <w:rsid w:val="00766D4C"/>
    <w:rsid w:val="00767268"/>
    <w:rsid w:val="00767B14"/>
    <w:rsid w:val="00771E01"/>
    <w:rsid w:val="00773F18"/>
    <w:rsid w:val="00773F38"/>
    <w:rsid w:val="00777E98"/>
    <w:rsid w:val="00782473"/>
    <w:rsid w:val="007825DD"/>
    <w:rsid w:val="00783F2B"/>
    <w:rsid w:val="007852BC"/>
    <w:rsid w:val="00786D7E"/>
    <w:rsid w:val="00787754"/>
    <w:rsid w:val="00790AE1"/>
    <w:rsid w:val="007918C4"/>
    <w:rsid w:val="00792058"/>
    <w:rsid w:val="00792365"/>
    <w:rsid w:val="0079299B"/>
    <w:rsid w:val="007941BC"/>
    <w:rsid w:val="00794576"/>
    <w:rsid w:val="00794D04"/>
    <w:rsid w:val="00796D3C"/>
    <w:rsid w:val="007A0F3E"/>
    <w:rsid w:val="007A27A3"/>
    <w:rsid w:val="007A49F1"/>
    <w:rsid w:val="007B201D"/>
    <w:rsid w:val="007B221A"/>
    <w:rsid w:val="007B2BA5"/>
    <w:rsid w:val="007B38CF"/>
    <w:rsid w:val="007B4855"/>
    <w:rsid w:val="007B5A92"/>
    <w:rsid w:val="007B5D97"/>
    <w:rsid w:val="007B5EF3"/>
    <w:rsid w:val="007B6B2A"/>
    <w:rsid w:val="007B7F93"/>
    <w:rsid w:val="007C0B76"/>
    <w:rsid w:val="007C3F0E"/>
    <w:rsid w:val="007C7586"/>
    <w:rsid w:val="007D0FA9"/>
    <w:rsid w:val="007D7978"/>
    <w:rsid w:val="007E1113"/>
    <w:rsid w:val="007E1332"/>
    <w:rsid w:val="007E34AC"/>
    <w:rsid w:val="007E6D56"/>
    <w:rsid w:val="007F4785"/>
    <w:rsid w:val="007F53BF"/>
    <w:rsid w:val="007F5426"/>
    <w:rsid w:val="00800186"/>
    <w:rsid w:val="0080041B"/>
    <w:rsid w:val="00803BA7"/>
    <w:rsid w:val="00804641"/>
    <w:rsid w:val="0080675D"/>
    <w:rsid w:val="00806826"/>
    <w:rsid w:val="00807F73"/>
    <w:rsid w:val="00811187"/>
    <w:rsid w:val="0081144F"/>
    <w:rsid w:val="0081261F"/>
    <w:rsid w:val="00812AC3"/>
    <w:rsid w:val="00814028"/>
    <w:rsid w:val="008161CD"/>
    <w:rsid w:val="00817CB1"/>
    <w:rsid w:val="0082289D"/>
    <w:rsid w:val="008239DD"/>
    <w:rsid w:val="00824B94"/>
    <w:rsid w:val="0082513B"/>
    <w:rsid w:val="00825CDF"/>
    <w:rsid w:val="00825E88"/>
    <w:rsid w:val="00831FB0"/>
    <w:rsid w:val="00832259"/>
    <w:rsid w:val="00832F87"/>
    <w:rsid w:val="00833B85"/>
    <w:rsid w:val="008344AC"/>
    <w:rsid w:val="00834770"/>
    <w:rsid w:val="00835847"/>
    <w:rsid w:val="008410B5"/>
    <w:rsid w:val="00843897"/>
    <w:rsid w:val="008443CD"/>
    <w:rsid w:val="008450FF"/>
    <w:rsid w:val="008475B5"/>
    <w:rsid w:val="008476FD"/>
    <w:rsid w:val="00850211"/>
    <w:rsid w:val="008519E0"/>
    <w:rsid w:val="00851EBB"/>
    <w:rsid w:val="0085280B"/>
    <w:rsid w:val="00853EC8"/>
    <w:rsid w:val="00854A0C"/>
    <w:rsid w:val="00855262"/>
    <w:rsid w:val="00857D6B"/>
    <w:rsid w:val="008621AF"/>
    <w:rsid w:val="00864114"/>
    <w:rsid w:val="008647F3"/>
    <w:rsid w:val="008654B7"/>
    <w:rsid w:val="0086711B"/>
    <w:rsid w:val="008729D1"/>
    <w:rsid w:val="00872DEB"/>
    <w:rsid w:val="00873194"/>
    <w:rsid w:val="008731AF"/>
    <w:rsid w:val="00875959"/>
    <w:rsid w:val="00875D1A"/>
    <w:rsid w:val="00876BD2"/>
    <w:rsid w:val="0087764C"/>
    <w:rsid w:val="00881F89"/>
    <w:rsid w:val="00882596"/>
    <w:rsid w:val="00882D9B"/>
    <w:rsid w:val="00883D04"/>
    <w:rsid w:val="00885C9F"/>
    <w:rsid w:val="00886D2F"/>
    <w:rsid w:val="0088792C"/>
    <w:rsid w:val="00887995"/>
    <w:rsid w:val="008913FF"/>
    <w:rsid w:val="00891B39"/>
    <w:rsid w:val="00894A92"/>
    <w:rsid w:val="00895A5D"/>
    <w:rsid w:val="00895E50"/>
    <w:rsid w:val="00897B91"/>
    <w:rsid w:val="008A0B52"/>
    <w:rsid w:val="008A0DD0"/>
    <w:rsid w:val="008A3B35"/>
    <w:rsid w:val="008A412F"/>
    <w:rsid w:val="008A6181"/>
    <w:rsid w:val="008A6B60"/>
    <w:rsid w:val="008A7FE2"/>
    <w:rsid w:val="008B0F10"/>
    <w:rsid w:val="008B34B2"/>
    <w:rsid w:val="008B365B"/>
    <w:rsid w:val="008B3DA3"/>
    <w:rsid w:val="008B77CD"/>
    <w:rsid w:val="008B77EA"/>
    <w:rsid w:val="008C0B7F"/>
    <w:rsid w:val="008C0EAF"/>
    <w:rsid w:val="008C19EE"/>
    <w:rsid w:val="008C2924"/>
    <w:rsid w:val="008C2EF1"/>
    <w:rsid w:val="008C468A"/>
    <w:rsid w:val="008C515B"/>
    <w:rsid w:val="008C6B87"/>
    <w:rsid w:val="008C75D4"/>
    <w:rsid w:val="008D14F4"/>
    <w:rsid w:val="008D1E18"/>
    <w:rsid w:val="008D35CF"/>
    <w:rsid w:val="008D3822"/>
    <w:rsid w:val="008D4E8F"/>
    <w:rsid w:val="008D5235"/>
    <w:rsid w:val="008D60E5"/>
    <w:rsid w:val="008E0D42"/>
    <w:rsid w:val="008E2350"/>
    <w:rsid w:val="008E2357"/>
    <w:rsid w:val="008E433D"/>
    <w:rsid w:val="008E4DF5"/>
    <w:rsid w:val="008E5B82"/>
    <w:rsid w:val="008E7409"/>
    <w:rsid w:val="008F38A0"/>
    <w:rsid w:val="008F5882"/>
    <w:rsid w:val="008F5B24"/>
    <w:rsid w:val="008F6129"/>
    <w:rsid w:val="008F6389"/>
    <w:rsid w:val="008F6C36"/>
    <w:rsid w:val="00900ED0"/>
    <w:rsid w:val="00901B23"/>
    <w:rsid w:val="00901BDB"/>
    <w:rsid w:val="00902CFE"/>
    <w:rsid w:val="00903302"/>
    <w:rsid w:val="009057B1"/>
    <w:rsid w:val="00905AF7"/>
    <w:rsid w:val="00910DFC"/>
    <w:rsid w:val="00911F74"/>
    <w:rsid w:val="009143C9"/>
    <w:rsid w:val="00917616"/>
    <w:rsid w:val="00920409"/>
    <w:rsid w:val="00921223"/>
    <w:rsid w:val="00921B2B"/>
    <w:rsid w:val="00922A8C"/>
    <w:rsid w:val="00923177"/>
    <w:rsid w:val="00924225"/>
    <w:rsid w:val="009257D6"/>
    <w:rsid w:val="0092667F"/>
    <w:rsid w:val="009266D1"/>
    <w:rsid w:val="0092683A"/>
    <w:rsid w:val="00927756"/>
    <w:rsid w:val="00930E15"/>
    <w:rsid w:val="009318DD"/>
    <w:rsid w:val="00932309"/>
    <w:rsid w:val="00936A7C"/>
    <w:rsid w:val="00936B87"/>
    <w:rsid w:val="00940E42"/>
    <w:rsid w:val="009415F7"/>
    <w:rsid w:val="00942BA4"/>
    <w:rsid w:val="00942FAC"/>
    <w:rsid w:val="009451B0"/>
    <w:rsid w:val="00945793"/>
    <w:rsid w:val="0094590E"/>
    <w:rsid w:val="00950D9C"/>
    <w:rsid w:val="00952734"/>
    <w:rsid w:val="00954453"/>
    <w:rsid w:val="00954FAB"/>
    <w:rsid w:val="00957181"/>
    <w:rsid w:val="00962CF2"/>
    <w:rsid w:val="009632C5"/>
    <w:rsid w:val="00963706"/>
    <w:rsid w:val="00963E0C"/>
    <w:rsid w:val="009640BC"/>
    <w:rsid w:val="00964CBD"/>
    <w:rsid w:val="00966127"/>
    <w:rsid w:val="00966B6C"/>
    <w:rsid w:val="009708DC"/>
    <w:rsid w:val="00970DD7"/>
    <w:rsid w:val="00971CEB"/>
    <w:rsid w:val="009736F4"/>
    <w:rsid w:val="00975661"/>
    <w:rsid w:val="0097603A"/>
    <w:rsid w:val="00976AA0"/>
    <w:rsid w:val="00976C80"/>
    <w:rsid w:val="0097794E"/>
    <w:rsid w:val="00980994"/>
    <w:rsid w:val="00980A17"/>
    <w:rsid w:val="009812F0"/>
    <w:rsid w:val="00982947"/>
    <w:rsid w:val="0098395B"/>
    <w:rsid w:val="00983F5D"/>
    <w:rsid w:val="00984291"/>
    <w:rsid w:val="009849BF"/>
    <w:rsid w:val="00985C62"/>
    <w:rsid w:val="009932D5"/>
    <w:rsid w:val="00993F49"/>
    <w:rsid w:val="009947DB"/>
    <w:rsid w:val="00994ABE"/>
    <w:rsid w:val="0099686B"/>
    <w:rsid w:val="009A11F2"/>
    <w:rsid w:val="009A189E"/>
    <w:rsid w:val="009A1C42"/>
    <w:rsid w:val="009A58E2"/>
    <w:rsid w:val="009A6D8C"/>
    <w:rsid w:val="009A7C62"/>
    <w:rsid w:val="009B1F00"/>
    <w:rsid w:val="009B2592"/>
    <w:rsid w:val="009B3E05"/>
    <w:rsid w:val="009B4526"/>
    <w:rsid w:val="009B5981"/>
    <w:rsid w:val="009C103A"/>
    <w:rsid w:val="009C1742"/>
    <w:rsid w:val="009C177A"/>
    <w:rsid w:val="009C2149"/>
    <w:rsid w:val="009C2BA8"/>
    <w:rsid w:val="009C4849"/>
    <w:rsid w:val="009C48CB"/>
    <w:rsid w:val="009C611C"/>
    <w:rsid w:val="009D0BDE"/>
    <w:rsid w:val="009D3B40"/>
    <w:rsid w:val="009D4CEE"/>
    <w:rsid w:val="009D51AA"/>
    <w:rsid w:val="009D6D31"/>
    <w:rsid w:val="009E03A1"/>
    <w:rsid w:val="009E179D"/>
    <w:rsid w:val="009E2484"/>
    <w:rsid w:val="009E3C10"/>
    <w:rsid w:val="009E47B3"/>
    <w:rsid w:val="009E6D48"/>
    <w:rsid w:val="009E717E"/>
    <w:rsid w:val="009E7656"/>
    <w:rsid w:val="009E784C"/>
    <w:rsid w:val="009F1413"/>
    <w:rsid w:val="009F26F7"/>
    <w:rsid w:val="009F2AC6"/>
    <w:rsid w:val="009F4B72"/>
    <w:rsid w:val="009F4B92"/>
    <w:rsid w:val="009F751D"/>
    <w:rsid w:val="009F7BF4"/>
    <w:rsid w:val="009F7FC7"/>
    <w:rsid w:val="00A01CCA"/>
    <w:rsid w:val="00A02CFE"/>
    <w:rsid w:val="00A048F1"/>
    <w:rsid w:val="00A05ED5"/>
    <w:rsid w:val="00A111B9"/>
    <w:rsid w:val="00A11C74"/>
    <w:rsid w:val="00A124B5"/>
    <w:rsid w:val="00A1273A"/>
    <w:rsid w:val="00A137F1"/>
    <w:rsid w:val="00A14630"/>
    <w:rsid w:val="00A17B6C"/>
    <w:rsid w:val="00A2168D"/>
    <w:rsid w:val="00A216A0"/>
    <w:rsid w:val="00A21E7B"/>
    <w:rsid w:val="00A25BBA"/>
    <w:rsid w:val="00A26596"/>
    <w:rsid w:val="00A27699"/>
    <w:rsid w:val="00A27BDC"/>
    <w:rsid w:val="00A3324D"/>
    <w:rsid w:val="00A3561A"/>
    <w:rsid w:val="00A35727"/>
    <w:rsid w:val="00A357C9"/>
    <w:rsid w:val="00A35F2C"/>
    <w:rsid w:val="00A37EA2"/>
    <w:rsid w:val="00A43423"/>
    <w:rsid w:val="00A43DE6"/>
    <w:rsid w:val="00A44346"/>
    <w:rsid w:val="00A4746D"/>
    <w:rsid w:val="00A475BC"/>
    <w:rsid w:val="00A5146B"/>
    <w:rsid w:val="00A5244D"/>
    <w:rsid w:val="00A52A6F"/>
    <w:rsid w:val="00A54ED7"/>
    <w:rsid w:val="00A54F80"/>
    <w:rsid w:val="00A564EB"/>
    <w:rsid w:val="00A56D96"/>
    <w:rsid w:val="00A60229"/>
    <w:rsid w:val="00A607EC"/>
    <w:rsid w:val="00A608FE"/>
    <w:rsid w:val="00A60DF1"/>
    <w:rsid w:val="00A619AA"/>
    <w:rsid w:val="00A62B1D"/>
    <w:rsid w:val="00A62FB4"/>
    <w:rsid w:val="00A64E06"/>
    <w:rsid w:val="00A66F37"/>
    <w:rsid w:val="00A735FC"/>
    <w:rsid w:val="00A73F04"/>
    <w:rsid w:val="00A7605F"/>
    <w:rsid w:val="00A7728F"/>
    <w:rsid w:val="00A80FD9"/>
    <w:rsid w:val="00A81E3E"/>
    <w:rsid w:val="00A82FD7"/>
    <w:rsid w:val="00A851EC"/>
    <w:rsid w:val="00A86ABD"/>
    <w:rsid w:val="00A86F02"/>
    <w:rsid w:val="00A907E5"/>
    <w:rsid w:val="00A90E7F"/>
    <w:rsid w:val="00A90EEE"/>
    <w:rsid w:val="00A925B6"/>
    <w:rsid w:val="00A93B36"/>
    <w:rsid w:val="00A962B6"/>
    <w:rsid w:val="00AA000A"/>
    <w:rsid w:val="00AA0831"/>
    <w:rsid w:val="00AA1AD4"/>
    <w:rsid w:val="00AA2388"/>
    <w:rsid w:val="00AA2D05"/>
    <w:rsid w:val="00AA51F1"/>
    <w:rsid w:val="00AA6542"/>
    <w:rsid w:val="00AA6FCE"/>
    <w:rsid w:val="00AA79EA"/>
    <w:rsid w:val="00AB3896"/>
    <w:rsid w:val="00AB4653"/>
    <w:rsid w:val="00AB4C41"/>
    <w:rsid w:val="00AB54BA"/>
    <w:rsid w:val="00AB7332"/>
    <w:rsid w:val="00AB75E6"/>
    <w:rsid w:val="00AC0168"/>
    <w:rsid w:val="00AC139E"/>
    <w:rsid w:val="00AC2D02"/>
    <w:rsid w:val="00AC3974"/>
    <w:rsid w:val="00AC5601"/>
    <w:rsid w:val="00AC5A94"/>
    <w:rsid w:val="00AD1731"/>
    <w:rsid w:val="00AD19FB"/>
    <w:rsid w:val="00AD20E9"/>
    <w:rsid w:val="00AD7437"/>
    <w:rsid w:val="00AD7A46"/>
    <w:rsid w:val="00AE21D3"/>
    <w:rsid w:val="00AE2A47"/>
    <w:rsid w:val="00AE3DC1"/>
    <w:rsid w:val="00AE631A"/>
    <w:rsid w:val="00AE66E6"/>
    <w:rsid w:val="00AE7D14"/>
    <w:rsid w:val="00AF0372"/>
    <w:rsid w:val="00AF1258"/>
    <w:rsid w:val="00AF155C"/>
    <w:rsid w:val="00AF3BF3"/>
    <w:rsid w:val="00AF5448"/>
    <w:rsid w:val="00AF572D"/>
    <w:rsid w:val="00AF62CA"/>
    <w:rsid w:val="00B03000"/>
    <w:rsid w:val="00B0320F"/>
    <w:rsid w:val="00B03C78"/>
    <w:rsid w:val="00B05AE4"/>
    <w:rsid w:val="00B05CA2"/>
    <w:rsid w:val="00B07D0D"/>
    <w:rsid w:val="00B113FB"/>
    <w:rsid w:val="00B132DF"/>
    <w:rsid w:val="00B132E1"/>
    <w:rsid w:val="00B13467"/>
    <w:rsid w:val="00B14654"/>
    <w:rsid w:val="00B15887"/>
    <w:rsid w:val="00B15CB3"/>
    <w:rsid w:val="00B168E2"/>
    <w:rsid w:val="00B1722D"/>
    <w:rsid w:val="00B2036C"/>
    <w:rsid w:val="00B20B91"/>
    <w:rsid w:val="00B2540B"/>
    <w:rsid w:val="00B26495"/>
    <w:rsid w:val="00B2703A"/>
    <w:rsid w:val="00B2748B"/>
    <w:rsid w:val="00B34A2F"/>
    <w:rsid w:val="00B35347"/>
    <w:rsid w:val="00B3625D"/>
    <w:rsid w:val="00B37EF4"/>
    <w:rsid w:val="00B45FC2"/>
    <w:rsid w:val="00B466FE"/>
    <w:rsid w:val="00B54220"/>
    <w:rsid w:val="00B55B87"/>
    <w:rsid w:val="00B609B8"/>
    <w:rsid w:val="00B61070"/>
    <w:rsid w:val="00B62EE3"/>
    <w:rsid w:val="00B64699"/>
    <w:rsid w:val="00B6516E"/>
    <w:rsid w:val="00B65520"/>
    <w:rsid w:val="00B658DB"/>
    <w:rsid w:val="00B71E7B"/>
    <w:rsid w:val="00B7427F"/>
    <w:rsid w:val="00B7533D"/>
    <w:rsid w:val="00B75C86"/>
    <w:rsid w:val="00B7626D"/>
    <w:rsid w:val="00B768C8"/>
    <w:rsid w:val="00B7747D"/>
    <w:rsid w:val="00B77F83"/>
    <w:rsid w:val="00B81D08"/>
    <w:rsid w:val="00B834C2"/>
    <w:rsid w:val="00B876B3"/>
    <w:rsid w:val="00B9072E"/>
    <w:rsid w:val="00B9090D"/>
    <w:rsid w:val="00B9098C"/>
    <w:rsid w:val="00B923AB"/>
    <w:rsid w:val="00B92FFD"/>
    <w:rsid w:val="00B95A7E"/>
    <w:rsid w:val="00BA277F"/>
    <w:rsid w:val="00BA4923"/>
    <w:rsid w:val="00BB09C9"/>
    <w:rsid w:val="00BB2A45"/>
    <w:rsid w:val="00BB2A98"/>
    <w:rsid w:val="00BB3C7C"/>
    <w:rsid w:val="00BB563B"/>
    <w:rsid w:val="00BB6446"/>
    <w:rsid w:val="00BB7016"/>
    <w:rsid w:val="00BC139F"/>
    <w:rsid w:val="00BC160D"/>
    <w:rsid w:val="00BC2F85"/>
    <w:rsid w:val="00BC3727"/>
    <w:rsid w:val="00BC5A65"/>
    <w:rsid w:val="00BC790A"/>
    <w:rsid w:val="00BD1B9C"/>
    <w:rsid w:val="00BD217F"/>
    <w:rsid w:val="00BD4556"/>
    <w:rsid w:val="00BD4B5D"/>
    <w:rsid w:val="00BD6859"/>
    <w:rsid w:val="00BE08BF"/>
    <w:rsid w:val="00BE0F34"/>
    <w:rsid w:val="00BE18DE"/>
    <w:rsid w:val="00BE2A27"/>
    <w:rsid w:val="00BE4404"/>
    <w:rsid w:val="00BE74F9"/>
    <w:rsid w:val="00BE75F9"/>
    <w:rsid w:val="00BE7B14"/>
    <w:rsid w:val="00BE7B6F"/>
    <w:rsid w:val="00BF1E9A"/>
    <w:rsid w:val="00BF2462"/>
    <w:rsid w:val="00BF3725"/>
    <w:rsid w:val="00BF383E"/>
    <w:rsid w:val="00BF3B52"/>
    <w:rsid w:val="00BF4AB1"/>
    <w:rsid w:val="00C004C3"/>
    <w:rsid w:val="00C00F13"/>
    <w:rsid w:val="00C01CF2"/>
    <w:rsid w:val="00C03FD4"/>
    <w:rsid w:val="00C06061"/>
    <w:rsid w:val="00C10A74"/>
    <w:rsid w:val="00C11FE9"/>
    <w:rsid w:val="00C136B7"/>
    <w:rsid w:val="00C148EE"/>
    <w:rsid w:val="00C15384"/>
    <w:rsid w:val="00C201A2"/>
    <w:rsid w:val="00C2024C"/>
    <w:rsid w:val="00C20302"/>
    <w:rsid w:val="00C20B61"/>
    <w:rsid w:val="00C223D6"/>
    <w:rsid w:val="00C265EA"/>
    <w:rsid w:val="00C26A3A"/>
    <w:rsid w:val="00C30A40"/>
    <w:rsid w:val="00C3234E"/>
    <w:rsid w:val="00C36531"/>
    <w:rsid w:val="00C377A2"/>
    <w:rsid w:val="00C41746"/>
    <w:rsid w:val="00C41AC9"/>
    <w:rsid w:val="00C41FA8"/>
    <w:rsid w:val="00C422BB"/>
    <w:rsid w:val="00C429B1"/>
    <w:rsid w:val="00C42E2A"/>
    <w:rsid w:val="00C434FD"/>
    <w:rsid w:val="00C43F71"/>
    <w:rsid w:val="00C4458E"/>
    <w:rsid w:val="00C46616"/>
    <w:rsid w:val="00C47F3B"/>
    <w:rsid w:val="00C500C7"/>
    <w:rsid w:val="00C51036"/>
    <w:rsid w:val="00C515EE"/>
    <w:rsid w:val="00C52ED4"/>
    <w:rsid w:val="00C53777"/>
    <w:rsid w:val="00C549F7"/>
    <w:rsid w:val="00C54ACE"/>
    <w:rsid w:val="00C5517D"/>
    <w:rsid w:val="00C5601A"/>
    <w:rsid w:val="00C5735D"/>
    <w:rsid w:val="00C5795D"/>
    <w:rsid w:val="00C607B6"/>
    <w:rsid w:val="00C62684"/>
    <w:rsid w:val="00C633A9"/>
    <w:rsid w:val="00C638A9"/>
    <w:rsid w:val="00C672E0"/>
    <w:rsid w:val="00C7119D"/>
    <w:rsid w:val="00C71F0B"/>
    <w:rsid w:val="00C7263F"/>
    <w:rsid w:val="00C72835"/>
    <w:rsid w:val="00C7312A"/>
    <w:rsid w:val="00C73497"/>
    <w:rsid w:val="00C73D13"/>
    <w:rsid w:val="00C7459B"/>
    <w:rsid w:val="00C74AEA"/>
    <w:rsid w:val="00C757D3"/>
    <w:rsid w:val="00C76FB8"/>
    <w:rsid w:val="00C772EA"/>
    <w:rsid w:val="00C77DB3"/>
    <w:rsid w:val="00C8013C"/>
    <w:rsid w:val="00C80447"/>
    <w:rsid w:val="00C82EF0"/>
    <w:rsid w:val="00C834ED"/>
    <w:rsid w:val="00C840A7"/>
    <w:rsid w:val="00C85CAF"/>
    <w:rsid w:val="00C8643A"/>
    <w:rsid w:val="00C868C7"/>
    <w:rsid w:val="00C86E10"/>
    <w:rsid w:val="00C91305"/>
    <w:rsid w:val="00C92510"/>
    <w:rsid w:val="00C945D0"/>
    <w:rsid w:val="00C97C30"/>
    <w:rsid w:val="00CA0D12"/>
    <w:rsid w:val="00CA14ED"/>
    <w:rsid w:val="00CA3F6C"/>
    <w:rsid w:val="00CA4D3D"/>
    <w:rsid w:val="00CA742A"/>
    <w:rsid w:val="00CA7A68"/>
    <w:rsid w:val="00CB194B"/>
    <w:rsid w:val="00CB2AA3"/>
    <w:rsid w:val="00CB3577"/>
    <w:rsid w:val="00CB3E6B"/>
    <w:rsid w:val="00CB610B"/>
    <w:rsid w:val="00CC2FAF"/>
    <w:rsid w:val="00CC387D"/>
    <w:rsid w:val="00CC3F86"/>
    <w:rsid w:val="00CC4F19"/>
    <w:rsid w:val="00CC6DD0"/>
    <w:rsid w:val="00CC725C"/>
    <w:rsid w:val="00CC72BD"/>
    <w:rsid w:val="00CD28FC"/>
    <w:rsid w:val="00CE0C01"/>
    <w:rsid w:val="00CE2039"/>
    <w:rsid w:val="00CE281A"/>
    <w:rsid w:val="00CE53AA"/>
    <w:rsid w:val="00CE6965"/>
    <w:rsid w:val="00CE7AED"/>
    <w:rsid w:val="00CE7F26"/>
    <w:rsid w:val="00CF11D3"/>
    <w:rsid w:val="00CF3CDD"/>
    <w:rsid w:val="00CF4249"/>
    <w:rsid w:val="00CF4AC1"/>
    <w:rsid w:val="00CF5167"/>
    <w:rsid w:val="00CF7157"/>
    <w:rsid w:val="00D005AB"/>
    <w:rsid w:val="00D013D2"/>
    <w:rsid w:val="00D01C74"/>
    <w:rsid w:val="00D104B2"/>
    <w:rsid w:val="00D12023"/>
    <w:rsid w:val="00D129E6"/>
    <w:rsid w:val="00D1563E"/>
    <w:rsid w:val="00D16D4E"/>
    <w:rsid w:val="00D16D78"/>
    <w:rsid w:val="00D17F3A"/>
    <w:rsid w:val="00D22102"/>
    <w:rsid w:val="00D22829"/>
    <w:rsid w:val="00D22E8C"/>
    <w:rsid w:val="00D24E7D"/>
    <w:rsid w:val="00D2636E"/>
    <w:rsid w:val="00D26C40"/>
    <w:rsid w:val="00D31048"/>
    <w:rsid w:val="00D31D96"/>
    <w:rsid w:val="00D32674"/>
    <w:rsid w:val="00D32AEC"/>
    <w:rsid w:val="00D32FB3"/>
    <w:rsid w:val="00D332B1"/>
    <w:rsid w:val="00D33CFE"/>
    <w:rsid w:val="00D340F6"/>
    <w:rsid w:val="00D342A9"/>
    <w:rsid w:val="00D36711"/>
    <w:rsid w:val="00D416EC"/>
    <w:rsid w:val="00D41841"/>
    <w:rsid w:val="00D42334"/>
    <w:rsid w:val="00D4234A"/>
    <w:rsid w:val="00D4292F"/>
    <w:rsid w:val="00D43591"/>
    <w:rsid w:val="00D43612"/>
    <w:rsid w:val="00D43755"/>
    <w:rsid w:val="00D4498E"/>
    <w:rsid w:val="00D4528C"/>
    <w:rsid w:val="00D45350"/>
    <w:rsid w:val="00D47700"/>
    <w:rsid w:val="00D52C20"/>
    <w:rsid w:val="00D55E01"/>
    <w:rsid w:val="00D5600A"/>
    <w:rsid w:val="00D57C79"/>
    <w:rsid w:val="00D57FF4"/>
    <w:rsid w:val="00D6140E"/>
    <w:rsid w:val="00D61A04"/>
    <w:rsid w:val="00D65CAA"/>
    <w:rsid w:val="00D66B55"/>
    <w:rsid w:val="00D676C1"/>
    <w:rsid w:val="00D7018A"/>
    <w:rsid w:val="00D70C55"/>
    <w:rsid w:val="00D71F4D"/>
    <w:rsid w:val="00D72968"/>
    <w:rsid w:val="00D7354B"/>
    <w:rsid w:val="00D745DC"/>
    <w:rsid w:val="00D74ECB"/>
    <w:rsid w:val="00D75775"/>
    <w:rsid w:val="00D76BC8"/>
    <w:rsid w:val="00D8602C"/>
    <w:rsid w:val="00D866AD"/>
    <w:rsid w:val="00D908DE"/>
    <w:rsid w:val="00D9103E"/>
    <w:rsid w:val="00D912F5"/>
    <w:rsid w:val="00D930EB"/>
    <w:rsid w:val="00D936E5"/>
    <w:rsid w:val="00D93B53"/>
    <w:rsid w:val="00D94FBC"/>
    <w:rsid w:val="00D9586C"/>
    <w:rsid w:val="00D96B84"/>
    <w:rsid w:val="00DA0F8A"/>
    <w:rsid w:val="00DA47FC"/>
    <w:rsid w:val="00DA4C2B"/>
    <w:rsid w:val="00DA6A06"/>
    <w:rsid w:val="00DB12FC"/>
    <w:rsid w:val="00DB1C04"/>
    <w:rsid w:val="00DB350F"/>
    <w:rsid w:val="00DB5BE0"/>
    <w:rsid w:val="00DB739F"/>
    <w:rsid w:val="00DC1118"/>
    <w:rsid w:val="00DC37D1"/>
    <w:rsid w:val="00DC4973"/>
    <w:rsid w:val="00DC5039"/>
    <w:rsid w:val="00DC5613"/>
    <w:rsid w:val="00DD0A6D"/>
    <w:rsid w:val="00DD12E9"/>
    <w:rsid w:val="00DD60C8"/>
    <w:rsid w:val="00DD622B"/>
    <w:rsid w:val="00DD6CA4"/>
    <w:rsid w:val="00DD7581"/>
    <w:rsid w:val="00DD78BF"/>
    <w:rsid w:val="00DE0F2B"/>
    <w:rsid w:val="00DE1CF9"/>
    <w:rsid w:val="00DE43CC"/>
    <w:rsid w:val="00DE50EE"/>
    <w:rsid w:val="00DE7504"/>
    <w:rsid w:val="00DE7D6D"/>
    <w:rsid w:val="00DF061D"/>
    <w:rsid w:val="00DF06D6"/>
    <w:rsid w:val="00DF2885"/>
    <w:rsid w:val="00DF305E"/>
    <w:rsid w:val="00DF3E0B"/>
    <w:rsid w:val="00DF6A5F"/>
    <w:rsid w:val="00E01D16"/>
    <w:rsid w:val="00E03A4B"/>
    <w:rsid w:val="00E03BC9"/>
    <w:rsid w:val="00E03CA1"/>
    <w:rsid w:val="00E03D2B"/>
    <w:rsid w:val="00E03F69"/>
    <w:rsid w:val="00E04685"/>
    <w:rsid w:val="00E0478A"/>
    <w:rsid w:val="00E062C1"/>
    <w:rsid w:val="00E103E0"/>
    <w:rsid w:val="00E1247F"/>
    <w:rsid w:val="00E12E36"/>
    <w:rsid w:val="00E1354B"/>
    <w:rsid w:val="00E15A81"/>
    <w:rsid w:val="00E17D64"/>
    <w:rsid w:val="00E20BA6"/>
    <w:rsid w:val="00E23F0D"/>
    <w:rsid w:val="00E27E70"/>
    <w:rsid w:val="00E3229A"/>
    <w:rsid w:val="00E32CCD"/>
    <w:rsid w:val="00E33516"/>
    <w:rsid w:val="00E340A5"/>
    <w:rsid w:val="00E347FB"/>
    <w:rsid w:val="00E34CC5"/>
    <w:rsid w:val="00E34D2D"/>
    <w:rsid w:val="00E35392"/>
    <w:rsid w:val="00E35BD7"/>
    <w:rsid w:val="00E35D4D"/>
    <w:rsid w:val="00E364C1"/>
    <w:rsid w:val="00E376DA"/>
    <w:rsid w:val="00E37D9F"/>
    <w:rsid w:val="00E404A4"/>
    <w:rsid w:val="00E40BDF"/>
    <w:rsid w:val="00E414ED"/>
    <w:rsid w:val="00E4277B"/>
    <w:rsid w:val="00E44FD5"/>
    <w:rsid w:val="00E460CE"/>
    <w:rsid w:val="00E4713F"/>
    <w:rsid w:val="00E501D7"/>
    <w:rsid w:val="00E504AE"/>
    <w:rsid w:val="00E51392"/>
    <w:rsid w:val="00E52348"/>
    <w:rsid w:val="00E54FA3"/>
    <w:rsid w:val="00E558E8"/>
    <w:rsid w:val="00E5613B"/>
    <w:rsid w:val="00E564B7"/>
    <w:rsid w:val="00E6341E"/>
    <w:rsid w:val="00E63773"/>
    <w:rsid w:val="00E639E6"/>
    <w:rsid w:val="00E643F1"/>
    <w:rsid w:val="00E64B43"/>
    <w:rsid w:val="00E6609B"/>
    <w:rsid w:val="00E66901"/>
    <w:rsid w:val="00E66A08"/>
    <w:rsid w:val="00E66F2F"/>
    <w:rsid w:val="00E750BD"/>
    <w:rsid w:val="00E753E5"/>
    <w:rsid w:val="00E77178"/>
    <w:rsid w:val="00E807D4"/>
    <w:rsid w:val="00E808AB"/>
    <w:rsid w:val="00E80A8C"/>
    <w:rsid w:val="00E80CFF"/>
    <w:rsid w:val="00E81888"/>
    <w:rsid w:val="00E8240A"/>
    <w:rsid w:val="00E8737B"/>
    <w:rsid w:val="00E90175"/>
    <w:rsid w:val="00E91151"/>
    <w:rsid w:val="00E92CAB"/>
    <w:rsid w:val="00E93A40"/>
    <w:rsid w:val="00E9418A"/>
    <w:rsid w:val="00E95232"/>
    <w:rsid w:val="00E95682"/>
    <w:rsid w:val="00E961AD"/>
    <w:rsid w:val="00E962C2"/>
    <w:rsid w:val="00E9639D"/>
    <w:rsid w:val="00E963E4"/>
    <w:rsid w:val="00E9729D"/>
    <w:rsid w:val="00EA333A"/>
    <w:rsid w:val="00EA3377"/>
    <w:rsid w:val="00EA33D5"/>
    <w:rsid w:val="00EA36F6"/>
    <w:rsid w:val="00EA3824"/>
    <w:rsid w:val="00EA4A99"/>
    <w:rsid w:val="00EA5F3A"/>
    <w:rsid w:val="00EA6160"/>
    <w:rsid w:val="00EB04E7"/>
    <w:rsid w:val="00EB0B2D"/>
    <w:rsid w:val="00EB12DB"/>
    <w:rsid w:val="00EB1C26"/>
    <w:rsid w:val="00EB1EF5"/>
    <w:rsid w:val="00EB37CA"/>
    <w:rsid w:val="00EB48C4"/>
    <w:rsid w:val="00EB498E"/>
    <w:rsid w:val="00EB5C12"/>
    <w:rsid w:val="00EC3246"/>
    <w:rsid w:val="00EC3A0E"/>
    <w:rsid w:val="00ED0FD1"/>
    <w:rsid w:val="00ED1C9D"/>
    <w:rsid w:val="00ED22FB"/>
    <w:rsid w:val="00ED28BC"/>
    <w:rsid w:val="00ED320C"/>
    <w:rsid w:val="00ED4A5A"/>
    <w:rsid w:val="00ED5536"/>
    <w:rsid w:val="00ED608E"/>
    <w:rsid w:val="00ED65C9"/>
    <w:rsid w:val="00ED7A5F"/>
    <w:rsid w:val="00EE0E25"/>
    <w:rsid w:val="00EE0E5F"/>
    <w:rsid w:val="00EE0FBA"/>
    <w:rsid w:val="00EE2362"/>
    <w:rsid w:val="00EE31E8"/>
    <w:rsid w:val="00EE3833"/>
    <w:rsid w:val="00EE4352"/>
    <w:rsid w:val="00EE6D2C"/>
    <w:rsid w:val="00EE703E"/>
    <w:rsid w:val="00EE7FFC"/>
    <w:rsid w:val="00EF0F16"/>
    <w:rsid w:val="00EF1C07"/>
    <w:rsid w:val="00EF3C92"/>
    <w:rsid w:val="00EF4BE5"/>
    <w:rsid w:val="00EF51A8"/>
    <w:rsid w:val="00EF5C2A"/>
    <w:rsid w:val="00EF5D23"/>
    <w:rsid w:val="00EF7904"/>
    <w:rsid w:val="00F000B2"/>
    <w:rsid w:val="00F016A6"/>
    <w:rsid w:val="00F01817"/>
    <w:rsid w:val="00F0513B"/>
    <w:rsid w:val="00F06952"/>
    <w:rsid w:val="00F06ABD"/>
    <w:rsid w:val="00F10BC1"/>
    <w:rsid w:val="00F11FA9"/>
    <w:rsid w:val="00F124AB"/>
    <w:rsid w:val="00F12F33"/>
    <w:rsid w:val="00F13047"/>
    <w:rsid w:val="00F1312F"/>
    <w:rsid w:val="00F15E2D"/>
    <w:rsid w:val="00F220FF"/>
    <w:rsid w:val="00F23401"/>
    <w:rsid w:val="00F23930"/>
    <w:rsid w:val="00F246A4"/>
    <w:rsid w:val="00F254B5"/>
    <w:rsid w:val="00F25970"/>
    <w:rsid w:val="00F25DA9"/>
    <w:rsid w:val="00F27D57"/>
    <w:rsid w:val="00F30709"/>
    <w:rsid w:val="00F317C4"/>
    <w:rsid w:val="00F319B4"/>
    <w:rsid w:val="00F3201A"/>
    <w:rsid w:val="00F32BEF"/>
    <w:rsid w:val="00F3360C"/>
    <w:rsid w:val="00F344D4"/>
    <w:rsid w:val="00F351B0"/>
    <w:rsid w:val="00F35D08"/>
    <w:rsid w:val="00F400A3"/>
    <w:rsid w:val="00F404AF"/>
    <w:rsid w:val="00F408C6"/>
    <w:rsid w:val="00F42945"/>
    <w:rsid w:val="00F43719"/>
    <w:rsid w:val="00F43E4E"/>
    <w:rsid w:val="00F4444A"/>
    <w:rsid w:val="00F453EB"/>
    <w:rsid w:val="00F4682E"/>
    <w:rsid w:val="00F47553"/>
    <w:rsid w:val="00F47B43"/>
    <w:rsid w:val="00F517EF"/>
    <w:rsid w:val="00F51A9D"/>
    <w:rsid w:val="00F52024"/>
    <w:rsid w:val="00F5368C"/>
    <w:rsid w:val="00F55657"/>
    <w:rsid w:val="00F55AE3"/>
    <w:rsid w:val="00F55D8B"/>
    <w:rsid w:val="00F62B82"/>
    <w:rsid w:val="00F63E70"/>
    <w:rsid w:val="00F64A5E"/>
    <w:rsid w:val="00F64CF3"/>
    <w:rsid w:val="00F657D9"/>
    <w:rsid w:val="00F72A86"/>
    <w:rsid w:val="00F737B0"/>
    <w:rsid w:val="00F745D1"/>
    <w:rsid w:val="00F74AE6"/>
    <w:rsid w:val="00F74B30"/>
    <w:rsid w:val="00F7542C"/>
    <w:rsid w:val="00F75548"/>
    <w:rsid w:val="00F7659A"/>
    <w:rsid w:val="00F76ED2"/>
    <w:rsid w:val="00F805D1"/>
    <w:rsid w:val="00F80EB7"/>
    <w:rsid w:val="00F816BD"/>
    <w:rsid w:val="00F82CDA"/>
    <w:rsid w:val="00F84DCB"/>
    <w:rsid w:val="00F853D5"/>
    <w:rsid w:val="00F8581F"/>
    <w:rsid w:val="00F85D8C"/>
    <w:rsid w:val="00F867CE"/>
    <w:rsid w:val="00F87057"/>
    <w:rsid w:val="00F90F37"/>
    <w:rsid w:val="00F9522E"/>
    <w:rsid w:val="00F979FE"/>
    <w:rsid w:val="00FA3127"/>
    <w:rsid w:val="00FA5B88"/>
    <w:rsid w:val="00FA61BB"/>
    <w:rsid w:val="00FA6503"/>
    <w:rsid w:val="00FB06D5"/>
    <w:rsid w:val="00FB159A"/>
    <w:rsid w:val="00FB16AF"/>
    <w:rsid w:val="00FB3D65"/>
    <w:rsid w:val="00FB496A"/>
    <w:rsid w:val="00FB59A4"/>
    <w:rsid w:val="00FB6352"/>
    <w:rsid w:val="00FC06F4"/>
    <w:rsid w:val="00FC08CC"/>
    <w:rsid w:val="00FC0F7A"/>
    <w:rsid w:val="00FC0FC9"/>
    <w:rsid w:val="00FC2850"/>
    <w:rsid w:val="00FC30C2"/>
    <w:rsid w:val="00FC310F"/>
    <w:rsid w:val="00FC3168"/>
    <w:rsid w:val="00FC3230"/>
    <w:rsid w:val="00FC32AC"/>
    <w:rsid w:val="00FC332C"/>
    <w:rsid w:val="00FC43CF"/>
    <w:rsid w:val="00FC57C6"/>
    <w:rsid w:val="00FC6E0B"/>
    <w:rsid w:val="00FD1944"/>
    <w:rsid w:val="00FD3435"/>
    <w:rsid w:val="00FD348A"/>
    <w:rsid w:val="00FD3C12"/>
    <w:rsid w:val="00FD4122"/>
    <w:rsid w:val="00FD4204"/>
    <w:rsid w:val="00FD5B0E"/>
    <w:rsid w:val="00FD6521"/>
    <w:rsid w:val="00FD79CD"/>
    <w:rsid w:val="00FE015E"/>
    <w:rsid w:val="00FE1180"/>
    <w:rsid w:val="00FE6FE4"/>
    <w:rsid w:val="00FE7402"/>
    <w:rsid w:val="00FF0811"/>
    <w:rsid w:val="00FF0B28"/>
    <w:rsid w:val="00FF1586"/>
    <w:rsid w:val="00FF2C96"/>
    <w:rsid w:val="00FF3441"/>
    <w:rsid w:val="00FF3A3D"/>
    <w:rsid w:val="00FF408F"/>
    <w:rsid w:val="00FF5CEC"/>
    <w:rsid w:val="0A793938"/>
    <w:rsid w:val="52FE2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96EED"/>
  <w15:docId w15:val="{C21E50E5-393B-47CD-BC39-455617BE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AR PL SungtiL GB" w:hAnsi="Liberation Serif" w:cs="Lohit Devanagari"/>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rsid w:val="00BC160D"/>
    <w:pPr>
      <w:keepNext/>
      <w:keepLines/>
      <w:spacing w:before="240"/>
      <w:outlineLvl w:val="0"/>
    </w:pPr>
    <w:rPr>
      <w:rFonts w:asciiTheme="majorHAnsi" w:eastAsiaTheme="majorEastAsia" w:hAnsiTheme="majorHAnsi" w:cs="Mangal"/>
      <w:b/>
      <w:color w:val="000000" w:themeColor="text1"/>
      <w:szCs w:val="29"/>
    </w:rPr>
  </w:style>
  <w:style w:type="paragraph" w:styleId="Heading2">
    <w:name w:val="heading 2"/>
    <w:basedOn w:val="Normal"/>
    <w:next w:val="Normal"/>
    <w:link w:val="Heading2Char"/>
    <w:uiPriority w:val="9"/>
    <w:unhideWhenUsed/>
    <w:qFormat/>
    <w:rsid w:val="00A111B9"/>
    <w:pPr>
      <w:keepNext/>
      <w:keepLines/>
      <w:spacing w:before="40"/>
      <w:outlineLvl w:val="1"/>
    </w:pPr>
    <w:rPr>
      <w:rFonts w:asciiTheme="majorHAnsi" w:eastAsiaTheme="majorEastAsia" w:hAnsiTheme="majorHAnsi" w:cs="Mangal"/>
      <w:b/>
      <w:sz w:val="20"/>
      <w:szCs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link w:val="StandardChar"/>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uiPriority w:val="35"/>
    <w:qFormat/>
    <w:pPr>
      <w:suppressLineNumbers/>
      <w:spacing w:before="120" w:after="120"/>
    </w:pPr>
    <w:rPr>
      <w:i/>
      <w:iCs/>
    </w:rPr>
  </w:style>
  <w:style w:type="paragraph" w:customStyle="1" w:styleId="Index">
    <w:name w:val="Index"/>
    <w:basedOn w:val="Standard"/>
    <w:pPr>
      <w:suppressLineNumbers/>
    </w:pPr>
  </w:style>
  <w:style w:type="paragraph" w:styleId="Subtitle">
    <w:name w:val="Subtitle"/>
    <w:basedOn w:val="Heading"/>
    <w:next w:val="Textbody"/>
    <w:uiPriority w:val="11"/>
    <w:qFormat/>
    <w:pPr>
      <w:spacing w:before="60"/>
      <w:jc w:val="center"/>
    </w:pPr>
    <w:rPr>
      <w:sz w:val="36"/>
      <w:szCs w:val="36"/>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able">
    <w:name w:val="Table"/>
    <w:basedOn w:val="Caption"/>
  </w:style>
  <w:style w:type="paragraph" w:customStyle="1" w:styleId="Illustration">
    <w:name w:val="Illustration"/>
    <w:basedOn w:val="Caption"/>
  </w:style>
  <w:style w:type="paragraph" w:customStyle="1" w:styleId="Figure">
    <w:name w:val="Figure"/>
    <w:basedOn w:val="Caption"/>
  </w:style>
  <w:style w:type="paragraph" w:customStyle="1" w:styleId="Framecontents">
    <w:name w:val="Frame contents"/>
    <w:basedOn w:val="Standard"/>
  </w:style>
  <w:style w:type="paragraph" w:styleId="Header">
    <w:name w:val="header"/>
    <w:basedOn w:val="Standard"/>
    <w:pPr>
      <w:suppressLineNumbers/>
      <w:tabs>
        <w:tab w:val="center" w:pos="4819"/>
        <w:tab w:val="right" w:pos="9638"/>
      </w:tabs>
    </w:pPr>
  </w:style>
  <w:style w:type="paragraph" w:styleId="Footer">
    <w:name w:val="footer"/>
    <w:basedOn w:val="Standard"/>
    <w:link w:val="FooterChar"/>
    <w:uiPriority w:val="99"/>
    <w:pPr>
      <w:suppressLineNumbers/>
      <w:tabs>
        <w:tab w:val="center" w:pos="4819"/>
        <w:tab w:val="right" w:pos="9638"/>
      </w:tabs>
    </w:pPr>
  </w:style>
  <w:style w:type="paragraph" w:customStyle="1" w:styleId="PreformattedText">
    <w:name w:val="Preformatted Text"/>
    <w:basedOn w:val="Standard"/>
    <w:rPr>
      <w:rFonts w:ascii="Liberation Mono" w:hAnsi="Liberation Mono" w:cs="Liberation Mono"/>
      <w:sz w:val="20"/>
      <w:szCs w:val="20"/>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SourceText">
    <w:name w:val="Source Text"/>
    <w:rPr>
      <w:rFonts w:ascii="Liberation Mono" w:eastAsia="AR PL SungtiL GB" w:hAnsi="Liberation Mono" w:cs="Liberation Mono"/>
    </w:rPr>
  </w:style>
  <w:style w:type="paragraph" w:styleId="ListParagraph">
    <w:name w:val="List Paragraph"/>
    <w:basedOn w:val="Normal"/>
    <w:uiPriority w:val="72"/>
    <w:pPr>
      <w:ind w:left="720"/>
    </w:pPr>
    <w:rPr>
      <w:rFonts w:cs="Mangal"/>
      <w:szCs w:val="21"/>
    </w:rPr>
  </w:style>
  <w:style w:type="paragraph" w:styleId="NormalWeb">
    <w:name w:val="Normal (Web)"/>
    <w:basedOn w:val="Normal"/>
    <w:pPr>
      <w:suppressAutoHyphens w:val="0"/>
      <w:spacing w:before="100" w:after="100"/>
      <w:textAlignment w:val="auto"/>
    </w:pPr>
    <w:rPr>
      <w:rFonts w:ascii="Times New Roman" w:eastAsia="Times New Roman" w:hAnsi="Times New Roman" w:cs="Times New Roman"/>
      <w:kern w:val="0"/>
      <w:lang w:val="en-GB" w:eastAsia="en-GB" w:bidi="ar-SA"/>
    </w:rPr>
  </w:style>
  <w:style w:type="character" w:styleId="Hyperlink">
    <w:name w:val="Hyperlink"/>
    <w:basedOn w:val="DefaultParagraphFont"/>
    <w:uiPriority w:val="99"/>
    <w:rPr>
      <w:color w:val="0563C1"/>
      <w:u w:val="single"/>
    </w:rPr>
  </w:style>
  <w:style w:type="character" w:styleId="UnresolvedMention">
    <w:name w:val="Unresolved Mention"/>
    <w:basedOn w:val="DefaultParagraphFont"/>
    <w:uiPriority w:val="99"/>
    <w:rPr>
      <w:color w:val="605E5C"/>
      <w:shd w:val="clear" w:color="auto" w:fill="E1DFDD"/>
    </w:rPr>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 w:type="character" w:styleId="PlaceholderText">
    <w:name w:val="Placeholder Text"/>
    <w:basedOn w:val="DefaultParagraphFont"/>
    <w:rPr>
      <w:color w:val="808080"/>
    </w:rPr>
  </w:style>
  <w:style w:type="character" w:styleId="FollowedHyperlink">
    <w:name w:val="FollowedHyperlink"/>
    <w:basedOn w:val="DefaultParagraphFont"/>
    <w:uiPriority w:val="99"/>
    <w:rPr>
      <w:color w:val="954F72"/>
      <w:u w:val="single"/>
    </w:rPr>
  </w:style>
  <w:style w:type="numbering" w:customStyle="1" w:styleId="WWNum6">
    <w:name w:val="WWNum6"/>
    <w:basedOn w:val="NoList"/>
    <w:pPr>
      <w:numPr>
        <w:numId w:val="1"/>
      </w:numPr>
    </w:pPr>
  </w:style>
  <w:style w:type="character" w:styleId="CommentReference">
    <w:name w:val="annotation reference"/>
    <w:basedOn w:val="DefaultParagraphFont"/>
    <w:uiPriority w:val="99"/>
    <w:unhideWhenUsed/>
    <w:rsid w:val="00091BE8"/>
    <w:rPr>
      <w:sz w:val="16"/>
      <w:szCs w:val="16"/>
    </w:rPr>
  </w:style>
  <w:style w:type="paragraph" w:styleId="CommentText">
    <w:name w:val="annotation text"/>
    <w:basedOn w:val="Normal"/>
    <w:link w:val="CommentTextChar"/>
    <w:uiPriority w:val="99"/>
    <w:unhideWhenUsed/>
    <w:rsid w:val="00091BE8"/>
    <w:rPr>
      <w:rFonts w:cs="Mangal"/>
      <w:sz w:val="20"/>
      <w:szCs w:val="18"/>
    </w:rPr>
  </w:style>
  <w:style w:type="character" w:customStyle="1" w:styleId="CommentTextChar">
    <w:name w:val="Comment Text Char"/>
    <w:basedOn w:val="DefaultParagraphFont"/>
    <w:link w:val="CommentText"/>
    <w:uiPriority w:val="99"/>
    <w:rsid w:val="00091BE8"/>
    <w:rPr>
      <w:rFonts w:cs="Mangal"/>
      <w:sz w:val="20"/>
      <w:szCs w:val="18"/>
    </w:rPr>
  </w:style>
  <w:style w:type="paragraph" w:styleId="CommentSubject">
    <w:name w:val="annotation subject"/>
    <w:basedOn w:val="CommentText"/>
    <w:next w:val="CommentText"/>
    <w:link w:val="CommentSubjectChar"/>
    <w:uiPriority w:val="99"/>
    <w:semiHidden/>
    <w:unhideWhenUsed/>
    <w:rsid w:val="00091BE8"/>
    <w:rPr>
      <w:b/>
      <w:bCs/>
    </w:rPr>
  </w:style>
  <w:style w:type="character" w:customStyle="1" w:styleId="CommentSubjectChar">
    <w:name w:val="Comment Subject Char"/>
    <w:basedOn w:val="CommentTextChar"/>
    <w:link w:val="CommentSubject"/>
    <w:uiPriority w:val="99"/>
    <w:semiHidden/>
    <w:rsid w:val="00091BE8"/>
    <w:rPr>
      <w:rFonts w:cs="Mangal"/>
      <w:b/>
      <w:bCs/>
      <w:sz w:val="20"/>
      <w:szCs w:val="18"/>
    </w:rPr>
  </w:style>
  <w:style w:type="character" w:styleId="Mention">
    <w:name w:val="Mention"/>
    <w:basedOn w:val="DefaultParagraphFont"/>
    <w:uiPriority w:val="99"/>
    <w:unhideWhenUsed/>
    <w:rsid w:val="008B3DA3"/>
    <w:rPr>
      <w:color w:val="2B579A"/>
      <w:shd w:val="clear" w:color="auto" w:fill="E1DFDD"/>
    </w:rPr>
  </w:style>
  <w:style w:type="paragraph" w:styleId="Revision">
    <w:name w:val="Revision"/>
    <w:hidden/>
    <w:uiPriority w:val="99"/>
    <w:semiHidden/>
    <w:rsid w:val="004B3128"/>
    <w:pPr>
      <w:autoSpaceDN/>
      <w:textAlignment w:val="auto"/>
    </w:pPr>
    <w:rPr>
      <w:rFonts w:cs="Mangal"/>
      <w:szCs w:val="21"/>
    </w:rPr>
  </w:style>
  <w:style w:type="character" w:customStyle="1" w:styleId="FooterChar">
    <w:name w:val="Footer Char"/>
    <w:basedOn w:val="DefaultParagraphFont"/>
    <w:link w:val="Footer"/>
    <w:uiPriority w:val="99"/>
    <w:rsid w:val="00C8013C"/>
  </w:style>
  <w:style w:type="character" w:customStyle="1" w:styleId="Heading1Char">
    <w:name w:val="Heading 1 Char"/>
    <w:basedOn w:val="DefaultParagraphFont"/>
    <w:link w:val="Heading1"/>
    <w:uiPriority w:val="9"/>
    <w:rsid w:val="00BC160D"/>
    <w:rPr>
      <w:rFonts w:asciiTheme="majorHAnsi" w:eastAsiaTheme="majorEastAsia" w:hAnsiTheme="majorHAnsi" w:cs="Mangal"/>
      <w:b/>
      <w:color w:val="000000" w:themeColor="text1"/>
      <w:szCs w:val="29"/>
    </w:rPr>
  </w:style>
  <w:style w:type="character" w:customStyle="1" w:styleId="Heading2Char">
    <w:name w:val="Heading 2 Char"/>
    <w:basedOn w:val="DefaultParagraphFont"/>
    <w:link w:val="Heading2"/>
    <w:uiPriority w:val="9"/>
    <w:rsid w:val="00A111B9"/>
    <w:rPr>
      <w:rFonts w:asciiTheme="majorHAnsi" w:eastAsiaTheme="majorEastAsia" w:hAnsiTheme="majorHAnsi" w:cs="Mangal"/>
      <w:b/>
      <w:sz w:val="20"/>
      <w:szCs w:val="23"/>
    </w:rPr>
  </w:style>
  <w:style w:type="paragraph" w:styleId="TOCHeading">
    <w:name w:val="TOC Heading"/>
    <w:basedOn w:val="Heading1"/>
    <w:next w:val="Normal"/>
    <w:uiPriority w:val="39"/>
    <w:unhideWhenUsed/>
    <w:qFormat/>
    <w:rsid w:val="00DB12FC"/>
    <w:pPr>
      <w:suppressAutoHyphens w:val="0"/>
      <w:autoSpaceDN/>
      <w:spacing w:line="259" w:lineRule="auto"/>
      <w:textAlignment w:val="auto"/>
      <w:outlineLvl w:val="9"/>
    </w:pPr>
    <w:rPr>
      <w:rFonts w:cstheme="majorBidi"/>
      <w:kern w:val="0"/>
      <w:szCs w:val="32"/>
      <w:lang w:eastAsia="en-US" w:bidi="ar-SA"/>
    </w:rPr>
  </w:style>
  <w:style w:type="paragraph" w:styleId="TOC1">
    <w:name w:val="toc 1"/>
    <w:basedOn w:val="Normal"/>
    <w:next w:val="Normal"/>
    <w:autoRedefine/>
    <w:uiPriority w:val="39"/>
    <w:unhideWhenUsed/>
    <w:rsid w:val="00DB12FC"/>
    <w:pPr>
      <w:spacing w:after="100"/>
    </w:pPr>
    <w:rPr>
      <w:rFonts w:cs="Mangal"/>
      <w:szCs w:val="21"/>
    </w:rPr>
  </w:style>
  <w:style w:type="paragraph" w:styleId="TOC2">
    <w:name w:val="toc 2"/>
    <w:basedOn w:val="Normal"/>
    <w:next w:val="Normal"/>
    <w:autoRedefine/>
    <w:uiPriority w:val="39"/>
    <w:unhideWhenUsed/>
    <w:rsid w:val="00DB12FC"/>
    <w:pPr>
      <w:spacing w:after="100"/>
      <w:ind w:left="240"/>
    </w:pPr>
    <w:rPr>
      <w:rFonts w:cs="Mangal"/>
      <w:szCs w:val="21"/>
    </w:rPr>
  </w:style>
  <w:style w:type="paragraph" w:customStyle="1" w:styleId="EndNoteBibliographyTitle">
    <w:name w:val="EndNote Bibliography Title"/>
    <w:basedOn w:val="Normal"/>
    <w:link w:val="EndNoteBibliographyTitleChar"/>
    <w:rsid w:val="0092667F"/>
    <w:pPr>
      <w:jc w:val="center"/>
    </w:pPr>
    <w:rPr>
      <w:rFonts w:cs="Liberation Serif"/>
      <w:noProof/>
      <w:sz w:val="20"/>
    </w:rPr>
  </w:style>
  <w:style w:type="character" w:customStyle="1" w:styleId="StandardChar">
    <w:name w:val="Standard Char"/>
    <w:basedOn w:val="DefaultParagraphFont"/>
    <w:link w:val="Standard"/>
    <w:rsid w:val="0092667F"/>
  </w:style>
  <w:style w:type="character" w:customStyle="1" w:styleId="EndNoteBibliographyTitleChar">
    <w:name w:val="EndNote Bibliography Title Char"/>
    <w:basedOn w:val="StandardChar"/>
    <w:link w:val="EndNoteBibliographyTitle"/>
    <w:rsid w:val="0092667F"/>
    <w:rPr>
      <w:rFonts w:cs="Liberation Serif"/>
      <w:noProof/>
      <w:sz w:val="20"/>
    </w:rPr>
  </w:style>
  <w:style w:type="paragraph" w:customStyle="1" w:styleId="EndNoteBibliography">
    <w:name w:val="EndNote Bibliography"/>
    <w:basedOn w:val="Normal"/>
    <w:link w:val="EndNoteBibliographyChar"/>
    <w:rsid w:val="0092667F"/>
    <w:rPr>
      <w:rFonts w:cs="Liberation Serif"/>
      <w:noProof/>
      <w:sz w:val="20"/>
    </w:rPr>
  </w:style>
  <w:style w:type="character" w:customStyle="1" w:styleId="EndNoteBibliographyChar">
    <w:name w:val="EndNote Bibliography Char"/>
    <w:basedOn w:val="StandardChar"/>
    <w:link w:val="EndNoteBibliography"/>
    <w:rsid w:val="0092667F"/>
    <w:rPr>
      <w:rFonts w:cs="Liberation Serif"/>
      <w:noProof/>
      <w:sz w:val="20"/>
    </w:rPr>
  </w:style>
  <w:style w:type="paragraph" w:customStyle="1" w:styleId="msonormal0">
    <w:name w:val="msonormal"/>
    <w:basedOn w:val="Normal"/>
    <w:rsid w:val="00B26495"/>
    <w:pPr>
      <w:suppressAutoHyphens w:val="0"/>
      <w:autoSpaceDN/>
      <w:spacing w:before="100" w:beforeAutospacing="1" w:after="100" w:afterAutospacing="1"/>
      <w:textAlignment w:val="auto"/>
    </w:pPr>
    <w:rPr>
      <w:rFonts w:ascii="Times New Roman" w:eastAsia="Times New Roman" w:hAnsi="Times New Roman" w:cs="Times New Roman"/>
      <w:kern w:val="0"/>
      <w:lang w:val="en-GB" w:eastAsia="en-GB" w:bidi="ar-SA"/>
    </w:rPr>
  </w:style>
  <w:style w:type="table" w:styleId="TableGridLight">
    <w:name w:val="Grid Table Light"/>
    <w:basedOn w:val="TableNormal"/>
    <w:uiPriority w:val="40"/>
    <w:rsid w:val="00B26495"/>
    <w:pPr>
      <w:autoSpaceDN/>
      <w:textAlignment w:val="auto"/>
    </w:pPr>
    <w:rPr>
      <w:rFonts w:ascii="Calibri" w:eastAsia="Calibri" w:hAnsi="Calibri" w:cs="Times New Roman"/>
      <w:kern w:val="0"/>
      <w:sz w:val="20"/>
      <w:szCs w:val="20"/>
      <w:lang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3405CC"/>
    <w:pPr>
      <w:autoSpaceDN/>
      <w:textAlignment w:val="auto"/>
    </w:pPr>
    <w:rPr>
      <w:rFonts w:ascii="Calibri" w:eastAsia="Calibri" w:hAnsi="Calibri" w:cs="Times New Roman"/>
      <w:kern w:val="0"/>
      <w:sz w:val="20"/>
      <w:szCs w:val="20"/>
      <w:lang w:eastAsia="en-US" w:bidi="ar-S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56507">
      <w:bodyDiv w:val="1"/>
      <w:marLeft w:val="0"/>
      <w:marRight w:val="0"/>
      <w:marTop w:val="0"/>
      <w:marBottom w:val="0"/>
      <w:divBdr>
        <w:top w:val="none" w:sz="0" w:space="0" w:color="auto"/>
        <w:left w:val="none" w:sz="0" w:space="0" w:color="auto"/>
        <w:bottom w:val="none" w:sz="0" w:space="0" w:color="auto"/>
        <w:right w:val="none" w:sz="0" w:space="0" w:color="auto"/>
      </w:divBdr>
    </w:div>
    <w:div w:id="1206407621">
      <w:bodyDiv w:val="1"/>
      <w:marLeft w:val="0"/>
      <w:marRight w:val="0"/>
      <w:marTop w:val="0"/>
      <w:marBottom w:val="0"/>
      <w:divBdr>
        <w:top w:val="none" w:sz="0" w:space="0" w:color="auto"/>
        <w:left w:val="none" w:sz="0" w:space="0" w:color="auto"/>
        <w:bottom w:val="none" w:sz="0" w:space="0" w:color="auto"/>
        <w:right w:val="none" w:sz="0" w:space="0" w:color="auto"/>
      </w:divBdr>
    </w:div>
    <w:div w:id="1330328509">
      <w:bodyDiv w:val="1"/>
      <w:marLeft w:val="0"/>
      <w:marRight w:val="0"/>
      <w:marTop w:val="0"/>
      <w:marBottom w:val="0"/>
      <w:divBdr>
        <w:top w:val="none" w:sz="0" w:space="0" w:color="auto"/>
        <w:left w:val="none" w:sz="0" w:space="0" w:color="auto"/>
        <w:bottom w:val="none" w:sz="0" w:space="0" w:color="auto"/>
        <w:right w:val="none" w:sz="0" w:space="0" w:color="auto"/>
      </w:divBdr>
    </w:div>
    <w:div w:id="1917276115">
      <w:bodyDiv w:val="1"/>
      <w:marLeft w:val="0"/>
      <w:marRight w:val="0"/>
      <w:marTop w:val="0"/>
      <w:marBottom w:val="0"/>
      <w:divBdr>
        <w:top w:val="none" w:sz="0" w:space="0" w:color="auto"/>
        <w:left w:val="none" w:sz="0" w:space="0" w:color="auto"/>
        <w:bottom w:val="none" w:sz="0" w:space="0" w:color="auto"/>
        <w:right w:val="none" w:sz="0" w:space="0" w:color="auto"/>
      </w:divBdr>
    </w:div>
    <w:div w:id="2016029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e3062ae-8ae5-4dc4-9520-4aac821b5c4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D4AB31D116FA4CA8EEA5B9897BD86F" ma:contentTypeVersion="13" ma:contentTypeDescription="Create a new document." ma:contentTypeScope="" ma:versionID="fc06fc10ea997c4f3bf04ba880c080ba">
  <xsd:schema xmlns:xsd="http://www.w3.org/2001/XMLSchema" xmlns:xs="http://www.w3.org/2001/XMLSchema" xmlns:p="http://schemas.microsoft.com/office/2006/metadata/properties" xmlns:ns2="7e3062ae-8ae5-4dc4-9520-4aac821b5c4f" xmlns:ns3="b19e1a51-e7df-4969-9673-b172c4c20fd4" targetNamespace="http://schemas.microsoft.com/office/2006/metadata/properties" ma:root="true" ma:fieldsID="dbb6d45865436b76dc3d296a634926f7" ns2:_="" ns3:_="">
    <xsd:import namespace="7e3062ae-8ae5-4dc4-9520-4aac821b5c4f"/>
    <xsd:import namespace="b19e1a51-e7df-4969-9673-b172c4c20f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062ae-8ae5-4dc4-9520-4aac821b5c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5d2bbfa-515d-4e02-8759-d24852ed3c2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9e1a51-e7df-4969-9673-b172c4c20f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D035C-23E7-4AB5-B32E-5F823AC293B6}">
  <ds:schemaRefs>
    <ds:schemaRef ds:uri="http://schemas.microsoft.com/office/2006/metadata/properties"/>
    <ds:schemaRef ds:uri="http://schemas.microsoft.com/office/infopath/2007/PartnerControls"/>
    <ds:schemaRef ds:uri="7e3062ae-8ae5-4dc4-9520-4aac821b5c4f"/>
  </ds:schemaRefs>
</ds:datastoreItem>
</file>

<file path=customXml/itemProps2.xml><?xml version="1.0" encoding="utf-8"?>
<ds:datastoreItem xmlns:ds="http://schemas.openxmlformats.org/officeDocument/2006/customXml" ds:itemID="{26553C6F-E062-4910-B7C4-3B47062BF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062ae-8ae5-4dc4-9520-4aac821b5c4f"/>
    <ds:schemaRef ds:uri="b19e1a51-e7df-4969-9673-b172c4c20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4988AD-7669-4FFE-BF48-4F006434932B}">
  <ds:schemaRefs>
    <ds:schemaRef ds:uri="http://schemas.microsoft.com/sharepoint/v3/contenttype/forms"/>
  </ds:schemaRefs>
</ds:datastoreItem>
</file>

<file path=customXml/itemProps4.xml><?xml version="1.0" encoding="utf-8"?>
<ds:datastoreItem xmlns:ds="http://schemas.openxmlformats.org/officeDocument/2006/customXml" ds:itemID="{CD4F5FDE-253E-4CFB-92B9-242DB895C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2324</Words>
  <Characters>13252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IARC</Company>
  <LinksUpToDate>false</LinksUpToDate>
  <CharactersWithSpaces>15545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Man</dc:creator>
  <cp:keywords/>
  <cp:lastModifiedBy>James Gilbert</cp:lastModifiedBy>
  <cp:revision>10</cp:revision>
  <cp:lastPrinted>2022-08-22T16:31:00Z</cp:lastPrinted>
  <dcterms:created xsi:type="dcterms:W3CDTF">2023-05-24T11:43:00Z</dcterms:created>
  <dcterms:modified xsi:type="dcterms:W3CDTF">2023-06-29T07:44:00Z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82dd55a2-e178-3d11-860d-c335f9fa39ef</vt:lpwstr>
  </property>
  <property fmtid="{D5CDD505-2E9C-101B-9397-08002B2CF9AE}" pid="24" name="Mendeley Citation Style_1">
    <vt:lpwstr>http://www.zotero.org/styles/vancouver</vt:lpwstr>
  </property>
  <property fmtid="{D5CDD505-2E9C-101B-9397-08002B2CF9AE}" pid="25" name="ContentTypeId">
    <vt:lpwstr>0x010100ABD4AB31D116FA4CA8EEA5B9897BD86F</vt:lpwstr>
  </property>
  <property fmtid="{D5CDD505-2E9C-101B-9397-08002B2CF9AE}" pid="26" name="MediaServiceImageTags">
    <vt:lpwstr/>
  </property>
</Properties>
</file>