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9D464" w14:textId="2D24091F" w:rsidR="00D92161" w:rsidRPr="005411BF" w:rsidRDefault="00CD69E5">
      <w:pPr>
        <w:rPr>
          <w:b/>
        </w:rPr>
      </w:pPr>
      <w:r w:rsidRPr="005411BF">
        <w:rPr>
          <w:b/>
        </w:rPr>
        <w:t xml:space="preserve">Supplemental </w:t>
      </w:r>
      <w:r w:rsidR="00241AE0" w:rsidRPr="005411BF">
        <w:rPr>
          <w:b/>
        </w:rPr>
        <w:t>T</w:t>
      </w:r>
      <w:r w:rsidRPr="005411BF">
        <w:rPr>
          <w:b/>
        </w:rPr>
        <w:t xml:space="preserve">able </w:t>
      </w:r>
      <w:r w:rsidR="005411BF" w:rsidRPr="005411BF">
        <w:rPr>
          <w:b/>
        </w:rPr>
        <w:t>2</w:t>
      </w:r>
      <w:r w:rsidRPr="005411BF">
        <w:rPr>
          <w:b/>
        </w:rPr>
        <w:t xml:space="preserve"> </w:t>
      </w:r>
    </w:p>
    <w:p w14:paraId="07B5FD50" w14:textId="77777777" w:rsidR="00D92161" w:rsidRDefault="00CD69E5">
      <w:r>
        <w:t xml:space="preserve">List of literature-based markers for characterization of cell identity of meningeal clusters </w:t>
      </w:r>
    </w:p>
    <w:tbl>
      <w:tblPr>
        <w:tblStyle w:val="a"/>
        <w:tblW w:w="9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71"/>
        <w:gridCol w:w="2877"/>
        <w:gridCol w:w="2863"/>
      </w:tblGrid>
      <w:tr w:rsidR="00D92161" w14:paraId="1E23089B" w14:textId="77777777">
        <w:trPr>
          <w:trHeight w:val="297"/>
        </w:trPr>
        <w:tc>
          <w:tcPr>
            <w:tcW w:w="3271" w:type="dxa"/>
          </w:tcPr>
          <w:p w14:paraId="6BC398A3" w14:textId="77777777" w:rsidR="00D92161" w:rsidRDefault="00CD69E5">
            <w:pPr>
              <w:jc w:val="center"/>
            </w:pPr>
            <w:r>
              <w:t>Cell type</w:t>
            </w:r>
          </w:p>
        </w:tc>
        <w:tc>
          <w:tcPr>
            <w:tcW w:w="2877" w:type="dxa"/>
          </w:tcPr>
          <w:p w14:paraId="49C3965B" w14:textId="77777777" w:rsidR="00D92161" w:rsidRDefault="00CD69E5">
            <w:r>
              <w:t>Gene</w:t>
            </w:r>
          </w:p>
        </w:tc>
        <w:tc>
          <w:tcPr>
            <w:tcW w:w="2863" w:type="dxa"/>
          </w:tcPr>
          <w:p w14:paraId="6F6C05AF" w14:textId="77777777" w:rsidR="00D92161" w:rsidRDefault="00CD69E5">
            <w:r>
              <w:t>Ref.</w:t>
            </w:r>
          </w:p>
        </w:tc>
      </w:tr>
      <w:tr w:rsidR="00D92161" w14:paraId="7F0666DD" w14:textId="77777777">
        <w:trPr>
          <w:trHeight w:val="545"/>
        </w:trPr>
        <w:tc>
          <w:tcPr>
            <w:tcW w:w="3271" w:type="dxa"/>
          </w:tcPr>
          <w:p w14:paraId="410DE9DE" w14:textId="77777777" w:rsidR="00D92161" w:rsidRDefault="00CD69E5">
            <w:pPr>
              <w:jc w:val="center"/>
              <w:rPr>
                <w:b/>
              </w:rPr>
            </w:pPr>
            <w:r>
              <w:rPr>
                <w:b/>
              </w:rPr>
              <w:t>Myeloid cells/Immune cells</w:t>
            </w:r>
          </w:p>
        </w:tc>
        <w:tc>
          <w:tcPr>
            <w:tcW w:w="2877" w:type="dxa"/>
          </w:tcPr>
          <w:p w14:paraId="4DD1AF08" w14:textId="4661B45B" w:rsidR="00D92161" w:rsidRDefault="00CD69E5">
            <w:pPr>
              <w:rPr>
                <w:i/>
              </w:rPr>
            </w:pPr>
            <w:r>
              <w:rPr>
                <w:i/>
              </w:rPr>
              <w:t>Ptprc</w:t>
            </w:r>
            <w:r w:rsidR="00EC7214">
              <w:rPr>
                <w:i/>
              </w:rPr>
              <w:t xml:space="preserve"> (Cd45)</w:t>
            </w:r>
          </w:p>
        </w:tc>
        <w:tc>
          <w:tcPr>
            <w:tcW w:w="2863" w:type="dxa"/>
          </w:tcPr>
          <w:p w14:paraId="0034A764" w14:textId="77777777" w:rsidR="00D92161" w:rsidRDefault="00CD69E5">
            <w:r>
              <w:rPr>
                <w:rFonts w:ascii="Arial" w:eastAsia="Arial" w:hAnsi="Arial" w:cs="Arial"/>
                <w:color w:val="222222"/>
                <w:sz w:val="20"/>
                <w:szCs w:val="20"/>
                <w:highlight w:val="white"/>
              </w:rPr>
              <w:t>1, 2</w:t>
            </w:r>
          </w:p>
        </w:tc>
      </w:tr>
      <w:tr w:rsidR="00D92161" w14:paraId="66C1FD54" w14:textId="77777777">
        <w:trPr>
          <w:trHeight w:val="570"/>
        </w:trPr>
        <w:tc>
          <w:tcPr>
            <w:tcW w:w="3271" w:type="dxa"/>
            <w:vMerge w:val="restart"/>
          </w:tcPr>
          <w:p w14:paraId="33A52DB0" w14:textId="77777777" w:rsidR="00D92161" w:rsidRDefault="00D92161">
            <w:pPr>
              <w:jc w:val="center"/>
            </w:pPr>
          </w:p>
          <w:p w14:paraId="62D69579" w14:textId="77777777" w:rsidR="00D92161" w:rsidRDefault="00D92161">
            <w:pPr>
              <w:jc w:val="center"/>
            </w:pPr>
          </w:p>
          <w:p w14:paraId="5D31294F" w14:textId="77777777" w:rsidR="00D92161" w:rsidRDefault="00D92161">
            <w:pPr>
              <w:jc w:val="center"/>
            </w:pPr>
          </w:p>
          <w:p w14:paraId="420A9A2F" w14:textId="77777777" w:rsidR="00D92161" w:rsidRDefault="00D92161">
            <w:pPr>
              <w:jc w:val="center"/>
            </w:pPr>
          </w:p>
          <w:p w14:paraId="2BC9D8CA" w14:textId="77777777" w:rsidR="00D92161" w:rsidRDefault="00D92161">
            <w:pPr>
              <w:jc w:val="center"/>
            </w:pPr>
          </w:p>
          <w:p w14:paraId="798E7D71" w14:textId="77777777" w:rsidR="00D92161" w:rsidRDefault="00D92161">
            <w:pPr>
              <w:jc w:val="center"/>
            </w:pPr>
          </w:p>
          <w:p w14:paraId="6A6F63DD" w14:textId="77777777" w:rsidR="00D92161" w:rsidRDefault="00D92161">
            <w:pPr>
              <w:jc w:val="center"/>
            </w:pPr>
          </w:p>
          <w:p w14:paraId="4E571364" w14:textId="77777777" w:rsidR="00D92161" w:rsidRDefault="00D92161">
            <w:pPr>
              <w:jc w:val="center"/>
            </w:pPr>
          </w:p>
          <w:p w14:paraId="7D8FB1B3" w14:textId="77777777" w:rsidR="00D92161" w:rsidRDefault="00D92161">
            <w:pPr>
              <w:jc w:val="center"/>
            </w:pPr>
          </w:p>
          <w:p w14:paraId="0CA12015" w14:textId="77777777" w:rsidR="00D92161" w:rsidRDefault="00CD69E5">
            <w:pPr>
              <w:jc w:val="center"/>
            </w:pPr>
            <w:r>
              <w:t>Macrophages</w:t>
            </w:r>
          </w:p>
          <w:p w14:paraId="1C588971" w14:textId="77777777" w:rsidR="00D92161" w:rsidRDefault="00D92161">
            <w:pPr>
              <w:jc w:val="center"/>
            </w:pPr>
          </w:p>
        </w:tc>
        <w:tc>
          <w:tcPr>
            <w:tcW w:w="2877" w:type="dxa"/>
          </w:tcPr>
          <w:p w14:paraId="0B9D764A" w14:textId="77777777" w:rsidR="00D92161" w:rsidRDefault="00CD69E5">
            <w:pPr>
              <w:rPr>
                <w:i/>
              </w:rPr>
            </w:pPr>
            <w:r>
              <w:rPr>
                <w:i/>
              </w:rPr>
              <w:t>Csf1r</w:t>
            </w:r>
          </w:p>
        </w:tc>
        <w:tc>
          <w:tcPr>
            <w:tcW w:w="2863" w:type="dxa"/>
          </w:tcPr>
          <w:p w14:paraId="32CFBE3D" w14:textId="77777777" w:rsidR="00D92161" w:rsidRDefault="00CD69E5">
            <w:r>
              <w:t xml:space="preserve">3 </w:t>
            </w:r>
          </w:p>
        </w:tc>
      </w:tr>
      <w:tr w:rsidR="00D92161" w14:paraId="466AB2DB" w14:textId="77777777">
        <w:trPr>
          <w:trHeight w:val="545"/>
        </w:trPr>
        <w:tc>
          <w:tcPr>
            <w:tcW w:w="3271" w:type="dxa"/>
            <w:vMerge/>
          </w:tcPr>
          <w:p w14:paraId="3B20712F" w14:textId="77777777" w:rsidR="00D92161" w:rsidRDefault="00D92161">
            <w:pPr>
              <w:widowControl w:val="0"/>
              <w:pBdr>
                <w:top w:val="nil"/>
                <w:left w:val="nil"/>
                <w:bottom w:val="nil"/>
                <w:right w:val="nil"/>
                <w:between w:val="nil"/>
              </w:pBdr>
              <w:spacing w:line="276" w:lineRule="auto"/>
            </w:pPr>
          </w:p>
        </w:tc>
        <w:tc>
          <w:tcPr>
            <w:tcW w:w="2877" w:type="dxa"/>
          </w:tcPr>
          <w:p w14:paraId="66A2E09A" w14:textId="77777777" w:rsidR="00D92161" w:rsidRDefault="00CD69E5">
            <w:pPr>
              <w:rPr>
                <w:i/>
              </w:rPr>
            </w:pPr>
            <w:r>
              <w:rPr>
                <w:i/>
              </w:rPr>
              <w:t>C1qa</w:t>
            </w:r>
          </w:p>
        </w:tc>
        <w:tc>
          <w:tcPr>
            <w:tcW w:w="2863" w:type="dxa"/>
          </w:tcPr>
          <w:p w14:paraId="118F6D8F" w14:textId="77777777" w:rsidR="00D92161" w:rsidRDefault="00CD69E5">
            <w:r>
              <w:t>3</w:t>
            </w:r>
          </w:p>
        </w:tc>
      </w:tr>
      <w:tr w:rsidR="00D92161" w14:paraId="2D23646B" w14:textId="77777777">
        <w:trPr>
          <w:trHeight w:val="545"/>
        </w:trPr>
        <w:tc>
          <w:tcPr>
            <w:tcW w:w="3271" w:type="dxa"/>
            <w:vMerge/>
          </w:tcPr>
          <w:p w14:paraId="065C6656" w14:textId="77777777" w:rsidR="00D92161" w:rsidRDefault="00D92161">
            <w:pPr>
              <w:widowControl w:val="0"/>
              <w:pBdr>
                <w:top w:val="nil"/>
                <w:left w:val="nil"/>
                <w:bottom w:val="nil"/>
                <w:right w:val="nil"/>
                <w:between w:val="nil"/>
              </w:pBdr>
              <w:spacing w:line="276" w:lineRule="auto"/>
            </w:pPr>
          </w:p>
        </w:tc>
        <w:tc>
          <w:tcPr>
            <w:tcW w:w="2877" w:type="dxa"/>
          </w:tcPr>
          <w:p w14:paraId="21CE9E80" w14:textId="27136C2F" w:rsidR="00D92161" w:rsidRDefault="00CD69E5">
            <w:pPr>
              <w:rPr>
                <w:i/>
              </w:rPr>
            </w:pPr>
            <w:r>
              <w:rPr>
                <w:i/>
              </w:rPr>
              <w:t>F13a</w:t>
            </w:r>
            <w:r w:rsidR="007F7535">
              <w:rPr>
                <w:i/>
              </w:rPr>
              <w:t>1</w:t>
            </w:r>
          </w:p>
        </w:tc>
        <w:tc>
          <w:tcPr>
            <w:tcW w:w="2863" w:type="dxa"/>
          </w:tcPr>
          <w:p w14:paraId="0EA3634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4 </w:t>
            </w:r>
          </w:p>
        </w:tc>
      </w:tr>
      <w:tr w:rsidR="00D92161" w14:paraId="2AB45179" w14:textId="77777777">
        <w:trPr>
          <w:trHeight w:val="545"/>
        </w:trPr>
        <w:tc>
          <w:tcPr>
            <w:tcW w:w="3271" w:type="dxa"/>
            <w:vMerge/>
          </w:tcPr>
          <w:p w14:paraId="41D0325D"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6B28FD4A" w14:textId="77777777" w:rsidR="00D92161" w:rsidRDefault="00CD69E5">
            <w:pPr>
              <w:rPr>
                <w:i/>
              </w:rPr>
            </w:pPr>
            <w:r>
              <w:rPr>
                <w:i/>
              </w:rPr>
              <w:t>Adgre1</w:t>
            </w:r>
          </w:p>
        </w:tc>
        <w:tc>
          <w:tcPr>
            <w:tcW w:w="2863" w:type="dxa"/>
          </w:tcPr>
          <w:p w14:paraId="1E89E21E"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3, 5</w:t>
            </w:r>
          </w:p>
        </w:tc>
      </w:tr>
      <w:tr w:rsidR="00D92161" w14:paraId="06FA7E2B" w14:textId="77777777">
        <w:trPr>
          <w:trHeight w:val="545"/>
        </w:trPr>
        <w:tc>
          <w:tcPr>
            <w:tcW w:w="3271" w:type="dxa"/>
            <w:vMerge/>
          </w:tcPr>
          <w:p w14:paraId="62A647C0"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201B84D1" w14:textId="77777777" w:rsidR="00D92161" w:rsidRDefault="00CD69E5">
            <w:pPr>
              <w:rPr>
                <w:i/>
              </w:rPr>
            </w:pPr>
            <w:r>
              <w:rPr>
                <w:i/>
              </w:rPr>
              <w:t>Mrc1/Cd206</w:t>
            </w:r>
          </w:p>
        </w:tc>
        <w:tc>
          <w:tcPr>
            <w:tcW w:w="2863" w:type="dxa"/>
          </w:tcPr>
          <w:p w14:paraId="5AC30743" w14:textId="77777777" w:rsidR="00D92161" w:rsidRDefault="00CD69E5">
            <w:r>
              <w:rPr>
                <w:rFonts w:ascii="Arial" w:eastAsia="Arial" w:hAnsi="Arial" w:cs="Arial"/>
                <w:color w:val="222222"/>
                <w:sz w:val="20"/>
                <w:szCs w:val="20"/>
                <w:highlight w:val="white"/>
              </w:rPr>
              <w:t>3, 6</w:t>
            </w:r>
          </w:p>
        </w:tc>
      </w:tr>
      <w:tr w:rsidR="00D92161" w14:paraId="0FECD70E" w14:textId="77777777">
        <w:trPr>
          <w:trHeight w:val="570"/>
        </w:trPr>
        <w:tc>
          <w:tcPr>
            <w:tcW w:w="3271" w:type="dxa"/>
            <w:vMerge/>
          </w:tcPr>
          <w:p w14:paraId="52C6EF84" w14:textId="77777777" w:rsidR="00D92161" w:rsidRDefault="00D92161">
            <w:pPr>
              <w:widowControl w:val="0"/>
              <w:pBdr>
                <w:top w:val="nil"/>
                <w:left w:val="nil"/>
                <w:bottom w:val="nil"/>
                <w:right w:val="nil"/>
                <w:between w:val="nil"/>
              </w:pBdr>
              <w:spacing w:line="276" w:lineRule="auto"/>
            </w:pPr>
          </w:p>
        </w:tc>
        <w:tc>
          <w:tcPr>
            <w:tcW w:w="2877" w:type="dxa"/>
          </w:tcPr>
          <w:p w14:paraId="34DF8820" w14:textId="77777777" w:rsidR="00D92161" w:rsidRDefault="00CD69E5">
            <w:pPr>
              <w:rPr>
                <w:i/>
              </w:rPr>
            </w:pPr>
            <w:r>
              <w:rPr>
                <w:i/>
              </w:rPr>
              <w:t>Lyve1</w:t>
            </w:r>
          </w:p>
        </w:tc>
        <w:tc>
          <w:tcPr>
            <w:tcW w:w="2863" w:type="dxa"/>
          </w:tcPr>
          <w:p w14:paraId="7E76000C" w14:textId="77777777" w:rsidR="00D92161" w:rsidRDefault="00CD69E5">
            <w:r>
              <w:rPr>
                <w:rFonts w:ascii="Arial" w:eastAsia="Arial" w:hAnsi="Arial" w:cs="Arial"/>
                <w:color w:val="222222"/>
                <w:sz w:val="20"/>
                <w:szCs w:val="20"/>
                <w:highlight w:val="white"/>
              </w:rPr>
              <w:t>3, 6</w:t>
            </w:r>
          </w:p>
        </w:tc>
      </w:tr>
      <w:tr w:rsidR="00D92161" w14:paraId="6437581F" w14:textId="77777777">
        <w:trPr>
          <w:trHeight w:val="570"/>
        </w:trPr>
        <w:tc>
          <w:tcPr>
            <w:tcW w:w="3271" w:type="dxa"/>
            <w:vMerge/>
          </w:tcPr>
          <w:p w14:paraId="0C02EFF5" w14:textId="77777777" w:rsidR="00D92161" w:rsidRDefault="00D92161">
            <w:pPr>
              <w:widowControl w:val="0"/>
              <w:pBdr>
                <w:top w:val="nil"/>
                <w:left w:val="nil"/>
                <w:bottom w:val="nil"/>
                <w:right w:val="nil"/>
                <w:between w:val="nil"/>
              </w:pBdr>
              <w:spacing w:line="276" w:lineRule="auto"/>
            </w:pPr>
          </w:p>
        </w:tc>
        <w:tc>
          <w:tcPr>
            <w:tcW w:w="2877" w:type="dxa"/>
          </w:tcPr>
          <w:p w14:paraId="67BC427F" w14:textId="77777777" w:rsidR="00D92161" w:rsidRDefault="00CD69E5">
            <w:pPr>
              <w:rPr>
                <w:i/>
              </w:rPr>
            </w:pPr>
            <w:r>
              <w:rPr>
                <w:i/>
              </w:rPr>
              <w:t>Apoe</w:t>
            </w:r>
          </w:p>
        </w:tc>
        <w:tc>
          <w:tcPr>
            <w:tcW w:w="2863" w:type="dxa"/>
          </w:tcPr>
          <w:p w14:paraId="3C5000B1" w14:textId="77777777" w:rsidR="00D92161" w:rsidRDefault="00CD69E5">
            <w:r>
              <w:t>3</w:t>
            </w:r>
          </w:p>
        </w:tc>
      </w:tr>
      <w:tr w:rsidR="00D92161" w14:paraId="6A7E439B" w14:textId="77777777">
        <w:trPr>
          <w:trHeight w:val="570"/>
        </w:trPr>
        <w:tc>
          <w:tcPr>
            <w:tcW w:w="3271" w:type="dxa"/>
            <w:vMerge/>
          </w:tcPr>
          <w:p w14:paraId="3A3C8497" w14:textId="77777777" w:rsidR="00D92161" w:rsidRDefault="00D92161">
            <w:pPr>
              <w:widowControl w:val="0"/>
              <w:pBdr>
                <w:top w:val="nil"/>
                <w:left w:val="nil"/>
                <w:bottom w:val="nil"/>
                <w:right w:val="nil"/>
                <w:between w:val="nil"/>
              </w:pBdr>
              <w:spacing w:line="276" w:lineRule="auto"/>
            </w:pPr>
          </w:p>
        </w:tc>
        <w:tc>
          <w:tcPr>
            <w:tcW w:w="2877" w:type="dxa"/>
          </w:tcPr>
          <w:p w14:paraId="3EB75AD7" w14:textId="77777777" w:rsidR="00D92161" w:rsidRDefault="00CD69E5">
            <w:pPr>
              <w:rPr>
                <w:i/>
              </w:rPr>
            </w:pPr>
            <w:r>
              <w:rPr>
                <w:i/>
              </w:rPr>
              <w:t>Spi1</w:t>
            </w:r>
          </w:p>
        </w:tc>
        <w:tc>
          <w:tcPr>
            <w:tcW w:w="2863" w:type="dxa"/>
          </w:tcPr>
          <w:p w14:paraId="1B24B69C" w14:textId="77777777" w:rsidR="00D92161" w:rsidRDefault="00CD69E5">
            <w:r>
              <w:rPr>
                <w:rFonts w:ascii="Arial" w:eastAsia="Arial" w:hAnsi="Arial" w:cs="Arial"/>
                <w:color w:val="222222"/>
                <w:sz w:val="20"/>
                <w:szCs w:val="20"/>
                <w:highlight w:val="white"/>
              </w:rPr>
              <w:t>1</w:t>
            </w:r>
          </w:p>
        </w:tc>
      </w:tr>
      <w:tr w:rsidR="00D92161" w14:paraId="47AC8EB2" w14:textId="77777777">
        <w:trPr>
          <w:trHeight w:val="620"/>
        </w:trPr>
        <w:tc>
          <w:tcPr>
            <w:tcW w:w="3271" w:type="dxa"/>
          </w:tcPr>
          <w:p w14:paraId="08F46F59" w14:textId="77777777" w:rsidR="00D92161" w:rsidRDefault="00CD69E5">
            <w:pPr>
              <w:jc w:val="center"/>
            </w:pPr>
            <w:r>
              <w:t>CCL2+ macrophages</w:t>
            </w:r>
          </w:p>
        </w:tc>
        <w:tc>
          <w:tcPr>
            <w:tcW w:w="2877" w:type="dxa"/>
          </w:tcPr>
          <w:p w14:paraId="24605B3C" w14:textId="77777777" w:rsidR="00D92161" w:rsidRDefault="00CD69E5">
            <w:pPr>
              <w:rPr>
                <w:i/>
              </w:rPr>
            </w:pPr>
            <w:r>
              <w:rPr>
                <w:i/>
              </w:rPr>
              <w:t>Ccl2</w:t>
            </w:r>
          </w:p>
        </w:tc>
        <w:tc>
          <w:tcPr>
            <w:tcW w:w="2863" w:type="dxa"/>
          </w:tcPr>
          <w:p w14:paraId="1F98E597" w14:textId="77777777" w:rsidR="00D92161" w:rsidRDefault="00CD69E5">
            <w:r>
              <w:rPr>
                <w:rFonts w:ascii="Arial" w:eastAsia="Arial" w:hAnsi="Arial" w:cs="Arial"/>
                <w:color w:val="222222"/>
                <w:sz w:val="20"/>
                <w:szCs w:val="20"/>
                <w:highlight w:val="white"/>
              </w:rPr>
              <w:t>2</w:t>
            </w:r>
          </w:p>
        </w:tc>
      </w:tr>
      <w:tr w:rsidR="00D92161" w14:paraId="53C47803" w14:textId="77777777">
        <w:trPr>
          <w:trHeight w:val="570"/>
        </w:trPr>
        <w:tc>
          <w:tcPr>
            <w:tcW w:w="3271" w:type="dxa"/>
            <w:vMerge w:val="restart"/>
          </w:tcPr>
          <w:p w14:paraId="41EB2F63" w14:textId="77777777" w:rsidR="00D92161" w:rsidRDefault="00CD69E5">
            <w:pPr>
              <w:jc w:val="center"/>
            </w:pPr>
            <w:r>
              <w:t xml:space="preserve">  </w:t>
            </w:r>
          </w:p>
          <w:p w14:paraId="7685B1F1" w14:textId="77777777" w:rsidR="00D92161" w:rsidRDefault="00D92161">
            <w:pPr>
              <w:jc w:val="center"/>
            </w:pPr>
          </w:p>
          <w:p w14:paraId="0208679C" w14:textId="77777777" w:rsidR="00D92161" w:rsidRDefault="00D92161">
            <w:pPr>
              <w:jc w:val="center"/>
            </w:pPr>
          </w:p>
          <w:p w14:paraId="177B854B" w14:textId="77777777" w:rsidR="00D92161" w:rsidRDefault="00D92161">
            <w:pPr>
              <w:jc w:val="center"/>
            </w:pPr>
          </w:p>
          <w:p w14:paraId="78B55BDF" w14:textId="77777777" w:rsidR="00D92161" w:rsidRDefault="00D92161">
            <w:pPr>
              <w:jc w:val="center"/>
            </w:pPr>
          </w:p>
          <w:p w14:paraId="609271BF" w14:textId="77777777" w:rsidR="00D92161" w:rsidRDefault="00D92161">
            <w:pPr>
              <w:jc w:val="center"/>
            </w:pPr>
          </w:p>
          <w:p w14:paraId="6D22906A" w14:textId="77777777" w:rsidR="00D92161" w:rsidRDefault="00D92161">
            <w:pPr>
              <w:jc w:val="center"/>
            </w:pPr>
          </w:p>
          <w:p w14:paraId="620B1F27" w14:textId="77777777" w:rsidR="00D92161" w:rsidRDefault="00CD69E5">
            <w:pPr>
              <w:jc w:val="center"/>
            </w:pPr>
            <w:r>
              <w:t>Monocytes/Monocytes-derived cells</w:t>
            </w:r>
          </w:p>
        </w:tc>
        <w:tc>
          <w:tcPr>
            <w:tcW w:w="2877" w:type="dxa"/>
          </w:tcPr>
          <w:p w14:paraId="5FB703B1" w14:textId="77777777" w:rsidR="00D92161" w:rsidRDefault="00CD69E5">
            <w:pPr>
              <w:rPr>
                <w:i/>
              </w:rPr>
            </w:pPr>
            <w:r>
              <w:rPr>
                <w:i/>
              </w:rPr>
              <w:t>Ccr2</w:t>
            </w:r>
          </w:p>
        </w:tc>
        <w:tc>
          <w:tcPr>
            <w:tcW w:w="2863" w:type="dxa"/>
          </w:tcPr>
          <w:p w14:paraId="0B15860E" w14:textId="77777777" w:rsidR="00D92161" w:rsidRDefault="00CD69E5">
            <w:r>
              <w:rPr>
                <w:rFonts w:ascii="Arial" w:eastAsia="Arial" w:hAnsi="Arial" w:cs="Arial"/>
                <w:color w:val="222222"/>
                <w:sz w:val="20"/>
                <w:szCs w:val="20"/>
                <w:highlight w:val="white"/>
              </w:rPr>
              <w:t>6, 7</w:t>
            </w:r>
          </w:p>
        </w:tc>
      </w:tr>
      <w:tr w:rsidR="00D92161" w14:paraId="49AFB3B7" w14:textId="77777777">
        <w:trPr>
          <w:trHeight w:val="570"/>
        </w:trPr>
        <w:tc>
          <w:tcPr>
            <w:tcW w:w="3271" w:type="dxa"/>
            <w:vMerge/>
          </w:tcPr>
          <w:p w14:paraId="333CFC62" w14:textId="77777777" w:rsidR="00D92161" w:rsidRDefault="00D92161">
            <w:pPr>
              <w:widowControl w:val="0"/>
              <w:pBdr>
                <w:top w:val="nil"/>
                <w:left w:val="nil"/>
                <w:bottom w:val="nil"/>
                <w:right w:val="nil"/>
                <w:between w:val="nil"/>
              </w:pBdr>
              <w:spacing w:line="276" w:lineRule="auto"/>
            </w:pPr>
          </w:p>
        </w:tc>
        <w:tc>
          <w:tcPr>
            <w:tcW w:w="2877" w:type="dxa"/>
          </w:tcPr>
          <w:p w14:paraId="45AB07A7" w14:textId="77777777" w:rsidR="00D92161" w:rsidRDefault="00CD69E5">
            <w:pPr>
              <w:rPr>
                <w:i/>
              </w:rPr>
            </w:pPr>
            <w:r>
              <w:rPr>
                <w:i/>
              </w:rPr>
              <w:t>H2-d1</w:t>
            </w:r>
          </w:p>
        </w:tc>
        <w:tc>
          <w:tcPr>
            <w:tcW w:w="2863" w:type="dxa"/>
          </w:tcPr>
          <w:p w14:paraId="4D517985" w14:textId="77777777" w:rsidR="00D92161" w:rsidRDefault="00CD69E5">
            <w:r>
              <w:rPr>
                <w:rFonts w:ascii="Arial" w:eastAsia="Arial" w:hAnsi="Arial" w:cs="Arial"/>
                <w:color w:val="222222"/>
                <w:sz w:val="20"/>
                <w:szCs w:val="20"/>
                <w:highlight w:val="white"/>
              </w:rPr>
              <w:t>8</w:t>
            </w:r>
          </w:p>
        </w:tc>
      </w:tr>
      <w:tr w:rsidR="00D92161" w14:paraId="33C1B3BB" w14:textId="77777777">
        <w:trPr>
          <w:trHeight w:val="570"/>
        </w:trPr>
        <w:tc>
          <w:tcPr>
            <w:tcW w:w="3271" w:type="dxa"/>
            <w:vMerge/>
          </w:tcPr>
          <w:p w14:paraId="748E497F" w14:textId="77777777" w:rsidR="00D92161" w:rsidRDefault="00D92161">
            <w:pPr>
              <w:widowControl w:val="0"/>
              <w:pBdr>
                <w:top w:val="nil"/>
                <w:left w:val="nil"/>
                <w:bottom w:val="nil"/>
                <w:right w:val="nil"/>
                <w:between w:val="nil"/>
              </w:pBdr>
              <w:spacing w:line="276" w:lineRule="auto"/>
            </w:pPr>
          </w:p>
        </w:tc>
        <w:tc>
          <w:tcPr>
            <w:tcW w:w="2877" w:type="dxa"/>
          </w:tcPr>
          <w:p w14:paraId="11A67B0F" w14:textId="77777777" w:rsidR="00D92161" w:rsidRDefault="00CD69E5">
            <w:pPr>
              <w:rPr>
                <w:i/>
              </w:rPr>
            </w:pPr>
            <w:r>
              <w:rPr>
                <w:i/>
              </w:rPr>
              <w:t>Ly6c2</w:t>
            </w:r>
          </w:p>
        </w:tc>
        <w:tc>
          <w:tcPr>
            <w:tcW w:w="2863" w:type="dxa"/>
          </w:tcPr>
          <w:p w14:paraId="3ACBB3E9" w14:textId="77777777" w:rsidR="00D92161" w:rsidRDefault="00CD69E5">
            <w:r>
              <w:rPr>
                <w:rFonts w:ascii="Arial" w:eastAsia="Arial" w:hAnsi="Arial" w:cs="Arial"/>
                <w:color w:val="222222"/>
                <w:sz w:val="20"/>
                <w:szCs w:val="20"/>
                <w:highlight w:val="white"/>
              </w:rPr>
              <w:t>6, 9</w:t>
            </w:r>
          </w:p>
        </w:tc>
      </w:tr>
      <w:tr w:rsidR="00D92161" w14:paraId="72BFA2F5" w14:textId="77777777">
        <w:trPr>
          <w:trHeight w:val="570"/>
        </w:trPr>
        <w:tc>
          <w:tcPr>
            <w:tcW w:w="3271" w:type="dxa"/>
            <w:vMerge/>
          </w:tcPr>
          <w:p w14:paraId="2918EEB7" w14:textId="77777777" w:rsidR="00D92161" w:rsidRDefault="00D92161">
            <w:pPr>
              <w:widowControl w:val="0"/>
              <w:pBdr>
                <w:top w:val="nil"/>
                <w:left w:val="nil"/>
                <w:bottom w:val="nil"/>
                <w:right w:val="nil"/>
                <w:between w:val="nil"/>
              </w:pBdr>
              <w:spacing w:line="276" w:lineRule="auto"/>
            </w:pPr>
          </w:p>
        </w:tc>
        <w:tc>
          <w:tcPr>
            <w:tcW w:w="2877" w:type="dxa"/>
          </w:tcPr>
          <w:p w14:paraId="3C8ABDE5" w14:textId="77777777" w:rsidR="00D92161" w:rsidRDefault="00CD69E5">
            <w:pPr>
              <w:rPr>
                <w:i/>
              </w:rPr>
            </w:pPr>
            <w:r>
              <w:rPr>
                <w:i/>
              </w:rPr>
              <w:t>S100a8</w:t>
            </w:r>
          </w:p>
        </w:tc>
        <w:tc>
          <w:tcPr>
            <w:tcW w:w="2863" w:type="dxa"/>
          </w:tcPr>
          <w:p w14:paraId="31A3C4BF" w14:textId="77777777" w:rsidR="00D92161" w:rsidRDefault="00CD69E5">
            <w:r>
              <w:rPr>
                <w:rFonts w:ascii="Arial" w:eastAsia="Arial" w:hAnsi="Arial" w:cs="Arial"/>
                <w:color w:val="222222"/>
                <w:sz w:val="20"/>
                <w:szCs w:val="20"/>
                <w:highlight w:val="white"/>
              </w:rPr>
              <w:t>10</w:t>
            </w:r>
          </w:p>
        </w:tc>
      </w:tr>
      <w:tr w:rsidR="00D92161" w14:paraId="03F63964" w14:textId="77777777">
        <w:trPr>
          <w:trHeight w:val="570"/>
        </w:trPr>
        <w:tc>
          <w:tcPr>
            <w:tcW w:w="3271" w:type="dxa"/>
            <w:vMerge/>
          </w:tcPr>
          <w:p w14:paraId="3CDB8D76" w14:textId="77777777" w:rsidR="00D92161" w:rsidRDefault="00D92161">
            <w:pPr>
              <w:widowControl w:val="0"/>
              <w:pBdr>
                <w:top w:val="nil"/>
                <w:left w:val="nil"/>
                <w:bottom w:val="nil"/>
                <w:right w:val="nil"/>
                <w:between w:val="nil"/>
              </w:pBdr>
              <w:spacing w:line="276" w:lineRule="auto"/>
            </w:pPr>
          </w:p>
        </w:tc>
        <w:tc>
          <w:tcPr>
            <w:tcW w:w="2877" w:type="dxa"/>
          </w:tcPr>
          <w:p w14:paraId="4DCEB677" w14:textId="77777777" w:rsidR="00D92161" w:rsidRDefault="00CD69E5">
            <w:pPr>
              <w:rPr>
                <w:i/>
              </w:rPr>
            </w:pPr>
            <w:r>
              <w:rPr>
                <w:i/>
              </w:rPr>
              <w:t>S100a9</w:t>
            </w:r>
          </w:p>
        </w:tc>
        <w:tc>
          <w:tcPr>
            <w:tcW w:w="2863" w:type="dxa"/>
          </w:tcPr>
          <w:p w14:paraId="0E3AE1D4" w14:textId="77777777" w:rsidR="00D92161" w:rsidRDefault="00CD69E5">
            <w:r>
              <w:rPr>
                <w:rFonts w:ascii="Arial" w:eastAsia="Arial" w:hAnsi="Arial" w:cs="Arial"/>
                <w:color w:val="222222"/>
                <w:sz w:val="20"/>
                <w:szCs w:val="20"/>
                <w:highlight w:val="white"/>
              </w:rPr>
              <w:t>10</w:t>
            </w:r>
          </w:p>
        </w:tc>
      </w:tr>
      <w:tr w:rsidR="00D92161" w14:paraId="03476BC2" w14:textId="77777777">
        <w:trPr>
          <w:trHeight w:val="570"/>
        </w:trPr>
        <w:tc>
          <w:tcPr>
            <w:tcW w:w="3271" w:type="dxa"/>
            <w:vMerge/>
          </w:tcPr>
          <w:p w14:paraId="18046DB9" w14:textId="77777777" w:rsidR="00D92161" w:rsidRDefault="00D92161">
            <w:pPr>
              <w:widowControl w:val="0"/>
              <w:pBdr>
                <w:top w:val="nil"/>
                <w:left w:val="nil"/>
                <w:bottom w:val="nil"/>
                <w:right w:val="nil"/>
                <w:between w:val="nil"/>
              </w:pBdr>
              <w:spacing w:line="276" w:lineRule="auto"/>
            </w:pPr>
          </w:p>
        </w:tc>
        <w:tc>
          <w:tcPr>
            <w:tcW w:w="2877" w:type="dxa"/>
          </w:tcPr>
          <w:p w14:paraId="7CF2151D" w14:textId="77777777" w:rsidR="00D92161" w:rsidRDefault="00CD69E5">
            <w:pPr>
              <w:rPr>
                <w:i/>
              </w:rPr>
            </w:pPr>
            <w:r>
              <w:rPr>
                <w:i/>
              </w:rPr>
              <w:t>Cytip</w:t>
            </w:r>
          </w:p>
        </w:tc>
        <w:tc>
          <w:tcPr>
            <w:tcW w:w="2863" w:type="dxa"/>
          </w:tcPr>
          <w:p w14:paraId="6E21019A" w14:textId="77777777" w:rsidR="00D92161" w:rsidRDefault="00CD69E5">
            <w:r>
              <w:rPr>
                <w:rFonts w:ascii="Arial" w:eastAsia="Arial" w:hAnsi="Arial" w:cs="Arial"/>
                <w:color w:val="222222"/>
                <w:sz w:val="20"/>
                <w:szCs w:val="20"/>
                <w:highlight w:val="white"/>
              </w:rPr>
              <w:t>11, 12</w:t>
            </w:r>
          </w:p>
        </w:tc>
      </w:tr>
      <w:tr w:rsidR="00D92161" w14:paraId="7D702EA6" w14:textId="77777777">
        <w:trPr>
          <w:trHeight w:val="570"/>
        </w:trPr>
        <w:tc>
          <w:tcPr>
            <w:tcW w:w="3271" w:type="dxa"/>
            <w:vMerge w:val="restart"/>
          </w:tcPr>
          <w:p w14:paraId="65FD99DC" w14:textId="77777777" w:rsidR="00D92161" w:rsidRDefault="00CD69E5">
            <w:pPr>
              <w:jc w:val="center"/>
            </w:pPr>
            <w:r>
              <w:t>ILC2</w:t>
            </w:r>
          </w:p>
        </w:tc>
        <w:tc>
          <w:tcPr>
            <w:tcW w:w="2877" w:type="dxa"/>
          </w:tcPr>
          <w:p w14:paraId="4D048974" w14:textId="77777777" w:rsidR="00D92161" w:rsidRDefault="00CD69E5">
            <w:pPr>
              <w:rPr>
                <w:i/>
              </w:rPr>
            </w:pPr>
            <w:r>
              <w:rPr>
                <w:i/>
              </w:rPr>
              <w:t>Il7r</w:t>
            </w:r>
          </w:p>
        </w:tc>
        <w:tc>
          <w:tcPr>
            <w:tcW w:w="2863" w:type="dxa"/>
          </w:tcPr>
          <w:p w14:paraId="421A13A3" w14:textId="77777777" w:rsidR="00D92161" w:rsidRDefault="00CD69E5">
            <w:pPr>
              <w:rPr>
                <w:rFonts w:ascii="Arial" w:eastAsia="Arial" w:hAnsi="Arial" w:cs="Arial"/>
                <w:color w:val="222222"/>
                <w:sz w:val="20"/>
                <w:szCs w:val="20"/>
                <w:highlight w:val="white"/>
              </w:rPr>
            </w:pPr>
            <w:r>
              <w:t>13</w:t>
            </w:r>
          </w:p>
        </w:tc>
      </w:tr>
      <w:tr w:rsidR="00D92161" w14:paraId="55C518DC" w14:textId="77777777">
        <w:trPr>
          <w:trHeight w:val="570"/>
        </w:trPr>
        <w:tc>
          <w:tcPr>
            <w:tcW w:w="3271" w:type="dxa"/>
            <w:vMerge/>
          </w:tcPr>
          <w:p w14:paraId="53BA9FB9"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398E5B24" w14:textId="77777777" w:rsidR="00D92161" w:rsidRDefault="00CD69E5">
            <w:pPr>
              <w:rPr>
                <w:i/>
              </w:rPr>
            </w:pPr>
            <w:r>
              <w:rPr>
                <w:i/>
              </w:rPr>
              <w:t>Gata3</w:t>
            </w:r>
          </w:p>
        </w:tc>
        <w:tc>
          <w:tcPr>
            <w:tcW w:w="2863" w:type="dxa"/>
          </w:tcPr>
          <w:p w14:paraId="254B533D" w14:textId="77777777" w:rsidR="00D92161" w:rsidRDefault="00CD69E5">
            <w:pPr>
              <w:rPr>
                <w:rFonts w:ascii="Arial" w:eastAsia="Arial" w:hAnsi="Arial" w:cs="Arial"/>
                <w:color w:val="222222"/>
                <w:sz w:val="20"/>
                <w:szCs w:val="20"/>
                <w:highlight w:val="white"/>
              </w:rPr>
            </w:pPr>
            <w:r>
              <w:t>13</w:t>
            </w:r>
          </w:p>
        </w:tc>
      </w:tr>
      <w:tr w:rsidR="00D92161" w14:paraId="666239EB" w14:textId="77777777">
        <w:trPr>
          <w:trHeight w:val="570"/>
        </w:trPr>
        <w:tc>
          <w:tcPr>
            <w:tcW w:w="3271" w:type="dxa"/>
            <w:vMerge/>
          </w:tcPr>
          <w:p w14:paraId="055797A0"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0C609797" w14:textId="77777777" w:rsidR="00D92161" w:rsidRDefault="00CD69E5">
            <w:pPr>
              <w:rPr>
                <w:i/>
              </w:rPr>
            </w:pPr>
            <w:r>
              <w:rPr>
                <w:i/>
              </w:rPr>
              <w:t>Il1rl1</w:t>
            </w:r>
          </w:p>
        </w:tc>
        <w:tc>
          <w:tcPr>
            <w:tcW w:w="2863" w:type="dxa"/>
          </w:tcPr>
          <w:p w14:paraId="70A433C0" w14:textId="77777777" w:rsidR="00D92161" w:rsidRDefault="00CD69E5">
            <w:pPr>
              <w:rPr>
                <w:rFonts w:ascii="Arial" w:eastAsia="Arial" w:hAnsi="Arial" w:cs="Arial"/>
                <w:color w:val="222222"/>
                <w:sz w:val="20"/>
                <w:szCs w:val="20"/>
                <w:highlight w:val="white"/>
              </w:rPr>
            </w:pPr>
            <w:r>
              <w:t>13</w:t>
            </w:r>
          </w:p>
        </w:tc>
      </w:tr>
      <w:tr w:rsidR="00D92161" w14:paraId="2BC1EE61" w14:textId="77777777">
        <w:trPr>
          <w:trHeight w:val="570"/>
        </w:trPr>
        <w:tc>
          <w:tcPr>
            <w:tcW w:w="3271" w:type="dxa"/>
          </w:tcPr>
          <w:p w14:paraId="6154DF3C" w14:textId="77777777" w:rsidR="00D92161" w:rsidRDefault="00CD69E5">
            <w:pPr>
              <w:jc w:val="center"/>
            </w:pPr>
            <w:r>
              <w:t>ILC3</w:t>
            </w:r>
          </w:p>
        </w:tc>
        <w:tc>
          <w:tcPr>
            <w:tcW w:w="2877" w:type="dxa"/>
          </w:tcPr>
          <w:p w14:paraId="1004EC19" w14:textId="77777777" w:rsidR="00D92161" w:rsidRDefault="00CD69E5">
            <w:pPr>
              <w:rPr>
                <w:i/>
              </w:rPr>
            </w:pPr>
            <w:r>
              <w:rPr>
                <w:i/>
              </w:rPr>
              <w:t>Rorc/Rorgt</w:t>
            </w:r>
          </w:p>
        </w:tc>
        <w:tc>
          <w:tcPr>
            <w:tcW w:w="2863" w:type="dxa"/>
          </w:tcPr>
          <w:p w14:paraId="27E232C1" w14:textId="77777777" w:rsidR="00D92161" w:rsidRDefault="00CD69E5" w:rsidP="007A6E40">
            <w:r>
              <w:t>13</w:t>
            </w:r>
          </w:p>
        </w:tc>
      </w:tr>
      <w:tr w:rsidR="00D92161" w14:paraId="6792CCDC" w14:textId="77777777">
        <w:trPr>
          <w:trHeight w:val="570"/>
        </w:trPr>
        <w:tc>
          <w:tcPr>
            <w:tcW w:w="3271" w:type="dxa"/>
            <w:vMerge w:val="restart"/>
          </w:tcPr>
          <w:p w14:paraId="49E2D807" w14:textId="77777777" w:rsidR="00D92161" w:rsidRDefault="00D92161"/>
          <w:p w14:paraId="1E8667C0" w14:textId="77777777" w:rsidR="00D92161" w:rsidRDefault="00CD69E5">
            <w:r>
              <w:t xml:space="preserve">                         T cells</w:t>
            </w:r>
          </w:p>
        </w:tc>
        <w:tc>
          <w:tcPr>
            <w:tcW w:w="2877" w:type="dxa"/>
          </w:tcPr>
          <w:p w14:paraId="2546F71C" w14:textId="77777777" w:rsidR="00D92161" w:rsidRDefault="00CD69E5">
            <w:pPr>
              <w:rPr>
                <w:i/>
              </w:rPr>
            </w:pPr>
            <w:r>
              <w:rPr>
                <w:i/>
              </w:rPr>
              <w:t>Cd3e</w:t>
            </w:r>
          </w:p>
        </w:tc>
        <w:tc>
          <w:tcPr>
            <w:tcW w:w="2863" w:type="dxa"/>
          </w:tcPr>
          <w:p w14:paraId="2E82B627"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w:t>
            </w:r>
          </w:p>
        </w:tc>
      </w:tr>
      <w:tr w:rsidR="00D92161" w14:paraId="5BBD98D5" w14:textId="77777777">
        <w:trPr>
          <w:trHeight w:val="570"/>
        </w:trPr>
        <w:tc>
          <w:tcPr>
            <w:tcW w:w="3271" w:type="dxa"/>
            <w:vMerge/>
          </w:tcPr>
          <w:p w14:paraId="05C9F3D5"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2F9BF90A" w14:textId="77777777" w:rsidR="00D92161" w:rsidRDefault="00CD69E5">
            <w:pPr>
              <w:rPr>
                <w:i/>
              </w:rPr>
            </w:pPr>
            <w:r>
              <w:rPr>
                <w:i/>
              </w:rPr>
              <w:t>Cd4</w:t>
            </w:r>
          </w:p>
        </w:tc>
        <w:tc>
          <w:tcPr>
            <w:tcW w:w="2863" w:type="dxa"/>
          </w:tcPr>
          <w:p w14:paraId="0DADB320"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w:t>
            </w:r>
          </w:p>
        </w:tc>
      </w:tr>
      <w:tr w:rsidR="00D92161" w14:paraId="1B4F3B47" w14:textId="77777777">
        <w:trPr>
          <w:trHeight w:val="570"/>
        </w:trPr>
        <w:tc>
          <w:tcPr>
            <w:tcW w:w="3271" w:type="dxa"/>
            <w:vMerge w:val="restart"/>
          </w:tcPr>
          <w:p w14:paraId="139D04CA" w14:textId="77777777" w:rsidR="00D92161" w:rsidRDefault="00D92161">
            <w:pPr>
              <w:jc w:val="center"/>
            </w:pPr>
          </w:p>
          <w:p w14:paraId="09CD71F5" w14:textId="77777777" w:rsidR="00D92161" w:rsidRDefault="00D92161">
            <w:pPr>
              <w:jc w:val="center"/>
            </w:pPr>
          </w:p>
          <w:p w14:paraId="29997CCD" w14:textId="77777777" w:rsidR="00D92161" w:rsidRDefault="00D92161">
            <w:pPr>
              <w:jc w:val="center"/>
            </w:pPr>
          </w:p>
          <w:p w14:paraId="0055922D" w14:textId="77777777" w:rsidR="00D92161" w:rsidRDefault="00D92161">
            <w:pPr>
              <w:jc w:val="center"/>
            </w:pPr>
          </w:p>
          <w:p w14:paraId="6DD589AF" w14:textId="77777777" w:rsidR="00D92161" w:rsidRDefault="00CD69E5">
            <w:pPr>
              <w:jc w:val="center"/>
            </w:pPr>
            <w:r>
              <w:t>Microglia</w:t>
            </w:r>
          </w:p>
        </w:tc>
        <w:tc>
          <w:tcPr>
            <w:tcW w:w="2877" w:type="dxa"/>
          </w:tcPr>
          <w:p w14:paraId="340FE767" w14:textId="77777777" w:rsidR="00D92161" w:rsidRDefault="00CD69E5">
            <w:pPr>
              <w:rPr>
                <w:i/>
              </w:rPr>
            </w:pPr>
            <w:r>
              <w:rPr>
                <w:i/>
              </w:rPr>
              <w:t>Ccr5</w:t>
            </w:r>
          </w:p>
        </w:tc>
        <w:tc>
          <w:tcPr>
            <w:tcW w:w="2863" w:type="dxa"/>
          </w:tcPr>
          <w:p w14:paraId="612D20C6" w14:textId="77777777" w:rsidR="00D92161" w:rsidRDefault="00CD69E5">
            <w:r>
              <w:rPr>
                <w:rFonts w:ascii="Arial" w:eastAsia="Arial" w:hAnsi="Arial" w:cs="Arial"/>
                <w:color w:val="222222"/>
                <w:sz w:val="20"/>
                <w:szCs w:val="20"/>
                <w:highlight w:val="white"/>
              </w:rPr>
              <w:t>14</w:t>
            </w:r>
          </w:p>
        </w:tc>
      </w:tr>
      <w:tr w:rsidR="00D92161" w14:paraId="4595DA6E" w14:textId="77777777">
        <w:trPr>
          <w:trHeight w:val="570"/>
        </w:trPr>
        <w:tc>
          <w:tcPr>
            <w:tcW w:w="3271" w:type="dxa"/>
            <w:vMerge/>
          </w:tcPr>
          <w:p w14:paraId="49A1C31F" w14:textId="77777777" w:rsidR="00D92161" w:rsidRDefault="00D92161">
            <w:pPr>
              <w:widowControl w:val="0"/>
              <w:pBdr>
                <w:top w:val="nil"/>
                <w:left w:val="nil"/>
                <w:bottom w:val="nil"/>
                <w:right w:val="nil"/>
                <w:between w:val="nil"/>
              </w:pBdr>
              <w:spacing w:line="276" w:lineRule="auto"/>
            </w:pPr>
          </w:p>
        </w:tc>
        <w:tc>
          <w:tcPr>
            <w:tcW w:w="2877" w:type="dxa"/>
          </w:tcPr>
          <w:p w14:paraId="5DC75C2B" w14:textId="77777777" w:rsidR="00D92161" w:rsidRDefault="00CD69E5">
            <w:pPr>
              <w:rPr>
                <w:i/>
              </w:rPr>
            </w:pPr>
            <w:r>
              <w:rPr>
                <w:i/>
              </w:rPr>
              <w:t>Siglech</w:t>
            </w:r>
          </w:p>
        </w:tc>
        <w:tc>
          <w:tcPr>
            <w:tcW w:w="2863" w:type="dxa"/>
          </w:tcPr>
          <w:p w14:paraId="4427CAA4" w14:textId="77777777" w:rsidR="00D92161" w:rsidRDefault="00CD69E5">
            <w:r>
              <w:rPr>
                <w:rFonts w:ascii="Arial" w:eastAsia="Arial" w:hAnsi="Arial" w:cs="Arial"/>
                <w:color w:val="222222"/>
                <w:sz w:val="20"/>
                <w:szCs w:val="20"/>
                <w:highlight w:val="white"/>
              </w:rPr>
              <w:t>15</w:t>
            </w:r>
          </w:p>
        </w:tc>
      </w:tr>
      <w:tr w:rsidR="00D92161" w14:paraId="2F525D4C" w14:textId="77777777">
        <w:trPr>
          <w:trHeight w:val="570"/>
        </w:trPr>
        <w:tc>
          <w:tcPr>
            <w:tcW w:w="3271" w:type="dxa"/>
            <w:vMerge/>
          </w:tcPr>
          <w:p w14:paraId="20E99A89" w14:textId="77777777" w:rsidR="00D92161" w:rsidRDefault="00D92161">
            <w:pPr>
              <w:widowControl w:val="0"/>
              <w:pBdr>
                <w:top w:val="nil"/>
                <w:left w:val="nil"/>
                <w:bottom w:val="nil"/>
                <w:right w:val="nil"/>
                <w:between w:val="nil"/>
              </w:pBdr>
              <w:spacing w:line="276" w:lineRule="auto"/>
            </w:pPr>
          </w:p>
        </w:tc>
        <w:tc>
          <w:tcPr>
            <w:tcW w:w="2877" w:type="dxa"/>
          </w:tcPr>
          <w:p w14:paraId="3CDA34D0" w14:textId="77777777" w:rsidR="00D92161" w:rsidRDefault="00CD69E5">
            <w:pPr>
              <w:rPr>
                <w:i/>
              </w:rPr>
            </w:pPr>
            <w:r>
              <w:rPr>
                <w:i/>
              </w:rPr>
              <w:t>Hexb</w:t>
            </w:r>
          </w:p>
        </w:tc>
        <w:tc>
          <w:tcPr>
            <w:tcW w:w="2863" w:type="dxa"/>
          </w:tcPr>
          <w:p w14:paraId="1A28EE80" w14:textId="77777777" w:rsidR="00D92161" w:rsidRDefault="00CD69E5">
            <w:r>
              <w:rPr>
                <w:rFonts w:ascii="Arial" w:eastAsia="Arial" w:hAnsi="Arial" w:cs="Arial"/>
                <w:color w:val="222222"/>
                <w:sz w:val="20"/>
                <w:szCs w:val="20"/>
                <w:highlight w:val="white"/>
              </w:rPr>
              <w:t>16</w:t>
            </w:r>
          </w:p>
        </w:tc>
      </w:tr>
      <w:tr w:rsidR="00D92161" w14:paraId="26CF7300" w14:textId="77777777">
        <w:trPr>
          <w:trHeight w:val="570"/>
        </w:trPr>
        <w:tc>
          <w:tcPr>
            <w:tcW w:w="3271" w:type="dxa"/>
            <w:vMerge/>
          </w:tcPr>
          <w:p w14:paraId="05D1FA50" w14:textId="77777777" w:rsidR="00D92161" w:rsidRDefault="00D92161">
            <w:pPr>
              <w:widowControl w:val="0"/>
              <w:pBdr>
                <w:top w:val="nil"/>
                <w:left w:val="nil"/>
                <w:bottom w:val="nil"/>
                <w:right w:val="nil"/>
                <w:between w:val="nil"/>
              </w:pBdr>
              <w:spacing w:line="276" w:lineRule="auto"/>
            </w:pPr>
          </w:p>
        </w:tc>
        <w:tc>
          <w:tcPr>
            <w:tcW w:w="2877" w:type="dxa"/>
          </w:tcPr>
          <w:p w14:paraId="637C9066" w14:textId="77777777" w:rsidR="00D92161" w:rsidRDefault="00CD69E5">
            <w:pPr>
              <w:rPr>
                <w:i/>
              </w:rPr>
            </w:pPr>
            <w:r>
              <w:rPr>
                <w:i/>
              </w:rPr>
              <w:t>P2ry12</w:t>
            </w:r>
          </w:p>
        </w:tc>
        <w:tc>
          <w:tcPr>
            <w:tcW w:w="2863" w:type="dxa"/>
          </w:tcPr>
          <w:p w14:paraId="3CBC81E1" w14:textId="77777777" w:rsidR="00D92161" w:rsidRDefault="00CD69E5">
            <w:r>
              <w:rPr>
                <w:rFonts w:ascii="Arial" w:eastAsia="Arial" w:hAnsi="Arial" w:cs="Arial"/>
                <w:color w:val="222222"/>
                <w:sz w:val="20"/>
                <w:szCs w:val="20"/>
                <w:highlight w:val="white"/>
              </w:rPr>
              <w:t>17</w:t>
            </w:r>
          </w:p>
        </w:tc>
      </w:tr>
      <w:tr w:rsidR="00D92161" w14:paraId="333D99CB" w14:textId="77777777">
        <w:trPr>
          <w:trHeight w:val="570"/>
        </w:trPr>
        <w:tc>
          <w:tcPr>
            <w:tcW w:w="3271" w:type="dxa"/>
            <w:vMerge w:val="restart"/>
          </w:tcPr>
          <w:p w14:paraId="7F7B8DCE" w14:textId="77777777" w:rsidR="00D92161" w:rsidRDefault="00D92161">
            <w:pPr>
              <w:jc w:val="center"/>
            </w:pPr>
          </w:p>
          <w:p w14:paraId="41FC0AA0" w14:textId="77777777" w:rsidR="00D92161" w:rsidRDefault="00D92161">
            <w:pPr>
              <w:jc w:val="center"/>
            </w:pPr>
          </w:p>
          <w:p w14:paraId="7D308073" w14:textId="77777777" w:rsidR="00D92161" w:rsidRDefault="00D92161">
            <w:pPr>
              <w:jc w:val="center"/>
            </w:pPr>
          </w:p>
          <w:p w14:paraId="48BCC44C" w14:textId="77777777" w:rsidR="00D92161" w:rsidRDefault="00CD69E5">
            <w:pPr>
              <w:jc w:val="center"/>
            </w:pPr>
            <w:r>
              <w:t>Osteoclasts</w:t>
            </w:r>
          </w:p>
        </w:tc>
        <w:tc>
          <w:tcPr>
            <w:tcW w:w="2877" w:type="dxa"/>
          </w:tcPr>
          <w:p w14:paraId="0CC36FA7" w14:textId="77777777" w:rsidR="00D92161" w:rsidRDefault="00CD69E5">
            <w:pPr>
              <w:rPr>
                <w:i/>
              </w:rPr>
            </w:pPr>
            <w:r>
              <w:rPr>
                <w:i/>
              </w:rPr>
              <w:t>Ctsk</w:t>
            </w:r>
          </w:p>
        </w:tc>
        <w:tc>
          <w:tcPr>
            <w:tcW w:w="2863" w:type="dxa"/>
          </w:tcPr>
          <w:p w14:paraId="409F1D8E"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18</w:t>
            </w:r>
          </w:p>
        </w:tc>
      </w:tr>
      <w:tr w:rsidR="00D92161" w14:paraId="41E388C5" w14:textId="77777777">
        <w:trPr>
          <w:trHeight w:val="570"/>
        </w:trPr>
        <w:tc>
          <w:tcPr>
            <w:tcW w:w="3271" w:type="dxa"/>
            <w:vMerge/>
          </w:tcPr>
          <w:p w14:paraId="5D41C5FA"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3F5501BB" w14:textId="77777777" w:rsidR="00D92161" w:rsidRDefault="00CD69E5">
            <w:pPr>
              <w:rPr>
                <w:i/>
              </w:rPr>
            </w:pPr>
            <w:r>
              <w:rPr>
                <w:i/>
              </w:rPr>
              <w:t>Atp6v0d2</w:t>
            </w:r>
          </w:p>
        </w:tc>
        <w:tc>
          <w:tcPr>
            <w:tcW w:w="2863" w:type="dxa"/>
          </w:tcPr>
          <w:p w14:paraId="3B302AB7"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19, 20</w:t>
            </w:r>
          </w:p>
        </w:tc>
      </w:tr>
      <w:tr w:rsidR="00D92161" w14:paraId="01F4A403" w14:textId="77777777">
        <w:trPr>
          <w:trHeight w:val="570"/>
        </w:trPr>
        <w:tc>
          <w:tcPr>
            <w:tcW w:w="3271" w:type="dxa"/>
            <w:vMerge/>
          </w:tcPr>
          <w:p w14:paraId="5102C2AF"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71F39A99" w14:textId="77777777" w:rsidR="00D92161" w:rsidRDefault="00CD69E5">
            <w:pPr>
              <w:rPr>
                <w:i/>
              </w:rPr>
            </w:pPr>
            <w:r>
              <w:rPr>
                <w:i/>
              </w:rPr>
              <w:t xml:space="preserve">Igtb3 </w:t>
            </w:r>
          </w:p>
        </w:tc>
        <w:tc>
          <w:tcPr>
            <w:tcW w:w="2863" w:type="dxa"/>
          </w:tcPr>
          <w:p w14:paraId="297ED66C"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21</w:t>
            </w:r>
          </w:p>
        </w:tc>
      </w:tr>
      <w:tr w:rsidR="00D92161" w14:paraId="5B2D853B" w14:textId="77777777">
        <w:trPr>
          <w:trHeight w:val="570"/>
        </w:trPr>
        <w:tc>
          <w:tcPr>
            <w:tcW w:w="3271" w:type="dxa"/>
            <w:vMerge w:val="restart"/>
          </w:tcPr>
          <w:p w14:paraId="2144B21A" w14:textId="77777777" w:rsidR="00D92161" w:rsidRDefault="00D92161">
            <w:pPr>
              <w:jc w:val="center"/>
              <w:rPr>
                <w:b/>
              </w:rPr>
            </w:pPr>
          </w:p>
          <w:p w14:paraId="63714CF6" w14:textId="77777777" w:rsidR="00D92161" w:rsidRDefault="00D92161">
            <w:pPr>
              <w:jc w:val="center"/>
              <w:rPr>
                <w:b/>
              </w:rPr>
            </w:pPr>
          </w:p>
          <w:p w14:paraId="0CA26F15" w14:textId="77777777" w:rsidR="00D92161" w:rsidRDefault="00D92161">
            <w:pPr>
              <w:jc w:val="center"/>
              <w:rPr>
                <w:b/>
              </w:rPr>
            </w:pPr>
          </w:p>
          <w:p w14:paraId="4E8C39D1" w14:textId="77777777" w:rsidR="00D92161" w:rsidRDefault="00CD69E5">
            <w:pPr>
              <w:jc w:val="center"/>
              <w:rPr>
                <w:b/>
              </w:rPr>
            </w:pPr>
            <w:r>
              <w:rPr>
                <w:b/>
              </w:rPr>
              <w:t>Endothelial cells</w:t>
            </w:r>
          </w:p>
        </w:tc>
        <w:tc>
          <w:tcPr>
            <w:tcW w:w="2877" w:type="dxa"/>
          </w:tcPr>
          <w:p w14:paraId="7492E1D0" w14:textId="77777777" w:rsidR="00D92161" w:rsidRDefault="00CD69E5">
            <w:pPr>
              <w:rPr>
                <w:i/>
              </w:rPr>
            </w:pPr>
            <w:r>
              <w:rPr>
                <w:i/>
              </w:rPr>
              <w:t>Pecam1</w:t>
            </w:r>
          </w:p>
        </w:tc>
        <w:tc>
          <w:tcPr>
            <w:tcW w:w="2863" w:type="dxa"/>
          </w:tcPr>
          <w:p w14:paraId="41EDCF1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22, 23</w:t>
            </w:r>
          </w:p>
        </w:tc>
      </w:tr>
      <w:tr w:rsidR="00D92161" w14:paraId="15C39D6C" w14:textId="77777777">
        <w:trPr>
          <w:trHeight w:val="570"/>
        </w:trPr>
        <w:tc>
          <w:tcPr>
            <w:tcW w:w="3271" w:type="dxa"/>
            <w:vMerge/>
          </w:tcPr>
          <w:p w14:paraId="7C5D2243"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1BF871E2" w14:textId="77777777" w:rsidR="00D92161" w:rsidRDefault="00CD69E5">
            <w:pPr>
              <w:rPr>
                <w:i/>
              </w:rPr>
            </w:pPr>
            <w:r>
              <w:rPr>
                <w:i/>
              </w:rPr>
              <w:t>Erg</w:t>
            </w:r>
          </w:p>
        </w:tc>
        <w:tc>
          <w:tcPr>
            <w:tcW w:w="2863" w:type="dxa"/>
          </w:tcPr>
          <w:p w14:paraId="2535A33A"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24</w:t>
            </w:r>
          </w:p>
        </w:tc>
      </w:tr>
      <w:tr w:rsidR="00D92161" w14:paraId="15D0A839" w14:textId="77777777">
        <w:trPr>
          <w:trHeight w:val="570"/>
        </w:trPr>
        <w:tc>
          <w:tcPr>
            <w:tcW w:w="3271" w:type="dxa"/>
            <w:vMerge/>
          </w:tcPr>
          <w:p w14:paraId="0C7AF84D"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6494610F" w14:textId="77777777" w:rsidR="00D92161" w:rsidRDefault="00CD69E5">
            <w:pPr>
              <w:rPr>
                <w:i/>
              </w:rPr>
            </w:pPr>
            <w:r>
              <w:rPr>
                <w:i/>
              </w:rPr>
              <w:t>Tek</w:t>
            </w:r>
          </w:p>
        </w:tc>
        <w:tc>
          <w:tcPr>
            <w:tcW w:w="2863" w:type="dxa"/>
          </w:tcPr>
          <w:p w14:paraId="2B5C7A68"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25</w:t>
            </w:r>
          </w:p>
        </w:tc>
      </w:tr>
      <w:tr w:rsidR="00D92161" w14:paraId="5C7CD53B" w14:textId="77777777">
        <w:trPr>
          <w:trHeight w:val="570"/>
        </w:trPr>
        <w:tc>
          <w:tcPr>
            <w:tcW w:w="3271" w:type="dxa"/>
            <w:vMerge w:val="restart"/>
          </w:tcPr>
          <w:p w14:paraId="00D24E47" w14:textId="77777777" w:rsidR="00D92161" w:rsidRDefault="00D92161"/>
          <w:p w14:paraId="1F11BCC8" w14:textId="77777777" w:rsidR="00D92161" w:rsidRDefault="00D92161"/>
          <w:p w14:paraId="068406F9" w14:textId="77777777" w:rsidR="00D92161" w:rsidRDefault="00D92161"/>
          <w:p w14:paraId="120C33EC" w14:textId="77777777" w:rsidR="00D92161" w:rsidRDefault="00D92161"/>
          <w:p w14:paraId="79309C11" w14:textId="77777777" w:rsidR="00D92161" w:rsidRDefault="00D92161"/>
          <w:p w14:paraId="58E02AA1" w14:textId="2D50E9F7" w:rsidR="00D92161" w:rsidRDefault="00CD69E5">
            <w:r>
              <w:t xml:space="preserve">      Endothelial cell</w:t>
            </w:r>
            <w:r w:rsidR="00EC7214">
              <w:t>,</w:t>
            </w:r>
            <w:r>
              <w:t xml:space="preserve"> arachnoid</w:t>
            </w:r>
          </w:p>
        </w:tc>
        <w:tc>
          <w:tcPr>
            <w:tcW w:w="2877" w:type="dxa"/>
          </w:tcPr>
          <w:p w14:paraId="2AD03AAE" w14:textId="77777777" w:rsidR="00D92161" w:rsidRDefault="00CD69E5">
            <w:pPr>
              <w:rPr>
                <w:i/>
              </w:rPr>
            </w:pPr>
            <w:r>
              <w:rPr>
                <w:i/>
              </w:rPr>
              <w:t>Cldn5</w:t>
            </w:r>
          </w:p>
        </w:tc>
        <w:tc>
          <w:tcPr>
            <w:tcW w:w="2863" w:type="dxa"/>
          </w:tcPr>
          <w:p w14:paraId="1167F709"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22, 26</w:t>
            </w:r>
          </w:p>
        </w:tc>
      </w:tr>
      <w:tr w:rsidR="00D92161" w14:paraId="3F08A90D" w14:textId="77777777">
        <w:trPr>
          <w:trHeight w:val="570"/>
        </w:trPr>
        <w:tc>
          <w:tcPr>
            <w:tcW w:w="3271" w:type="dxa"/>
            <w:vMerge/>
          </w:tcPr>
          <w:p w14:paraId="3C0D24C8"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5F48D928" w14:textId="77777777" w:rsidR="00D92161" w:rsidRDefault="00CD69E5">
            <w:pPr>
              <w:rPr>
                <w:i/>
              </w:rPr>
            </w:pPr>
            <w:r>
              <w:rPr>
                <w:i/>
              </w:rPr>
              <w:t>Lef1</w:t>
            </w:r>
          </w:p>
        </w:tc>
        <w:tc>
          <w:tcPr>
            <w:tcW w:w="2863" w:type="dxa"/>
          </w:tcPr>
          <w:p w14:paraId="08BFBED5"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27, 28</w:t>
            </w:r>
          </w:p>
        </w:tc>
      </w:tr>
      <w:tr w:rsidR="00D92161" w14:paraId="14C61F28" w14:textId="77777777">
        <w:trPr>
          <w:trHeight w:val="570"/>
        </w:trPr>
        <w:tc>
          <w:tcPr>
            <w:tcW w:w="3271" w:type="dxa"/>
            <w:vMerge/>
          </w:tcPr>
          <w:p w14:paraId="4A4A2FFD"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1B1FD5B4" w14:textId="77777777" w:rsidR="00D92161" w:rsidRDefault="00CD69E5">
            <w:pPr>
              <w:rPr>
                <w:i/>
              </w:rPr>
            </w:pPr>
            <w:r>
              <w:rPr>
                <w:i/>
              </w:rPr>
              <w:t>Slc7a5</w:t>
            </w:r>
          </w:p>
        </w:tc>
        <w:tc>
          <w:tcPr>
            <w:tcW w:w="2863" w:type="dxa"/>
          </w:tcPr>
          <w:p w14:paraId="2F56173C"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22</w:t>
            </w:r>
          </w:p>
        </w:tc>
      </w:tr>
      <w:tr w:rsidR="00D92161" w14:paraId="07087ED6" w14:textId="77777777">
        <w:trPr>
          <w:trHeight w:val="570"/>
        </w:trPr>
        <w:tc>
          <w:tcPr>
            <w:tcW w:w="3271" w:type="dxa"/>
            <w:vMerge/>
          </w:tcPr>
          <w:p w14:paraId="0FA60A84"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6FEE1A47" w14:textId="77777777" w:rsidR="00D92161" w:rsidRDefault="00CD69E5">
            <w:pPr>
              <w:rPr>
                <w:i/>
              </w:rPr>
            </w:pPr>
            <w:r>
              <w:rPr>
                <w:i/>
              </w:rPr>
              <w:t>Lrp8</w:t>
            </w:r>
          </w:p>
        </w:tc>
        <w:tc>
          <w:tcPr>
            <w:tcW w:w="2863" w:type="dxa"/>
          </w:tcPr>
          <w:p w14:paraId="1C731C1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29</w:t>
            </w:r>
          </w:p>
        </w:tc>
      </w:tr>
      <w:tr w:rsidR="00D92161" w14:paraId="52BEA172" w14:textId="77777777">
        <w:trPr>
          <w:trHeight w:val="570"/>
        </w:trPr>
        <w:tc>
          <w:tcPr>
            <w:tcW w:w="3271" w:type="dxa"/>
            <w:vMerge/>
          </w:tcPr>
          <w:p w14:paraId="6BF6963B"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6DEE4201" w14:textId="77777777" w:rsidR="00D92161" w:rsidRDefault="00CD69E5">
            <w:pPr>
              <w:rPr>
                <w:i/>
              </w:rPr>
            </w:pPr>
            <w:r>
              <w:rPr>
                <w:i/>
              </w:rPr>
              <w:t>Slco1c1</w:t>
            </w:r>
          </w:p>
        </w:tc>
        <w:tc>
          <w:tcPr>
            <w:tcW w:w="2863" w:type="dxa"/>
          </w:tcPr>
          <w:p w14:paraId="686701D8"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30</w:t>
            </w:r>
          </w:p>
        </w:tc>
      </w:tr>
      <w:tr w:rsidR="00D92161" w14:paraId="472A26D7" w14:textId="77777777">
        <w:trPr>
          <w:trHeight w:val="570"/>
        </w:trPr>
        <w:tc>
          <w:tcPr>
            <w:tcW w:w="3271" w:type="dxa"/>
          </w:tcPr>
          <w:p w14:paraId="7644746B" w14:textId="142C7995" w:rsidR="00D92161" w:rsidRDefault="00CD69E5">
            <w:r>
              <w:t xml:space="preserve">         Endothelial cell</w:t>
            </w:r>
            <w:r w:rsidR="00EC7214">
              <w:t>,</w:t>
            </w:r>
            <w:r>
              <w:t xml:space="preserve"> dura </w:t>
            </w:r>
          </w:p>
        </w:tc>
        <w:tc>
          <w:tcPr>
            <w:tcW w:w="2877" w:type="dxa"/>
          </w:tcPr>
          <w:p w14:paraId="3B331D30" w14:textId="22591E67" w:rsidR="00D92161" w:rsidRDefault="00CD69E5">
            <w:pPr>
              <w:rPr>
                <w:i/>
              </w:rPr>
            </w:pPr>
            <w:r>
              <w:rPr>
                <w:i/>
              </w:rPr>
              <w:t>Pl</w:t>
            </w:r>
            <w:r w:rsidR="007F7535">
              <w:rPr>
                <w:i/>
              </w:rPr>
              <w:t>va</w:t>
            </w:r>
            <w:r>
              <w:rPr>
                <w:i/>
              </w:rPr>
              <w:t>p</w:t>
            </w:r>
          </w:p>
        </w:tc>
        <w:tc>
          <w:tcPr>
            <w:tcW w:w="2863" w:type="dxa"/>
          </w:tcPr>
          <w:p w14:paraId="32F39F1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31, 32</w:t>
            </w:r>
          </w:p>
        </w:tc>
      </w:tr>
      <w:tr w:rsidR="00D92161" w14:paraId="72880143" w14:textId="77777777">
        <w:trPr>
          <w:trHeight w:val="570"/>
        </w:trPr>
        <w:tc>
          <w:tcPr>
            <w:tcW w:w="3271" w:type="dxa"/>
          </w:tcPr>
          <w:p w14:paraId="3720F3E0" w14:textId="27CF4C81" w:rsidR="00D92161" w:rsidRDefault="00CD69E5">
            <w:r>
              <w:t xml:space="preserve">      Endothelial cell</w:t>
            </w:r>
            <w:r w:rsidR="00EC7214">
              <w:t>,</w:t>
            </w:r>
            <w:r>
              <w:t xml:space="preserve"> dura</w:t>
            </w:r>
            <w:r w:rsidR="00EC7214">
              <w:t>,</w:t>
            </w:r>
            <w:r>
              <w:t xml:space="preserve"> V</w:t>
            </w:r>
            <w:r w:rsidR="00EC7214">
              <w:t>WF</w:t>
            </w:r>
            <w:r>
              <w:t>+</w:t>
            </w:r>
          </w:p>
        </w:tc>
        <w:tc>
          <w:tcPr>
            <w:tcW w:w="2877" w:type="dxa"/>
          </w:tcPr>
          <w:p w14:paraId="0638B630" w14:textId="77777777" w:rsidR="00D92161" w:rsidRDefault="00CD69E5">
            <w:pPr>
              <w:rPr>
                <w:i/>
              </w:rPr>
            </w:pPr>
            <w:r>
              <w:rPr>
                <w:i/>
              </w:rPr>
              <w:t>Vwf</w:t>
            </w:r>
          </w:p>
        </w:tc>
        <w:tc>
          <w:tcPr>
            <w:tcW w:w="2863" w:type="dxa"/>
          </w:tcPr>
          <w:p w14:paraId="48B212CC"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 xml:space="preserve">32, 33, 34 </w:t>
            </w:r>
          </w:p>
        </w:tc>
      </w:tr>
      <w:tr w:rsidR="00D92161" w14:paraId="272299A3" w14:textId="77777777">
        <w:trPr>
          <w:trHeight w:val="570"/>
        </w:trPr>
        <w:tc>
          <w:tcPr>
            <w:tcW w:w="3271" w:type="dxa"/>
            <w:vMerge w:val="restart"/>
          </w:tcPr>
          <w:p w14:paraId="66A5496B" w14:textId="77777777" w:rsidR="00D92161" w:rsidRDefault="00CD69E5">
            <w:r>
              <w:t xml:space="preserve">       </w:t>
            </w:r>
          </w:p>
          <w:p w14:paraId="6DFE853B" w14:textId="77777777" w:rsidR="00D92161" w:rsidRDefault="00D92161"/>
          <w:p w14:paraId="584A0FD5" w14:textId="77777777" w:rsidR="00D92161" w:rsidRDefault="00D92161"/>
          <w:p w14:paraId="2C4E51B2" w14:textId="1D1938A1" w:rsidR="00D92161" w:rsidRDefault="00CD69E5">
            <w:r>
              <w:t xml:space="preserve">           Endothelial cell</w:t>
            </w:r>
            <w:r w:rsidR="00EC7214">
              <w:t>,</w:t>
            </w:r>
            <w:r>
              <w:t xml:space="preserve"> artery</w:t>
            </w:r>
          </w:p>
        </w:tc>
        <w:tc>
          <w:tcPr>
            <w:tcW w:w="2877" w:type="dxa"/>
          </w:tcPr>
          <w:p w14:paraId="53A0E20B" w14:textId="77777777" w:rsidR="00D92161" w:rsidRDefault="00CD69E5">
            <w:pPr>
              <w:rPr>
                <w:i/>
              </w:rPr>
            </w:pPr>
            <w:r>
              <w:rPr>
                <w:i/>
              </w:rPr>
              <w:t>Bmx</w:t>
            </w:r>
          </w:p>
        </w:tc>
        <w:tc>
          <w:tcPr>
            <w:tcW w:w="2863" w:type="dxa"/>
          </w:tcPr>
          <w:p w14:paraId="5E0CABAB"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22, 35</w:t>
            </w:r>
          </w:p>
        </w:tc>
      </w:tr>
      <w:tr w:rsidR="00D92161" w14:paraId="648B7B98" w14:textId="77777777">
        <w:trPr>
          <w:trHeight w:val="570"/>
        </w:trPr>
        <w:tc>
          <w:tcPr>
            <w:tcW w:w="3271" w:type="dxa"/>
            <w:vMerge/>
          </w:tcPr>
          <w:p w14:paraId="756CC5DF"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68EFFD09" w14:textId="77777777" w:rsidR="00D92161" w:rsidRDefault="00CD69E5">
            <w:pPr>
              <w:rPr>
                <w:i/>
              </w:rPr>
            </w:pPr>
            <w:r>
              <w:rPr>
                <w:i/>
              </w:rPr>
              <w:t>Fbln5</w:t>
            </w:r>
          </w:p>
        </w:tc>
        <w:tc>
          <w:tcPr>
            <w:tcW w:w="2863" w:type="dxa"/>
          </w:tcPr>
          <w:p w14:paraId="59CB3A6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23</w:t>
            </w:r>
          </w:p>
        </w:tc>
      </w:tr>
      <w:tr w:rsidR="00D92161" w14:paraId="1F732135" w14:textId="77777777">
        <w:trPr>
          <w:trHeight w:val="570"/>
        </w:trPr>
        <w:tc>
          <w:tcPr>
            <w:tcW w:w="3271" w:type="dxa"/>
            <w:vMerge/>
          </w:tcPr>
          <w:p w14:paraId="561166AF"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749D3A10" w14:textId="77777777" w:rsidR="00D92161" w:rsidRDefault="00CD69E5">
            <w:pPr>
              <w:rPr>
                <w:i/>
              </w:rPr>
            </w:pPr>
            <w:r>
              <w:rPr>
                <w:i/>
              </w:rPr>
              <w:t>Vegfc</w:t>
            </w:r>
          </w:p>
        </w:tc>
        <w:tc>
          <w:tcPr>
            <w:tcW w:w="2863" w:type="dxa"/>
          </w:tcPr>
          <w:p w14:paraId="4EC966A2"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22, 36</w:t>
            </w:r>
          </w:p>
        </w:tc>
      </w:tr>
      <w:tr w:rsidR="00D92161" w14:paraId="64460AC4" w14:textId="77777777">
        <w:trPr>
          <w:trHeight w:val="570"/>
        </w:trPr>
        <w:tc>
          <w:tcPr>
            <w:tcW w:w="3271" w:type="dxa"/>
            <w:vMerge w:val="restart"/>
          </w:tcPr>
          <w:p w14:paraId="1ECDA541" w14:textId="77777777" w:rsidR="00D92161" w:rsidRDefault="00CD69E5">
            <w:r>
              <w:lastRenderedPageBreak/>
              <w:t xml:space="preserve">                 </w:t>
            </w:r>
          </w:p>
          <w:p w14:paraId="52496E87" w14:textId="77777777" w:rsidR="00D92161" w:rsidRDefault="00D92161"/>
          <w:p w14:paraId="6622088F" w14:textId="77777777" w:rsidR="00D92161" w:rsidRDefault="00D92161"/>
          <w:p w14:paraId="42AF35C8" w14:textId="77777777" w:rsidR="00D92161" w:rsidRDefault="00CD69E5">
            <w:pPr>
              <w:rPr>
                <w:b/>
              </w:rPr>
            </w:pPr>
            <w:r>
              <w:t xml:space="preserve">                  </w:t>
            </w:r>
            <w:r>
              <w:rPr>
                <w:b/>
              </w:rPr>
              <w:t>Mural cells</w:t>
            </w:r>
          </w:p>
        </w:tc>
        <w:tc>
          <w:tcPr>
            <w:tcW w:w="2877" w:type="dxa"/>
          </w:tcPr>
          <w:p w14:paraId="56AF1FB5" w14:textId="77777777" w:rsidR="00D92161" w:rsidRDefault="00CD69E5">
            <w:pPr>
              <w:rPr>
                <w:i/>
              </w:rPr>
            </w:pPr>
            <w:r>
              <w:rPr>
                <w:i/>
              </w:rPr>
              <w:t>Abcc9</w:t>
            </w:r>
          </w:p>
        </w:tc>
        <w:tc>
          <w:tcPr>
            <w:tcW w:w="2863" w:type="dxa"/>
          </w:tcPr>
          <w:p w14:paraId="17604BBB"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32</w:t>
            </w:r>
          </w:p>
        </w:tc>
      </w:tr>
      <w:tr w:rsidR="00D92161" w14:paraId="15FA3892" w14:textId="77777777">
        <w:trPr>
          <w:trHeight w:val="570"/>
        </w:trPr>
        <w:tc>
          <w:tcPr>
            <w:tcW w:w="3271" w:type="dxa"/>
            <w:vMerge/>
          </w:tcPr>
          <w:p w14:paraId="6E17E621"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25E47388" w14:textId="77777777" w:rsidR="00D92161" w:rsidRDefault="00CD69E5">
            <w:pPr>
              <w:rPr>
                <w:i/>
              </w:rPr>
            </w:pPr>
            <w:r>
              <w:rPr>
                <w:i/>
              </w:rPr>
              <w:t>Notch3</w:t>
            </w:r>
          </w:p>
        </w:tc>
        <w:tc>
          <w:tcPr>
            <w:tcW w:w="2863" w:type="dxa"/>
          </w:tcPr>
          <w:p w14:paraId="4830DF7A"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37</w:t>
            </w:r>
          </w:p>
        </w:tc>
      </w:tr>
      <w:tr w:rsidR="00D92161" w14:paraId="7CDA08BD" w14:textId="77777777">
        <w:trPr>
          <w:trHeight w:val="570"/>
        </w:trPr>
        <w:tc>
          <w:tcPr>
            <w:tcW w:w="3271" w:type="dxa"/>
            <w:vMerge/>
          </w:tcPr>
          <w:p w14:paraId="3B58E612"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5C7F20BF" w14:textId="77777777" w:rsidR="00D92161" w:rsidRDefault="00CD69E5">
            <w:pPr>
              <w:rPr>
                <w:i/>
              </w:rPr>
            </w:pPr>
            <w:r>
              <w:rPr>
                <w:i/>
              </w:rPr>
              <w:t>Pdgfrb</w:t>
            </w:r>
          </w:p>
        </w:tc>
        <w:tc>
          <w:tcPr>
            <w:tcW w:w="2863" w:type="dxa"/>
          </w:tcPr>
          <w:p w14:paraId="141821EC"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32</w:t>
            </w:r>
          </w:p>
        </w:tc>
      </w:tr>
      <w:tr w:rsidR="00D92161" w14:paraId="6071377B" w14:textId="77777777">
        <w:trPr>
          <w:trHeight w:val="570"/>
        </w:trPr>
        <w:tc>
          <w:tcPr>
            <w:tcW w:w="3271" w:type="dxa"/>
            <w:vMerge w:val="restart"/>
          </w:tcPr>
          <w:p w14:paraId="538E28BB" w14:textId="77777777" w:rsidR="00D92161" w:rsidRDefault="00CD69E5">
            <w:pPr>
              <w:rPr>
                <w:b/>
              </w:rPr>
            </w:pPr>
            <w:r>
              <w:rPr>
                <w:b/>
              </w:rPr>
              <w:t xml:space="preserve">  </w:t>
            </w:r>
          </w:p>
          <w:p w14:paraId="0FBD6155" w14:textId="77777777" w:rsidR="00D92161" w:rsidRDefault="00D92161">
            <w:pPr>
              <w:rPr>
                <w:b/>
              </w:rPr>
            </w:pPr>
          </w:p>
          <w:p w14:paraId="6F4BB3B9" w14:textId="77777777" w:rsidR="00D92161" w:rsidRDefault="00CD69E5">
            <w:pPr>
              <w:rPr>
                <w:b/>
              </w:rPr>
            </w:pPr>
            <w:r>
              <w:rPr>
                <w:b/>
              </w:rPr>
              <w:t xml:space="preserve">                   Fibroblasts</w:t>
            </w:r>
          </w:p>
        </w:tc>
        <w:tc>
          <w:tcPr>
            <w:tcW w:w="2877" w:type="dxa"/>
          </w:tcPr>
          <w:p w14:paraId="463AA2BD" w14:textId="77777777" w:rsidR="00D92161" w:rsidRDefault="00CD69E5">
            <w:pPr>
              <w:rPr>
                <w:i/>
              </w:rPr>
            </w:pPr>
            <w:r>
              <w:rPr>
                <w:i/>
              </w:rPr>
              <w:t>Col1a1</w:t>
            </w:r>
          </w:p>
        </w:tc>
        <w:tc>
          <w:tcPr>
            <w:tcW w:w="2863" w:type="dxa"/>
          </w:tcPr>
          <w:p w14:paraId="5282011B"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4ABF2851" w14:textId="77777777">
        <w:trPr>
          <w:trHeight w:val="570"/>
        </w:trPr>
        <w:tc>
          <w:tcPr>
            <w:tcW w:w="3271" w:type="dxa"/>
            <w:vMerge/>
          </w:tcPr>
          <w:p w14:paraId="726A5F3E"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75D4CD7F" w14:textId="77777777" w:rsidR="00D92161" w:rsidRDefault="00CD69E5">
            <w:pPr>
              <w:rPr>
                <w:i/>
              </w:rPr>
            </w:pPr>
            <w:r>
              <w:rPr>
                <w:i/>
              </w:rPr>
              <w:t>Pdgfra</w:t>
            </w:r>
          </w:p>
        </w:tc>
        <w:tc>
          <w:tcPr>
            <w:tcW w:w="2863" w:type="dxa"/>
          </w:tcPr>
          <w:p w14:paraId="7FDC8AA0"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22, 38</w:t>
            </w:r>
          </w:p>
        </w:tc>
      </w:tr>
      <w:tr w:rsidR="00D92161" w14:paraId="1C836812" w14:textId="77777777">
        <w:trPr>
          <w:trHeight w:val="570"/>
        </w:trPr>
        <w:tc>
          <w:tcPr>
            <w:tcW w:w="3271" w:type="dxa"/>
            <w:vMerge w:val="restart"/>
          </w:tcPr>
          <w:p w14:paraId="227A7F93" w14:textId="77777777" w:rsidR="00D92161" w:rsidRDefault="00CD69E5">
            <w:r>
              <w:t xml:space="preserve">    </w:t>
            </w:r>
          </w:p>
          <w:p w14:paraId="507CDD34" w14:textId="77777777" w:rsidR="00D92161" w:rsidRDefault="00D92161"/>
          <w:p w14:paraId="613EF393" w14:textId="2FD9F8E4" w:rsidR="00D92161" w:rsidRDefault="00CD69E5">
            <w:r>
              <w:t xml:space="preserve">                Fibroblast</w:t>
            </w:r>
            <w:r w:rsidR="00EC7214">
              <w:t>,</w:t>
            </w:r>
            <w:r>
              <w:t xml:space="preserve"> pia</w:t>
            </w:r>
          </w:p>
        </w:tc>
        <w:tc>
          <w:tcPr>
            <w:tcW w:w="2877" w:type="dxa"/>
          </w:tcPr>
          <w:p w14:paraId="47132685" w14:textId="77777777" w:rsidR="00D92161" w:rsidRDefault="00CD69E5">
            <w:pPr>
              <w:rPr>
                <w:i/>
              </w:rPr>
            </w:pPr>
            <w:r>
              <w:rPr>
                <w:i/>
              </w:rPr>
              <w:t>Lama1</w:t>
            </w:r>
          </w:p>
        </w:tc>
        <w:tc>
          <w:tcPr>
            <w:tcW w:w="2863" w:type="dxa"/>
          </w:tcPr>
          <w:p w14:paraId="44B9872B"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6EBD12BF" w14:textId="77777777">
        <w:trPr>
          <w:trHeight w:val="570"/>
        </w:trPr>
        <w:tc>
          <w:tcPr>
            <w:tcW w:w="3271" w:type="dxa"/>
            <w:vMerge/>
          </w:tcPr>
          <w:p w14:paraId="783C4025"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3A75C1D4" w14:textId="77777777" w:rsidR="00D92161" w:rsidRDefault="00CD69E5">
            <w:pPr>
              <w:rPr>
                <w:i/>
              </w:rPr>
            </w:pPr>
            <w:r>
              <w:rPr>
                <w:i/>
              </w:rPr>
              <w:t>Cxcl12</w:t>
            </w:r>
          </w:p>
        </w:tc>
        <w:tc>
          <w:tcPr>
            <w:tcW w:w="2863" w:type="dxa"/>
          </w:tcPr>
          <w:p w14:paraId="5299BB8E"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522B1104" w14:textId="77777777">
        <w:trPr>
          <w:trHeight w:val="570"/>
        </w:trPr>
        <w:tc>
          <w:tcPr>
            <w:tcW w:w="3271" w:type="dxa"/>
            <w:vMerge/>
          </w:tcPr>
          <w:p w14:paraId="66851342"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1A40BE25" w14:textId="730343E5" w:rsidR="00D92161" w:rsidRPr="00FF2A9B" w:rsidRDefault="00FF2A9B">
            <w:pPr>
              <w:rPr>
                <w:bCs/>
                <w:i/>
              </w:rPr>
            </w:pPr>
            <w:r w:rsidRPr="00FF2A9B">
              <w:rPr>
                <w:bCs/>
                <w:i/>
              </w:rPr>
              <w:t>Col15a1</w:t>
            </w:r>
          </w:p>
        </w:tc>
        <w:tc>
          <w:tcPr>
            <w:tcW w:w="2863" w:type="dxa"/>
          </w:tcPr>
          <w:p w14:paraId="40CB4BE3"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39</w:t>
            </w:r>
          </w:p>
        </w:tc>
      </w:tr>
      <w:tr w:rsidR="00D92161" w14:paraId="42132BAF" w14:textId="77777777">
        <w:trPr>
          <w:trHeight w:val="570"/>
        </w:trPr>
        <w:tc>
          <w:tcPr>
            <w:tcW w:w="3271" w:type="dxa"/>
            <w:vMerge w:val="restart"/>
          </w:tcPr>
          <w:p w14:paraId="5938A037" w14:textId="77777777" w:rsidR="00D92161" w:rsidRDefault="00CD69E5">
            <w:r>
              <w:t xml:space="preserve">         </w:t>
            </w:r>
          </w:p>
          <w:p w14:paraId="6C674F0B" w14:textId="77777777" w:rsidR="00D92161" w:rsidRDefault="00D92161"/>
          <w:p w14:paraId="52505CDE" w14:textId="56B6AAB5" w:rsidR="00D92161" w:rsidRDefault="00CD69E5">
            <w:r>
              <w:t xml:space="preserve">         Fibroblast</w:t>
            </w:r>
            <w:r w:rsidR="00EC7214">
              <w:t>,</w:t>
            </w:r>
            <w:r>
              <w:t xml:space="preserve"> arachnoid</w:t>
            </w:r>
          </w:p>
        </w:tc>
        <w:tc>
          <w:tcPr>
            <w:tcW w:w="2877" w:type="dxa"/>
          </w:tcPr>
          <w:p w14:paraId="7007A4DC" w14:textId="77777777" w:rsidR="00D92161" w:rsidRDefault="00CD69E5">
            <w:pPr>
              <w:rPr>
                <w:i/>
              </w:rPr>
            </w:pPr>
            <w:r>
              <w:rPr>
                <w:i/>
              </w:rPr>
              <w:t>Nnat</w:t>
            </w:r>
          </w:p>
        </w:tc>
        <w:tc>
          <w:tcPr>
            <w:tcW w:w="2863" w:type="dxa"/>
          </w:tcPr>
          <w:p w14:paraId="704C818F"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19221382" w14:textId="77777777">
        <w:trPr>
          <w:trHeight w:val="570"/>
        </w:trPr>
        <w:tc>
          <w:tcPr>
            <w:tcW w:w="3271" w:type="dxa"/>
            <w:vMerge/>
          </w:tcPr>
          <w:p w14:paraId="747F9F3B"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5F0C7F49" w14:textId="77777777" w:rsidR="00D92161" w:rsidRDefault="00CD69E5">
            <w:pPr>
              <w:rPr>
                <w:i/>
              </w:rPr>
            </w:pPr>
            <w:r>
              <w:rPr>
                <w:i/>
              </w:rPr>
              <w:t>Aldh1a2</w:t>
            </w:r>
          </w:p>
        </w:tc>
        <w:tc>
          <w:tcPr>
            <w:tcW w:w="2863" w:type="dxa"/>
          </w:tcPr>
          <w:p w14:paraId="7D7C003D"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0730C002" w14:textId="77777777">
        <w:trPr>
          <w:trHeight w:val="570"/>
        </w:trPr>
        <w:tc>
          <w:tcPr>
            <w:tcW w:w="3271" w:type="dxa"/>
            <w:vMerge/>
          </w:tcPr>
          <w:p w14:paraId="4B5312B4"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4D01713C" w14:textId="77777777" w:rsidR="00D92161" w:rsidRDefault="00CD69E5">
            <w:pPr>
              <w:rPr>
                <w:i/>
              </w:rPr>
            </w:pPr>
            <w:r>
              <w:rPr>
                <w:i/>
              </w:rPr>
              <w:t>Ptgds</w:t>
            </w:r>
          </w:p>
        </w:tc>
        <w:tc>
          <w:tcPr>
            <w:tcW w:w="2863" w:type="dxa"/>
          </w:tcPr>
          <w:p w14:paraId="4B61EF93"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008F7AF6" w14:textId="77777777">
        <w:trPr>
          <w:trHeight w:val="570"/>
        </w:trPr>
        <w:tc>
          <w:tcPr>
            <w:tcW w:w="3271" w:type="dxa"/>
            <w:vMerge w:val="restart"/>
          </w:tcPr>
          <w:p w14:paraId="7442CBE3" w14:textId="77777777" w:rsidR="00D92161" w:rsidRDefault="00CD69E5">
            <w:r>
              <w:t xml:space="preserve">            </w:t>
            </w:r>
          </w:p>
          <w:p w14:paraId="4194C863" w14:textId="77777777" w:rsidR="00D92161" w:rsidRDefault="00D92161"/>
          <w:p w14:paraId="03D860CD" w14:textId="38BFC449" w:rsidR="00D92161" w:rsidRDefault="00CD69E5">
            <w:r>
              <w:t xml:space="preserve">              Fibroblast</w:t>
            </w:r>
            <w:r w:rsidR="00EC7214">
              <w:t>,</w:t>
            </w:r>
            <w:r>
              <w:t xml:space="preserve"> dura</w:t>
            </w:r>
          </w:p>
        </w:tc>
        <w:tc>
          <w:tcPr>
            <w:tcW w:w="2877" w:type="dxa"/>
          </w:tcPr>
          <w:p w14:paraId="1F063BFE" w14:textId="77777777" w:rsidR="00D92161" w:rsidRDefault="00CD69E5">
            <w:pPr>
              <w:rPr>
                <w:i/>
              </w:rPr>
            </w:pPr>
            <w:r>
              <w:rPr>
                <w:i/>
              </w:rPr>
              <w:t>Fxyd5</w:t>
            </w:r>
          </w:p>
        </w:tc>
        <w:tc>
          <w:tcPr>
            <w:tcW w:w="2863" w:type="dxa"/>
          </w:tcPr>
          <w:p w14:paraId="4D38367F"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03DA3E44" w14:textId="77777777">
        <w:trPr>
          <w:trHeight w:val="570"/>
        </w:trPr>
        <w:tc>
          <w:tcPr>
            <w:tcW w:w="3271" w:type="dxa"/>
            <w:vMerge/>
          </w:tcPr>
          <w:p w14:paraId="1B6CD429"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3913E37E" w14:textId="77777777" w:rsidR="00D92161" w:rsidRDefault="00CD69E5">
            <w:pPr>
              <w:rPr>
                <w:i/>
              </w:rPr>
            </w:pPr>
            <w:r>
              <w:rPr>
                <w:i/>
              </w:rPr>
              <w:t>Foxp1</w:t>
            </w:r>
          </w:p>
        </w:tc>
        <w:tc>
          <w:tcPr>
            <w:tcW w:w="2863" w:type="dxa"/>
          </w:tcPr>
          <w:p w14:paraId="4B0B1966"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40</w:t>
            </w:r>
          </w:p>
        </w:tc>
      </w:tr>
      <w:tr w:rsidR="00D92161" w14:paraId="2C809605" w14:textId="77777777">
        <w:trPr>
          <w:trHeight w:val="570"/>
        </w:trPr>
        <w:tc>
          <w:tcPr>
            <w:tcW w:w="3271" w:type="dxa"/>
            <w:vMerge/>
          </w:tcPr>
          <w:p w14:paraId="669372DE"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41AAA962" w14:textId="77777777" w:rsidR="00D92161" w:rsidRDefault="00CD69E5">
            <w:pPr>
              <w:rPr>
                <w:i/>
              </w:rPr>
            </w:pPr>
            <w:r>
              <w:rPr>
                <w:i/>
              </w:rPr>
              <w:t>Mgp</w:t>
            </w:r>
          </w:p>
        </w:tc>
        <w:tc>
          <w:tcPr>
            <w:tcW w:w="2863" w:type="dxa"/>
          </w:tcPr>
          <w:p w14:paraId="4B30DC4F"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7B372448" w14:textId="77777777">
        <w:trPr>
          <w:trHeight w:val="570"/>
        </w:trPr>
        <w:tc>
          <w:tcPr>
            <w:tcW w:w="3271" w:type="dxa"/>
            <w:vMerge w:val="restart"/>
          </w:tcPr>
          <w:p w14:paraId="5C08170E" w14:textId="77777777" w:rsidR="00D92161" w:rsidRDefault="00D92161"/>
          <w:p w14:paraId="3D695ABD" w14:textId="77777777" w:rsidR="00D92161" w:rsidRDefault="00D92161"/>
          <w:p w14:paraId="0DCAD8A8" w14:textId="77777777" w:rsidR="00D92161" w:rsidRDefault="00CD69E5">
            <w:r>
              <w:t xml:space="preserve">             Arachnoid barrier </w:t>
            </w:r>
          </w:p>
        </w:tc>
        <w:tc>
          <w:tcPr>
            <w:tcW w:w="2877" w:type="dxa"/>
          </w:tcPr>
          <w:p w14:paraId="39E67043" w14:textId="77777777" w:rsidR="00D92161" w:rsidRDefault="00CD69E5">
            <w:pPr>
              <w:rPr>
                <w:i/>
              </w:rPr>
            </w:pPr>
            <w:r>
              <w:rPr>
                <w:i/>
              </w:rPr>
              <w:t>Cdh1</w:t>
            </w:r>
          </w:p>
        </w:tc>
        <w:tc>
          <w:tcPr>
            <w:tcW w:w="2863" w:type="dxa"/>
          </w:tcPr>
          <w:p w14:paraId="586D7BE7"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38, 41</w:t>
            </w:r>
          </w:p>
        </w:tc>
      </w:tr>
      <w:tr w:rsidR="00D92161" w14:paraId="65BDA7CB" w14:textId="77777777">
        <w:trPr>
          <w:trHeight w:val="570"/>
        </w:trPr>
        <w:tc>
          <w:tcPr>
            <w:tcW w:w="3271" w:type="dxa"/>
            <w:vMerge/>
          </w:tcPr>
          <w:p w14:paraId="0D77D66B"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49698EE0" w14:textId="77777777" w:rsidR="00D92161" w:rsidRDefault="00CD69E5">
            <w:pPr>
              <w:rPr>
                <w:i/>
              </w:rPr>
            </w:pPr>
            <w:r>
              <w:rPr>
                <w:i/>
              </w:rPr>
              <w:t>Cldh11</w:t>
            </w:r>
          </w:p>
        </w:tc>
        <w:tc>
          <w:tcPr>
            <w:tcW w:w="2863" w:type="dxa"/>
          </w:tcPr>
          <w:p w14:paraId="719B169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46474576" w14:textId="77777777">
        <w:trPr>
          <w:trHeight w:val="570"/>
        </w:trPr>
        <w:tc>
          <w:tcPr>
            <w:tcW w:w="3271" w:type="dxa"/>
            <w:vMerge/>
          </w:tcPr>
          <w:p w14:paraId="37DAFEF9"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67746355" w14:textId="77777777" w:rsidR="00D92161" w:rsidRDefault="00CD69E5">
            <w:pPr>
              <w:rPr>
                <w:i/>
              </w:rPr>
            </w:pPr>
            <w:r>
              <w:rPr>
                <w:i/>
              </w:rPr>
              <w:t>Tjp1</w:t>
            </w:r>
          </w:p>
        </w:tc>
        <w:tc>
          <w:tcPr>
            <w:tcW w:w="2863" w:type="dxa"/>
          </w:tcPr>
          <w:p w14:paraId="77139BA7"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38</w:t>
            </w:r>
          </w:p>
        </w:tc>
      </w:tr>
      <w:tr w:rsidR="00D92161" w14:paraId="04AA3933" w14:textId="77777777">
        <w:trPr>
          <w:trHeight w:val="570"/>
        </w:trPr>
        <w:tc>
          <w:tcPr>
            <w:tcW w:w="3271" w:type="dxa"/>
            <w:vMerge w:val="restart"/>
          </w:tcPr>
          <w:p w14:paraId="37409A02" w14:textId="77777777" w:rsidR="00D92161" w:rsidRDefault="00CD69E5">
            <w:pPr>
              <w:rPr>
                <w:b/>
              </w:rPr>
            </w:pPr>
            <w:r>
              <w:rPr>
                <w:b/>
              </w:rPr>
              <w:t xml:space="preserve">             </w:t>
            </w:r>
          </w:p>
          <w:p w14:paraId="446105E9" w14:textId="77777777" w:rsidR="00D92161" w:rsidRDefault="00CD69E5">
            <w:pPr>
              <w:rPr>
                <w:b/>
              </w:rPr>
            </w:pPr>
            <w:r>
              <w:rPr>
                <w:b/>
              </w:rPr>
              <w:t xml:space="preserve">                   Osteoblasts</w:t>
            </w:r>
          </w:p>
          <w:p w14:paraId="592C848C" w14:textId="77777777" w:rsidR="00D92161" w:rsidRDefault="00D92161">
            <w:pPr>
              <w:rPr>
                <w:b/>
              </w:rPr>
            </w:pPr>
          </w:p>
        </w:tc>
        <w:tc>
          <w:tcPr>
            <w:tcW w:w="2877" w:type="dxa"/>
          </w:tcPr>
          <w:p w14:paraId="1BE5E4F3" w14:textId="77777777" w:rsidR="00D92161" w:rsidRDefault="00CD69E5">
            <w:pPr>
              <w:rPr>
                <w:i/>
              </w:rPr>
            </w:pPr>
            <w:r>
              <w:rPr>
                <w:i/>
              </w:rPr>
              <w:t>Runx2</w:t>
            </w:r>
          </w:p>
        </w:tc>
        <w:tc>
          <w:tcPr>
            <w:tcW w:w="2863" w:type="dxa"/>
          </w:tcPr>
          <w:p w14:paraId="5D8CFBF1"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42</w:t>
            </w:r>
          </w:p>
        </w:tc>
      </w:tr>
      <w:tr w:rsidR="00D92161" w14:paraId="42E30BF5" w14:textId="77777777">
        <w:trPr>
          <w:trHeight w:val="570"/>
        </w:trPr>
        <w:tc>
          <w:tcPr>
            <w:tcW w:w="3271" w:type="dxa"/>
            <w:vMerge/>
          </w:tcPr>
          <w:p w14:paraId="11611B8B"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556A57F2" w14:textId="77777777" w:rsidR="00D92161" w:rsidRDefault="00CD69E5">
            <w:pPr>
              <w:rPr>
                <w:i/>
              </w:rPr>
            </w:pPr>
            <w:r>
              <w:rPr>
                <w:i/>
              </w:rPr>
              <w:t>Alpl</w:t>
            </w:r>
          </w:p>
        </w:tc>
        <w:tc>
          <w:tcPr>
            <w:tcW w:w="2863" w:type="dxa"/>
          </w:tcPr>
          <w:p w14:paraId="6BBCBE72"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43</w:t>
            </w:r>
          </w:p>
        </w:tc>
      </w:tr>
      <w:tr w:rsidR="00D92161" w14:paraId="670D9D91" w14:textId="77777777">
        <w:trPr>
          <w:trHeight w:val="570"/>
        </w:trPr>
        <w:tc>
          <w:tcPr>
            <w:tcW w:w="3271" w:type="dxa"/>
            <w:vMerge w:val="restart"/>
          </w:tcPr>
          <w:p w14:paraId="1B4E8940" w14:textId="77777777" w:rsidR="00D92161" w:rsidRDefault="00CD69E5">
            <w:pPr>
              <w:rPr>
                <w:b/>
              </w:rPr>
            </w:pPr>
            <w:r>
              <w:rPr>
                <w:b/>
              </w:rPr>
              <w:t xml:space="preserve">    </w:t>
            </w:r>
          </w:p>
          <w:p w14:paraId="2EF42E86" w14:textId="77777777" w:rsidR="00D92161" w:rsidRDefault="00CD69E5">
            <w:pPr>
              <w:rPr>
                <w:b/>
              </w:rPr>
            </w:pPr>
            <w:r>
              <w:rPr>
                <w:b/>
              </w:rPr>
              <w:t xml:space="preserve">                        Neurons</w:t>
            </w:r>
          </w:p>
        </w:tc>
        <w:tc>
          <w:tcPr>
            <w:tcW w:w="2877" w:type="dxa"/>
          </w:tcPr>
          <w:p w14:paraId="68A98F16" w14:textId="4FF02B23" w:rsidR="00D92161" w:rsidRDefault="00CD69E5">
            <w:pPr>
              <w:rPr>
                <w:i/>
              </w:rPr>
            </w:pPr>
            <w:r>
              <w:rPr>
                <w:i/>
              </w:rPr>
              <w:t>Rbfox</w:t>
            </w:r>
            <w:r w:rsidR="007F7535">
              <w:rPr>
                <w:i/>
              </w:rPr>
              <w:t>3</w:t>
            </w:r>
          </w:p>
        </w:tc>
        <w:tc>
          <w:tcPr>
            <w:tcW w:w="2863" w:type="dxa"/>
          </w:tcPr>
          <w:p w14:paraId="4BE338FA"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44</w:t>
            </w:r>
          </w:p>
        </w:tc>
      </w:tr>
      <w:tr w:rsidR="00D92161" w14:paraId="2DFA7D0F" w14:textId="77777777">
        <w:trPr>
          <w:trHeight w:val="570"/>
        </w:trPr>
        <w:tc>
          <w:tcPr>
            <w:tcW w:w="3271" w:type="dxa"/>
            <w:vMerge/>
          </w:tcPr>
          <w:p w14:paraId="1062C036"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377486BF" w14:textId="77777777" w:rsidR="00D92161" w:rsidRDefault="00CD69E5">
            <w:pPr>
              <w:rPr>
                <w:i/>
              </w:rPr>
            </w:pPr>
            <w:r>
              <w:rPr>
                <w:i/>
              </w:rPr>
              <w:t>Nrxn3</w:t>
            </w:r>
          </w:p>
        </w:tc>
        <w:tc>
          <w:tcPr>
            <w:tcW w:w="2863" w:type="dxa"/>
          </w:tcPr>
          <w:p w14:paraId="0C6230E5"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45</w:t>
            </w:r>
          </w:p>
        </w:tc>
      </w:tr>
      <w:tr w:rsidR="00D92161" w14:paraId="2E281A99" w14:textId="77777777">
        <w:trPr>
          <w:trHeight w:val="570"/>
        </w:trPr>
        <w:tc>
          <w:tcPr>
            <w:tcW w:w="3271" w:type="dxa"/>
            <w:vMerge w:val="restart"/>
          </w:tcPr>
          <w:p w14:paraId="7D9C874E" w14:textId="77777777" w:rsidR="00D92161" w:rsidRDefault="00CD69E5">
            <w:pPr>
              <w:rPr>
                <w:b/>
              </w:rPr>
            </w:pPr>
            <w:r>
              <w:rPr>
                <w:b/>
              </w:rPr>
              <w:t xml:space="preserve">  </w:t>
            </w:r>
          </w:p>
          <w:p w14:paraId="78FFB9E3" w14:textId="77777777" w:rsidR="00D92161" w:rsidRDefault="00CD69E5">
            <w:pPr>
              <w:rPr>
                <w:b/>
              </w:rPr>
            </w:pPr>
            <w:r>
              <w:rPr>
                <w:b/>
              </w:rPr>
              <w:t xml:space="preserve">                           Glia</w:t>
            </w:r>
          </w:p>
        </w:tc>
        <w:tc>
          <w:tcPr>
            <w:tcW w:w="2877" w:type="dxa"/>
          </w:tcPr>
          <w:p w14:paraId="058B31BB" w14:textId="77777777" w:rsidR="00D92161" w:rsidRDefault="00CD69E5">
            <w:pPr>
              <w:rPr>
                <w:i/>
              </w:rPr>
            </w:pPr>
            <w:r>
              <w:rPr>
                <w:i/>
              </w:rPr>
              <w:t>Gfap</w:t>
            </w:r>
          </w:p>
        </w:tc>
        <w:tc>
          <w:tcPr>
            <w:tcW w:w="2863" w:type="dxa"/>
          </w:tcPr>
          <w:p w14:paraId="47FF7494"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46</w:t>
            </w:r>
          </w:p>
        </w:tc>
      </w:tr>
      <w:tr w:rsidR="00D92161" w14:paraId="60EC4C7B" w14:textId="77777777">
        <w:trPr>
          <w:trHeight w:val="570"/>
        </w:trPr>
        <w:tc>
          <w:tcPr>
            <w:tcW w:w="3271" w:type="dxa"/>
            <w:vMerge/>
          </w:tcPr>
          <w:p w14:paraId="53912856" w14:textId="77777777" w:rsidR="00D92161" w:rsidRDefault="00D92161">
            <w:pPr>
              <w:widowControl w:val="0"/>
              <w:pBdr>
                <w:top w:val="nil"/>
                <w:left w:val="nil"/>
                <w:bottom w:val="nil"/>
                <w:right w:val="nil"/>
                <w:between w:val="nil"/>
              </w:pBdr>
              <w:spacing w:line="276" w:lineRule="auto"/>
              <w:rPr>
                <w:rFonts w:ascii="Arial" w:eastAsia="Arial" w:hAnsi="Arial" w:cs="Arial"/>
                <w:color w:val="222222"/>
                <w:sz w:val="20"/>
                <w:szCs w:val="20"/>
                <w:highlight w:val="white"/>
              </w:rPr>
            </w:pPr>
          </w:p>
        </w:tc>
        <w:tc>
          <w:tcPr>
            <w:tcW w:w="2877" w:type="dxa"/>
          </w:tcPr>
          <w:p w14:paraId="02C55366" w14:textId="77777777" w:rsidR="00D92161" w:rsidRDefault="00CD69E5">
            <w:pPr>
              <w:rPr>
                <w:i/>
              </w:rPr>
            </w:pPr>
            <w:r>
              <w:rPr>
                <w:i/>
              </w:rPr>
              <w:t>Aqp4</w:t>
            </w:r>
          </w:p>
        </w:tc>
        <w:tc>
          <w:tcPr>
            <w:tcW w:w="2863" w:type="dxa"/>
          </w:tcPr>
          <w:p w14:paraId="671D0F99" w14:textId="77777777" w:rsidR="00D92161" w:rsidRDefault="00CD69E5">
            <w:pPr>
              <w:rPr>
                <w:rFonts w:ascii="Arial" w:eastAsia="Arial" w:hAnsi="Arial" w:cs="Arial"/>
                <w:color w:val="222222"/>
                <w:sz w:val="20"/>
                <w:szCs w:val="20"/>
                <w:highlight w:val="white"/>
              </w:rPr>
            </w:pPr>
            <w:r>
              <w:rPr>
                <w:rFonts w:ascii="Arial" w:eastAsia="Arial" w:hAnsi="Arial" w:cs="Arial"/>
                <w:color w:val="222222"/>
                <w:sz w:val="20"/>
                <w:szCs w:val="20"/>
                <w:highlight w:val="white"/>
              </w:rPr>
              <w:t>47</w:t>
            </w:r>
          </w:p>
        </w:tc>
      </w:tr>
      <w:tr w:rsidR="00D92161" w14:paraId="4F849DB9" w14:textId="77777777">
        <w:trPr>
          <w:trHeight w:val="570"/>
        </w:trPr>
        <w:tc>
          <w:tcPr>
            <w:tcW w:w="3271" w:type="dxa"/>
            <w:vMerge w:val="restart"/>
          </w:tcPr>
          <w:p w14:paraId="643EEABD" w14:textId="77777777" w:rsidR="00D92161" w:rsidRDefault="00D92161">
            <w:pPr>
              <w:jc w:val="center"/>
            </w:pPr>
          </w:p>
          <w:p w14:paraId="5CC04F9E" w14:textId="77777777" w:rsidR="00D92161" w:rsidRDefault="00CD69E5">
            <w:pPr>
              <w:jc w:val="center"/>
              <w:rPr>
                <w:b/>
              </w:rPr>
            </w:pPr>
            <w:r>
              <w:rPr>
                <w:b/>
              </w:rPr>
              <w:t>Mitotic cells</w:t>
            </w:r>
          </w:p>
        </w:tc>
        <w:tc>
          <w:tcPr>
            <w:tcW w:w="2877" w:type="dxa"/>
          </w:tcPr>
          <w:p w14:paraId="58BB3D02" w14:textId="77777777" w:rsidR="00D92161" w:rsidRDefault="00CD69E5">
            <w:pPr>
              <w:rPr>
                <w:i/>
              </w:rPr>
            </w:pPr>
            <w:r>
              <w:rPr>
                <w:i/>
              </w:rPr>
              <w:t>Top2a</w:t>
            </w:r>
          </w:p>
        </w:tc>
        <w:tc>
          <w:tcPr>
            <w:tcW w:w="2863" w:type="dxa"/>
          </w:tcPr>
          <w:p w14:paraId="2220630D" w14:textId="77777777" w:rsidR="00D92161" w:rsidRDefault="00CD69E5">
            <w:r>
              <w:rPr>
                <w:rFonts w:ascii="Arial" w:eastAsia="Arial" w:hAnsi="Arial" w:cs="Arial"/>
                <w:color w:val="222222"/>
                <w:sz w:val="20"/>
                <w:szCs w:val="20"/>
                <w:highlight w:val="white"/>
              </w:rPr>
              <w:t>48</w:t>
            </w:r>
          </w:p>
        </w:tc>
      </w:tr>
      <w:tr w:rsidR="00D92161" w14:paraId="1D1E0DFF" w14:textId="77777777">
        <w:trPr>
          <w:trHeight w:val="570"/>
        </w:trPr>
        <w:tc>
          <w:tcPr>
            <w:tcW w:w="3271" w:type="dxa"/>
            <w:vMerge/>
          </w:tcPr>
          <w:p w14:paraId="2DA39E4C" w14:textId="77777777" w:rsidR="00D92161" w:rsidRDefault="00D92161">
            <w:pPr>
              <w:widowControl w:val="0"/>
              <w:pBdr>
                <w:top w:val="nil"/>
                <w:left w:val="nil"/>
                <w:bottom w:val="nil"/>
                <w:right w:val="nil"/>
                <w:between w:val="nil"/>
              </w:pBdr>
              <w:spacing w:line="276" w:lineRule="auto"/>
            </w:pPr>
          </w:p>
        </w:tc>
        <w:tc>
          <w:tcPr>
            <w:tcW w:w="2877" w:type="dxa"/>
          </w:tcPr>
          <w:p w14:paraId="78FC8626" w14:textId="77777777" w:rsidR="00D92161" w:rsidRDefault="00CD69E5">
            <w:pPr>
              <w:rPr>
                <w:i/>
              </w:rPr>
            </w:pPr>
            <w:r>
              <w:rPr>
                <w:i/>
              </w:rPr>
              <w:t>Mki67</w:t>
            </w:r>
          </w:p>
        </w:tc>
        <w:tc>
          <w:tcPr>
            <w:tcW w:w="2863" w:type="dxa"/>
          </w:tcPr>
          <w:p w14:paraId="0AB35705" w14:textId="77777777" w:rsidR="00D92161" w:rsidRDefault="00CD69E5">
            <w:r>
              <w:rPr>
                <w:rFonts w:ascii="Arial" w:eastAsia="Arial" w:hAnsi="Arial" w:cs="Arial"/>
                <w:color w:val="222222"/>
                <w:sz w:val="20"/>
                <w:szCs w:val="20"/>
                <w:highlight w:val="white"/>
              </w:rPr>
              <w:t>49</w:t>
            </w:r>
          </w:p>
        </w:tc>
      </w:tr>
    </w:tbl>
    <w:p w14:paraId="250BA570" w14:textId="77777777" w:rsidR="00D92161" w:rsidRDefault="00CD69E5">
      <w:r>
        <w:t xml:space="preserve"> </w:t>
      </w:r>
    </w:p>
    <w:p w14:paraId="4AD67D33" w14:textId="77777777" w:rsidR="00D92161" w:rsidRDefault="00D92161"/>
    <w:p w14:paraId="218DDA42" w14:textId="77777777" w:rsidR="00D92161" w:rsidRDefault="00CD69E5">
      <w:pPr>
        <w:rPr>
          <w:b/>
          <w:sz w:val="36"/>
          <w:szCs w:val="36"/>
        </w:rPr>
      </w:pPr>
      <w:r>
        <w:rPr>
          <w:b/>
          <w:sz w:val="36"/>
          <w:szCs w:val="36"/>
        </w:rPr>
        <w:t>Supplemental references</w:t>
      </w:r>
    </w:p>
    <w:p w14:paraId="59FAC973" w14:textId="77777777" w:rsidR="00D92161" w:rsidRDefault="00CD69E5">
      <w:pPr>
        <w:numPr>
          <w:ilvl w:val="0"/>
          <w:numId w:val="1"/>
        </w:numPr>
        <w:pBdr>
          <w:top w:val="nil"/>
          <w:left w:val="nil"/>
          <w:bottom w:val="nil"/>
          <w:right w:val="nil"/>
          <w:between w:val="nil"/>
        </w:pBdr>
        <w:spacing w:after="0"/>
        <w:ind w:left="360"/>
        <w:rPr>
          <w:color w:val="000000"/>
          <w:sz w:val="24"/>
          <w:szCs w:val="24"/>
        </w:rPr>
      </w:pPr>
      <w:r>
        <w:rPr>
          <w:color w:val="222222"/>
          <w:sz w:val="24"/>
          <w:szCs w:val="24"/>
          <w:highlight w:val="white"/>
        </w:rPr>
        <w:t xml:space="preserve">Goldmann T, Wieghofer P, Jordão MJ, Prutek F, Hagemeyer N, Frenzel K, Amann L, Staszewski O, Kierdorf K, Krueger M, Locatelli G. Origin, fate and dynamics of macrophages at central nervous system interfaces. </w:t>
      </w:r>
      <w:r>
        <w:rPr>
          <w:i/>
          <w:color w:val="222222"/>
          <w:sz w:val="24"/>
          <w:szCs w:val="24"/>
          <w:highlight w:val="white"/>
        </w:rPr>
        <w:t>Nat. Immunol.</w:t>
      </w:r>
      <w:r>
        <w:rPr>
          <w:color w:val="222222"/>
          <w:sz w:val="24"/>
          <w:szCs w:val="24"/>
          <w:highlight w:val="white"/>
        </w:rPr>
        <w:t xml:space="preserve"> </w:t>
      </w:r>
      <w:r>
        <w:rPr>
          <w:b/>
          <w:color w:val="222222"/>
          <w:sz w:val="24"/>
          <w:szCs w:val="24"/>
          <w:highlight w:val="white"/>
        </w:rPr>
        <w:t>17</w:t>
      </w:r>
      <w:r>
        <w:rPr>
          <w:color w:val="222222"/>
          <w:sz w:val="24"/>
          <w:szCs w:val="24"/>
          <w:highlight w:val="white"/>
        </w:rPr>
        <w:t>, 797-805 (2016).</w:t>
      </w:r>
    </w:p>
    <w:p w14:paraId="050F38D1"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Schafflick D, Wolbert J, Heming M, Thomas C, Hartlehnert M, Börsch AL, Ricci A, Martín-Salamanca S, Li X, Lu IN, Pawlak M. Single-cell profiling of CNS border compartment leukocytes reveals that B cells and their progenitors reside in non-diseased meninges. </w:t>
      </w:r>
      <w:r>
        <w:rPr>
          <w:i/>
          <w:color w:val="222222"/>
          <w:sz w:val="24"/>
          <w:szCs w:val="24"/>
          <w:highlight w:val="white"/>
        </w:rPr>
        <w:t>Nat. Neurosci.</w:t>
      </w:r>
      <w:r>
        <w:rPr>
          <w:color w:val="222222"/>
          <w:sz w:val="24"/>
          <w:szCs w:val="24"/>
          <w:highlight w:val="white"/>
        </w:rPr>
        <w:t xml:space="preserve"> </w:t>
      </w:r>
      <w:r>
        <w:rPr>
          <w:b/>
          <w:color w:val="222222"/>
          <w:sz w:val="24"/>
          <w:szCs w:val="24"/>
          <w:highlight w:val="white"/>
        </w:rPr>
        <w:t>24</w:t>
      </w:r>
      <w:r>
        <w:rPr>
          <w:color w:val="222222"/>
          <w:sz w:val="24"/>
          <w:szCs w:val="24"/>
          <w:highlight w:val="white"/>
        </w:rPr>
        <w:t>, 1225-1234 (2021).</w:t>
      </w:r>
    </w:p>
    <w:p w14:paraId="34035CF4"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Van Hove H, Martens L, Scheyltjens I, De Vlaminck K, Pombo Antunes AR, De Prijck S, Vandamme N, De Schepper S, Van Isterdael G, Scott CL, Aerts J. A single-cell atlas of mouse brain macrophages reveals unique transcriptional identities shaped by ontogeny and tissue environment. </w:t>
      </w:r>
      <w:r>
        <w:rPr>
          <w:i/>
          <w:color w:val="222222"/>
          <w:sz w:val="24"/>
          <w:szCs w:val="24"/>
          <w:highlight w:val="white"/>
        </w:rPr>
        <w:t>Nat. Neurosci.</w:t>
      </w:r>
      <w:r>
        <w:rPr>
          <w:color w:val="222222"/>
          <w:sz w:val="24"/>
          <w:szCs w:val="24"/>
          <w:highlight w:val="white"/>
        </w:rPr>
        <w:t xml:space="preserve"> </w:t>
      </w:r>
      <w:r>
        <w:rPr>
          <w:b/>
          <w:color w:val="222222"/>
          <w:sz w:val="24"/>
          <w:szCs w:val="24"/>
          <w:highlight w:val="white"/>
        </w:rPr>
        <w:t>22</w:t>
      </w:r>
      <w:r>
        <w:rPr>
          <w:color w:val="222222"/>
          <w:sz w:val="24"/>
          <w:szCs w:val="24"/>
          <w:highlight w:val="white"/>
        </w:rPr>
        <w:t>,1021-1035 (2019).</w:t>
      </w:r>
    </w:p>
    <w:p w14:paraId="0011CADF"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Kang B, Alvarado LJ, Kim T, Lehmann ML, Cho H, He J, Li P, Kim BH, Larochelle A, Kelsall BL. Commensal microbiota drive the functional diversification of colon macrophages. </w:t>
      </w:r>
      <w:r>
        <w:rPr>
          <w:i/>
          <w:color w:val="222222"/>
          <w:sz w:val="24"/>
          <w:szCs w:val="24"/>
          <w:highlight w:val="white"/>
        </w:rPr>
        <w:t>Mucosal Immunol.</w:t>
      </w:r>
      <w:r>
        <w:rPr>
          <w:color w:val="222222"/>
          <w:sz w:val="24"/>
          <w:szCs w:val="24"/>
          <w:highlight w:val="white"/>
        </w:rPr>
        <w:t xml:space="preserve"> </w:t>
      </w:r>
      <w:r>
        <w:rPr>
          <w:b/>
          <w:color w:val="222222"/>
          <w:sz w:val="24"/>
          <w:szCs w:val="24"/>
          <w:highlight w:val="white"/>
        </w:rPr>
        <w:t>13</w:t>
      </w:r>
      <w:r>
        <w:rPr>
          <w:color w:val="222222"/>
          <w:sz w:val="24"/>
          <w:szCs w:val="24"/>
          <w:highlight w:val="white"/>
        </w:rPr>
        <w:t>, 216-229 (2020).</w:t>
      </w:r>
    </w:p>
    <w:p w14:paraId="45A07267"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Schulz C, Perdiguero EG, Chorro L, Szabo-Rogers H, Cagnard N, Kierdorf K, Prinz M, Wu B, Jacobsen SE, Pollard JW, Frampton J. A lineage of myeloid cells independent of Myb and hematopoietic stem cells. </w:t>
      </w:r>
      <w:r>
        <w:rPr>
          <w:i/>
          <w:color w:val="222222"/>
          <w:sz w:val="24"/>
          <w:szCs w:val="24"/>
          <w:highlight w:val="white"/>
        </w:rPr>
        <w:t>Science</w:t>
      </w:r>
      <w:r>
        <w:rPr>
          <w:color w:val="222222"/>
          <w:sz w:val="24"/>
          <w:szCs w:val="24"/>
          <w:highlight w:val="white"/>
        </w:rPr>
        <w:t xml:space="preserve"> </w:t>
      </w:r>
      <w:r>
        <w:rPr>
          <w:b/>
          <w:color w:val="222222"/>
          <w:sz w:val="24"/>
          <w:szCs w:val="24"/>
          <w:highlight w:val="white"/>
        </w:rPr>
        <w:t>336</w:t>
      </w:r>
      <w:r>
        <w:rPr>
          <w:color w:val="222222"/>
          <w:sz w:val="24"/>
          <w:szCs w:val="24"/>
          <w:highlight w:val="white"/>
        </w:rPr>
        <w:t>, 86-90 (2012).</w:t>
      </w:r>
    </w:p>
    <w:p w14:paraId="3751A566"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Jordão MJ, Sankowski R, Brendecke SM, Sagar, Locatelli G, Tai YH, Tay TL, Schramm E, Armbruster S, Hagemeyer N, Groß O. Single-cell profiling identifies myeloid cell subsets with distinct fates during neuroinflammation. </w:t>
      </w:r>
      <w:r>
        <w:rPr>
          <w:i/>
          <w:color w:val="222222"/>
          <w:sz w:val="24"/>
          <w:szCs w:val="24"/>
          <w:highlight w:val="white"/>
        </w:rPr>
        <w:t>Science</w:t>
      </w:r>
      <w:r>
        <w:rPr>
          <w:color w:val="222222"/>
          <w:sz w:val="24"/>
          <w:szCs w:val="24"/>
          <w:highlight w:val="white"/>
        </w:rPr>
        <w:t xml:space="preserve"> </w:t>
      </w:r>
      <w:r>
        <w:rPr>
          <w:b/>
          <w:color w:val="222222"/>
          <w:sz w:val="24"/>
          <w:szCs w:val="24"/>
          <w:highlight w:val="white"/>
        </w:rPr>
        <w:t>363</w:t>
      </w:r>
      <w:r>
        <w:rPr>
          <w:color w:val="222222"/>
          <w:sz w:val="24"/>
          <w:szCs w:val="24"/>
          <w:highlight w:val="white"/>
        </w:rPr>
        <w:t>, eaat7554 (2019).</w:t>
      </w:r>
    </w:p>
    <w:p w14:paraId="52430236"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Fantuzzi L, Borghi P, Ciolli V, Pavlakis G, Belardelli F, Gessani S. Loss of CCR2 expression and functional response to monocyte chemotactic protein (MCP-1) during the differentiation of human monocytes: role of secreted MCP-1 in the regulation of the chemotactic response. </w:t>
      </w:r>
      <w:r>
        <w:rPr>
          <w:i/>
          <w:color w:val="222222"/>
          <w:sz w:val="24"/>
          <w:szCs w:val="24"/>
          <w:highlight w:val="white"/>
        </w:rPr>
        <w:t>Blood</w:t>
      </w:r>
      <w:r>
        <w:rPr>
          <w:color w:val="222222"/>
          <w:sz w:val="24"/>
          <w:szCs w:val="24"/>
          <w:highlight w:val="white"/>
        </w:rPr>
        <w:t xml:space="preserve"> </w:t>
      </w:r>
      <w:r>
        <w:rPr>
          <w:b/>
          <w:color w:val="222222"/>
          <w:sz w:val="24"/>
          <w:szCs w:val="24"/>
          <w:highlight w:val="white"/>
        </w:rPr>
        <w:t>94</w:t>
      </w:r>
      <w:r>
        <w:rPr>
          <w:color w:val="222222"/>
          <w:sz w:val="24"/>
          <w:szCs w:val="24"/>
          <w:highlight w:val="white"/>
        </w:rPr>
        <w:t>, 875-883 (1999).</w:t>
      </w:r>
    </w:p>
    <w:p w14:paraId="6FB8A862"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Olingy CE, Dinh HQ, Hedrick CC. Monocyte heterogeneity and functions in cancer. </w:t>
      </w:r>
      <w:r>
        <w:rPr>
          <w:i/>
          <w:color w:val="222222"/>
          <w:sz w:val="24"/>
          <w:szCs w:val="24"/>
          <w:highlight w:val="white"/>
        </w:rPr>
        <w:t>J. Leukoc. Biol.</w:t>
      </w:r>
      <w:r>
        <w:rPr>
          <w:color w:val="222222"/>
          <w:sz w:val="24"/>
          <w:szCs w:val="24"/>
          <w:highlight w:val="white"/>
        </w:rPr>
        <w:t xml:space="preserve"> </w:t>
      </w:r>
      <w:r>
        <w:rPr>
          <w:b/>
          <w:color w:val="222222"/>
          <w:sz w:val="24"/>
          <w:szCs w:val="24"/>
          <w:highlight w:val="white"/>
        </w:rPr>
        <w:t>106</w:t>
      </w:r>
      <w:r>
        <w:rPr>
          <w:color w:val="222222"/>
          <w:sz w:val="24"/>
          <w:szCs w:val="24"/>
          <w:highlight w:val="white"/>
        </w:rPr>
        <w:t>, 309–322 (2019).</w:t>
      </w:r>
    </w:p>
    <w:p w14:paraId="1A209E7B"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Sunderkötter C, Nikolic T, Dillon MJ, Van Rooijen N, Stehling M, Drevets DA, Leenen PJ. Subpopulations of mouse blood monocytes differ in maturation stage and inflammatory response. </w:t>
      </w:r>
      <w:r>
        <w:rPr>
          <w:i/>
          <w:color w:val="222222"/>
          <w:sz w:val="24"/>
          <w:szCs w:val="24"/>
          <w:highlight w:val="white"/>
        </w:rPr>
        <w:t>J. Immunol.</w:t>
      </w:r>
      <w:r>
        <w:rPr>
          <w:color w:val="222222"/>
          <w:sz w:val="24"/>
          <w:szCs w:val="24"/>
          <w:highlight w:val="white"/>
        </w:rPr>
        <w:t xml:space="preserve"> </w:t>
      </w:r>
      <w:r>
        <w:rPr>
          <w:b/>
          <w:color w:val="222222"/>
          <w:sz w:val="24"/>
          <w:szCs w:val="24"/>
          <w:highlight w:val="white"/>
        </w:rPr>
        <w:t>172</w:t>
      </w:r>
      <w:r>
        <w:rPr>
          <w:color w:val="222222"/>
          <w:sz w:val="24"/>
          <w:szCs w:val="24"/>
          <w:highlight w:val="white"/>
        </w:rPr>
        <w:t>, 4410–4417 (2004).</w:t>
      </w:r>
    </w:p>
    <w:p w14:paraId="706C974B"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lastRenderedPageBreak/>
        <w:t xml:space="preserve">Averill MM, Kerkhoff C, Bornfeldt KE. S100A8 and S100A9 in cardiovascular biology and disease. </w:t>
      </w:r>
      <w:r>
        <w:rPr>
          <w:i/>
          <w:color w:val="222222"/>
          <w:sz w:val="24"/>
          <w:szCs w:val="24"/>
          <w:highlight w:val="white"/>
        </w:rPr>
        <w:t>Arterioscler. Thromb. Vasc. Biol.</w:t>
      </w:r>
      <w:r>
        <w:rPr>
          <w:color w:val="222222"/>
          <w:sz w:val="24"/>
          <w:szCs w:val="24"/>
          <w:highlight w:val="white"/>
        </w:rPr>
        <w:t xml:space="preserve"> </w:t>
      </w:r>
      <w:r>
        <w:rPr>
          <w:b/>
          <w:color w:val="222222"/>
          <w:sz w:val="24"/>
          <w:szCs w:val="24"/>
          <w:highlight w:val="white"/>
        </w:rPr>
        <w:t>32</w:t>
      </w:r>
      <w:r>
        <w:rPr>
          <w:color w:val="222222"/>
          <w:sz w:val="24"/>
          <w:szCs w:val="24"/>
          <w:highlight w:val="white"/>
        </w:rPr>
        <w:t>, 223–229 (2012).</w:t>
      </w:r>
    </w:p>
    <w:p w14:paraId="10F50472"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Boehm T, Hofer S, Winklehner P, Kellersch B, Geiger C, Trockenbacher A, Neyer S, Fiegl H, Ebner S, Ivarsson L, Schneider R. Attenuation of cell adhesion in lymphocytes is regulated by CYTIP, a protein which mediates signal complex sequestration. </w:t>
      </w:r>
      <w:r>
        <w:rPr>
          <w:i/>
          <w:color w:val="222222"/>
          <w:sz w:val="24"/>
          <w:szCs w:val="24"/>
          <w:highlight w:val="white"/>
        </w:rPr>
        <w:t>EMBO J</w:t>
      </w:r>
      <w:r>
        <w:rPr>
          <w:color w:val="222222"/>
          <w:sz w:val="24"/>
          <w:szCs w:val="24"/>
          <w:highlight w:val="white"/>
        </w:rPr>
        <w:t xml:space="preserve">. </w:t>
      </w:r>
      <w:r>
        <w:rPr>
          <w:b/>
          <w:color w:val="222222"/>
          <w:sz w:val="24"/>
          <w:szCs w:val="24"/>
          <w:highlight w:val="white"/>
        </w:rPr>
        <w:t>22</w:t>
      </w:r>
      <w:r>
        <w:rPr>
          <w:color w:val="222222"/>
          <w:sz w:val="24"/>
          <w:szCs w:val="24"/>
          <w:highlight w:val="white"/>
        </w:rPr>
        <w:t>, 1014-1024 (2003).</w:t>
      </w:r>
    </w:p>
    <w:p w14:paraId="22B847FB"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Hu C, Chu C, Liu L, Wang C, Jin S, Yang R, Rung S, Li J, Qu Y, Man Y. Dissecting the microenvironment around biosynthetic scaffolds in murine skin wound healing. </w:t>
      </w:r>
      <w:r>
        <w:rPr>
          <w:i/>
          <w:color w:val="222222"/>
          <w:sz w:val="24"/>
          <w:szCs w:val="24"/>
          <w:highlight w:val="white"/>
        </w:rPr>
        <w:t xml:space="preserve">Sci. Adv. </w:t>
      </w:r>
      <w:r>
        <w:rPr>
          <w:b/>
          <w:color w:val="222222"/>
          <w:sz w:val="24"/>
          <w:szCs w:val="24"/>
          <w:highlight w:val="white"/>
        </w:rPr>
        <w:t>7</w:t>
      </w:r>
      <w:r>
        <w:rPr>
          <w:color w:val="222222"/>
          <w:sz w:val="24"/>
          <w:szCs w:val="24"/>
          <w:highlight w:val="white"/>
        </w:rPr>
        <w:t>, eabf0787 (2021).</w:t>
      </w:r>
    </w:p>
    <w:p w14:paraId="12AE355D"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Yu Y, Tsang JC, Wang C, Clare S, Wang J, Chen X, Brandt C, Kane L, Campos LS, Lu L, Belz GT. Single-cell RNA-seq identifies a PD-1hi ILC progenitor and defines its development pathway. </w:t>
      </w:r>
      <w:r>
        <w:rPr>
          <w:i/>
          <w:color w:val="222222"/>
          <w:sz w:val="24"/>
          <w:szCs w:val="24"/>
          <w:highlight w:val="white"/>
        </w:rPr>
        <w:t>Nature</w:t>
      </w:r>
      <w:r>
        <w:rPr>
          <w:color w:val="222222"/>
          <w:sz w:val="24"/>
          <w:szCs w:val="24"/>
          <w:highlight w:val="white"/>
        </w:rPr>
        <w:t xml:space="preserve"> </w:t>
      </w:r>
      <w:r>
        <w:rPr>
          <w:b/>
          <w:color w:val="222222"/>
          <w:sz w:val="24"/>
          <w:szCs w:val="24"/>
          <w:highlight w:val="white"/>
        </w:rPr>
        <w:t>539</w:t>
      </w:r>
      <w:r>
        <w:rPr>
          <w:color w:val="222222"/>
          <w:sz w:val="24"/>
          <w:szCs w:val="24"/>
          <w:highlight w:val="white"/>
        </w:rPr>
        <w:t>, 102-106 (2016).</w:t>
      </w:r>
    </w:p>
    <w:p w14:paraId="4041E7B5"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He J, Chen Y, Farzan M, Choe H, Ohagen A, Gartner S, Busciglio J, Yang X, Hofmann W, Newman W, Mackay CR. CCR3 and CCR5 are co-receptors for HIV-1 infection of microglia. </w:t>
      </w:r>
      <w:r>
        <w:rPr>
          <w:i/>
          <w:color w:val="222222"/>
          <w:sz w:val="24"/>
          <w:szCs w:val="24"/>
          <w:highlight w:val="white"/>
        </w:rPr>
        <w:t>Nature</w:t>
      </w:r>
      <w:r>
        <w:rPr>
          <w:color w:val="222222"/>
          <w:sz w:val="24"/>
          <w:szCs w:val="24"/>
          <w:highlight w:val="white"/>
        </w:rPr>
        <w:t xml:space="preserve"> </w:t>
      </w:r>
      <w:r>
        <w:rPr>
          <w:b/>
          <w:color w:val="222222"/>
          <w:sz w:val="24"/>
          <w:szCs w:val="24"/>
          <w:highlight w:val="white"/>
        </w:rPr>
        <w:t>385</w:t>
      </w:r>
      <w:r>
        <w:rPr>
          <w:color w:val="222222"/>
          <w:sz w:val="24"/>
          <w:szCs w:val="24"/>
          <w:highlight w:val="white"/>
        </w:rPr>
        <w:t>, 645-649 (1997).</w:t>
      </w:r>
    </w:p>
    <w:p w14:paraId="3B62EA10"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Konishi H, Kobayashi M, Kunisawa T, Imai K, Sayo A, Malissen B, Crocker PR, Sato K, Kiyama H. Siglec‐H is a microglia‐specific marker that discriminates microglia from CNS‐associated macrophages and CNS‐infiltrating monocytes. </w:t>
      </w:r>
      <w:r>
        <w:rPr>
          <w:i/>
          <w:color w:val="222222"/>
          <w:sz w:val="24"/>
          <w:szCs w:val="24"/>
          <w:highlight w:val="white"/>
        </w:rPr>
        <w:t>Glia</w:t>
      </w:r>
      <w:r>
        <w:rPr>
          <w:color w:val="222222"/>
          <w:sz w:val="24"/>
          <w:szCs w:val="24"/>
          <w:highlight w:val="white"/>
        </w:rPr>
        <w:t xml:space="preserve"> </w:t>
      </w:r>
      <w:r>
        <w:rPr>
          <w:b/>
          <w:color w:val="222222"/>
          <w:sz w:val="24"/>
          <w:szCs w:val="24"/>
          <w:highlight w:val="white"/>
        </w:rPr>
        <w:t>65</w:t>
      </w:r>
      <w:r>
        <w:rPr>
          <w:color w:val="222222"/>
          <w:sz w:val="24"/>
          <w:szCs w:val="24"/>
          <w:highlight w:val="white"/>
        </w:rPr>
        <w:t>, 1927-1943 (2017).</w:t>
      </w:r>
    </w:p>
    <w:p w14:paraId="5CBA4373"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Masuda T, Amann L, Sankowski R, Staszewski O, Lenz M, Snaidero N, Costa Jordão MJ, Böttcher C, Kierdorf K, Jung S, Priller J. Novel Hexb-based tools for studying microglia in the CNS. </w:t>
      </w:r>
      <w:r>
        <w:rPr>
          <w:i/>
          <w:color w:val="222222"/>
          <w:sz w:val="24"/>
          <w:szCs w:val="24"/>
          <w:highlight w:val="white"/>
        </w:rPr>
        <w:t>Nat. Immunol</w:t>
      </w:r>
      <w:r>
        <w:rPr>
          <w:color w:val="222222"/>
          <w:sz w:val="24"/>
          <w:szCs w:val="24"/>
          <w:highlight w:val="white"/>
        </w:rPr>
        <w:t xml:space="preserve">. </w:t>
      </w:r>
      <w:r>
        <w:rPr>
          <w:b/>
          <w:color w:val="222222"/>
          <w:sz w:val="24"/>
          <w:szCs w:val="24"/>
          <w:highlight w:val="white"/>
        </w:rPr>
        <w:t>21</w:t>
      </w:r>
      <w:r>
        <w:rPr>
          <w:color w:val="222222"/>
          <w:sz w:val="24"/>
          <w:szCs w:val="24"/>
          <w:highlight w:val="white"/>
        </w:rPr>
        <w:t>, 802-815 (2020).</w:t>
      </w:r>
    </w:p>
    <w:p w14:paraId="70BA723C"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Lou N, Takano T, Pei Y, Xavier AL, Goldman SA, Nedergaard M. Purinergic receptor P2RY12-dependent microglial closure of the injured blood–brain barrier. </w:t>
      </w:r>
      <w:r>
        <w:rPr>
          <w:i/>
          <w:color w:val="242424"/>
          <w:sz w:val="24"/>
          <w:szCs w:val="24"/>
        </w:rPr>
        <w:t>Proc Natl Acad Sci USA</w:t>
      </w:r>
      <w:r>
        <w:rPr>
          <w:color w:val="242424"/>
          <w:sz w:val="24"/>
          <w:szCs w:val="24"/>
        </w:rPr>
        <w:t> </w:t>
      </w:r>
      <w:r>
        <w:rPr>
          <w:color w:val="222222"/>
          <w:sz w:val="24"/>
          <w:szCs w:val="24"/>
          <w:highlight w:val="white"/>
        </w:rPr>
        <w:t xml:space="preserve"> </w:t>
      </w:r>
      <w:r>
        <w:rPr>
          <w:b/>
          <w:color w:val="222222"/>
          <w:sz w:val="24"/>
          <w:szCs w:val="24"/>
          <w:highlight w:val="white"/>
        </w:rPr>
        <w:t>113</w:t>
      </w:r>
      <w:r>
        <w:rPr>
          <w:color w:val="222222"/>
          <w:sz w:val="24"/>
          <w:szCs w:val="24"/>
          <w:highlight w:val="white"/>
        </w:rPr>
        <w:t>, 1074-1079 (2016).</w:t>
      </w:r>
    </w:p>
    <w:p w14:paraId="3BBD515F"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sidRPr="00EC7214">
        <w:rPr>
          <w:color w:val="222222"/>
          <w:sz w:val="24"/>
          <w:szCs w:val="24"/>
          <w:highlight w:val="white"/>
          <w:lang w:val="pt-BR"/>
        </w:rPr>
        <w:t xml:space="preserve">Lotinun S, Kiviranta R, Matsubara T, Alzate JA, Neff L, Lüth A, Koskivirta I, Kleuser B, Vacher J, Vuorio E, Horne WC. </w:t>
      </w:r>
      <w:r>
        <w:rPr>
          <w:color w:val="222222"/>
          <w:sz w:val="24"/>
          <w:szCs w:val="24"/>
          <w:highlight w:val="white"/>
        </w:rPr>
        <w:t xml:space="preserve">Osteoclast-specific cathepsin K deletion stimulates S1P-dependent bone formation. </w:t>
      </w:r>
      <w:r w:rsidRPr="007A6E40">
        <w:rPr>
          <w:i/>
          <w:iCs/>
          <w:color w:val="222222"/>
          <w:sz w:val="24"/>
          <w:szCs w:val="24"/>
          <w:highlight w:val="white"/>
        </w:rPr>
        <w:t>J. Clin. Investig.</w:t>
      </w:r>
      <w:r>
        <w:rPr>
          <w:color w:val="222222"/>
          <w:sz w:val="24"/>
          <w:szCs w:val="24"/>
          <w:highlight w:val="white"/>
        </w:rPr>
        <w:t xml:space="preserve"> </w:t>
      </w:r>
      <w:r>
        <w:rPr>
          <w:b/>
          <w:color w:val="222222"/>
          <w:sz w:val="24"/>
          <w:szCs w:val="24"/>
          <w:highlight w:val="white"/>
        </w:rPr>
        <w:t>123</w:t>
      </w:r>
      <w:r>
        <w:rPr>
          <w:color w:val="222222"/>
          <w:sz w:val="24"/>
          <w:szCs w:val="24"/>
          <w:highlight w:val="white"/>
        </w:rPr>
        <w:t xml:space="preserve"> (2013).</w:t>
      </w:r>
    </w:p>
    <w:p w14:paraId="68E780CD"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Lee SH, Rho J, Jeong D, Sul JY, Kim T, Kim N, Kang JS, Miyamoto T, Suda T, Lee SK, Pignolo RJ. v-ATPase V0 subunit d2–deficient mice exhibit impaired osteoclast fusion and increased bone formation. </w:t>
      </w:r>
      <w:r>
        <w:rPr>
          <w:i/>
          <w:color w:val="222222"/>
          <w:sz w:val="24"/>
          <w:szCs w:val="24"/>
          <w:highlight w:val="white"/>
        </w:rPr>
        <w:t>Nat. Med</w:t>
      </w:r>
      <w:r>
        <w:rPr>
          <w:color w:val="222222"/>
          <w:sz w:val="24"/>
          <w:szCs w:val="24"/>
          <w:highlight w:val="white"/>
        </w:rPr>
        <w:t xml:space="preserve">. </w:t>
      </w:r>
      <w:r>
        <w:rPr>
          <w:b/>
          <w:color w:val="222222"/>
          <w:sz w:val="24"/>
          <w:szCs w:val="24"/>
          <w:highlight w:val="white"/>
        </w:rPr>
        <w:t>12</w:t>
      </w:r>
      <w:r>
        <w:rPr>
          <w:color w:val="222222"/>
          <w:sz w:val="24"/>
          <w:szCs w:val="24"/>
          <w:highlight w:val="white"/>
        </w:rPr>
        <w:t>, 1403-1409 (2006).</w:t>
      </w:r>
    </w:p>
    <w:p w14:paraId="144529C4"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sidRPr="00EC7214">
        <w:rPr>
          <w:color w:val="222222"/>
          <w:sz w:val="24"/>
          <w:szCs w:val="24"/>
          <w:highlight w:val="white"/>
          <w:lang w:val="pt-BR"/>
        </w:rPr>
        <w:t xml:space="preserve">Wu H, Xu G, Li YP. </w:t>
      </w:r>
      <w:r>
        <w:rPr>
          <w:color w:val="222222"/>
          <w:sz w:val="24"/>
          <w:szCs w:val="24"/>
          <w:highlight w:val="white"/>
        </w:rPr>
        <w:t xml:space="preserve">Atp6v0d2 is an essential component of the osteoclast‐specific proton pump that mediates extracellular acidification in bone resorption. </w:t>
      </w:r>
      <w:r>
        <w:rPr>
          <w:i/>
          <w:color w:val="222222"/>
          <w:sz w:val="24"/>
          <w:szCs w:val="24"/>
        </w:rPr>
        <w:t>J. Bone Miner. Res</w:t>
      </w:r>
      <w:r>
        <w:rPr>
          <w:i/>
          <w:color w:val="222222"/>
          <w:sz w:val="24"/>
          <w:szCs w:val="24"/>
          <w:highlight w:val="white"/>
        </w:rPr>
        <w:t>.</w:t>
      </w:r>
      <w:r>
        <w:rPr>
          <w:color w:val="222222"/>
          <w:sz w:val="24"/>
          <w:szCs w:val="24"/>
          <w:highlight w:val="white"/>
        </w:rPr>
        <w:t xml:space="preserve"> </w:t>
      </w:r>
      <w:r>
        <w:rPr>
          <w:b/>
          <w:color w:val="222222"/>
          <w:sz w:val="24"/>
          <w:szCs w:val="24"/>
          <w:highlight w:val="white"/>
        </w:rPr>
        <w:t>24</w:t>
      </w:r>
      <w:r>
        <w:rPr>
          <w:color w:val="222222"/>
          <w:sz w:val="24"/>
          <w:szCs w:val="24"/>
          <w:highlight w:val="white"/>
        </w:rPr>
        <w:t>, 871-885 (2009).</w:t>
      </w:r>
    </w:p>
    <w:p w14:paraId="3C601042"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Romeo SG, Alawi KM, Rodrigues J, Singh A, Kusumbe AP, Ramasamy SK. Endothelial proteolytic activity and interaction with non-resorbing osteoclasts mediate bone elongation. </w:t>
      </w:r>
      <w:r>
        <w:rPr>
          <w:i/>
          <w:color w:val="222222"/>
          <w:sz w:val="24"/>
          <w:szCs w:val="24"/>
          <w:highlight w:val="white"/>
        </w:rPr>
        <w:t>Nat. Cell Biol.</w:t>
      </w:r>
      <w:r>
        <w:rPr>
          <w:color w:val="222222"/>
          <w:sz w:val="24"/>
          <w:szCs w:val="24"/>
          <w:highlight w:val="white"/>
        </w:rPr>
        <w:t xml:space="preserve"> </w:t>
      </w:r>
      <w:r>
        <w:rPr>
          <w:b/>
          <w:color w:val="222222"/>
          <w:sz w:val="24"/>
          <w:szCs w:val="24"/>
          <w:highlight w:val="white"/>
        </w:rPr>
        <w:t>21</w:t>
      </w:r>
      <w:r>
        <w:rPr>
          <w:color w:val="222222"/>
          <w:sz w:val="24"/>
          <w:szCs w:val="24"/>
          <w:highlight w:val="white"/>
        </w:rPr>
        <w:t>, 430-441 (2019).</w:t>
      </w:r>
    </w:p>
    <w:p w14:paraId="4C5C7577"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Vanlandewijck M, He L, Mäe MA, Andrae J, Ando K, Del Gaudio F, Nahar K, Lebouvier T, Laviña B, Gouveia L, Sun Y. A molecular atlas of cell types and zonation in the brain vasculature. </w:t>
      </w:r>
      <w:r>
        <w:rPr>
          <w:i/>
          <w:color w:val="222222"/>
          <w:sz w:val="24"/>
          <w:szCs w:val="24"/>
          <w:highlight w:val="white"/>
        </w:rPr>
        <w:t>Nature</w:t>
      </w:r>
      <w:r>
        <w:rPr>
          <w:color w:val="222222"/>
          <w:sz w:val="24"/>
          <w:szCs w:val="24"/>
          <w:highlight w:val="white"/>
        </w:rPr>
        <w:t xml:space="preserve"> </w:t>
      </w:r>
      <w:r>
        <w:rPr>
          <w:b/>
          <w:color w:val="222222"/>
          <w:sz w:val="24"/>
          <w:szCs w:val="24"/>
          <w:highlight w:val="white"/>
        </w:rPr>
        <w:t>554</w:t>
      </w:r>
      <w:r>
        <w:rPr>
          <w:color w:val="222222"/>
          <w:sz w:val="24"/>
          <w:szCs w:val="24"/>
          <w:highlight w:val="white"/>
        </w:rPr>
        <w:t>, 475-480 (2018).</w:t>
      </w:r>
    </w:p>
    <w:p w14:paraId="121326A2"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lastRenderedPageBreak/>
        <w:t xml:space="preserve">Kalucka J, de Rooij LP, Goveia J, Rohlenova K, Dumas SJ, Meta E, Conchinha NV, Taverna F, Teuwen LA, Veys K, García-Caballero M. Single-cell transcriptome atlas of murine endothelial cells. </w:t>
      </w:r>
      <w:r>
        <w:rPr>
          <w:i/>
          <w:color w:val="222222"/>
          <w:sz w:val="24"/>
          <w:szCs w:val="24"/>
          <w:highlight w:val="white"/>
        </w:rPr>
        <w:t>Cell</w:t>
      </w:r>
      <w:r>
        <w:rPr>
          <w:color w:val="222222"/>
          <w:sz w:val="24"/>
          <w:szCs w:val="24"/>
          <w:highlight w:val="white"/>
        </w:rPr>
        <w:t xml:space="preserve"> </w:t>
      </w:r>
      <w:r>
        <w:rPr>
          <w:b/>
          <w:color w:val="222222"/>
          <w:sz w:val="24"/>
          <w:szCs w:val="24"/>
          <w:highlight w:val="white"/>
        </w:rPr>
        <w:t>180</w:t>
      </w:r>
      <w:r>
        <w:rPr>
          <w:color w:val="222222"/>
          <w:sz w:val="24"/>
          <w:szCs w:val="24"/>
          <w:highlight w:val="white"/>
        </w:rPr>
        <w:t>, 764-779 (2020).</w:t>
      </w:r>
    </w:p>
    <w:p w14:paraId="03BDC483"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Nikolova-Krstevski V, Yuan L, Le Bras A, Vijayaraj P, Kondo M, Gebauer I, Bhasin M, Carman CV, Oettgen P. ERG is required for the differentiation of embryonic stem cells along the endothelial lineage. </w:t>
      </w:r>
      <w:r>
        <w:rPr>
          <w:i/>
          <w:color w:val="222222"/>
          <w:sz w:val="24"/>
          <w:szCs w:val="24"/>
          <w:highlight w:val="white"/>
        </w:rPr>
        <w:t>BMC Dev. Biol.</w:t>
      </w:r>
      <w:r>
        <w:rPr>
          <w:color w:val="222222"/>
          <w:sz w:val="24"/>
          <w:szCs w:val="24"/>
          <w:highlight w:val="white"/>
        </w:rPr>
        <w:t xml:space="preserve"> </w:t>
      </w:r>
      <w:r>
        <w:rPr>
          <w:b/>
          <w:color w:val="222222"/>
          <w:sz w:val="24"/>
          <w:szCs w:val="24"/>
          <w:highlight w:val="white"/>
        </w:rPr>
        <w:t>9</w:t>
      </w:r>
      <w:r>
        <w:rPr>
          <w:color w:val="222222"/>
          <w:sz w:val="24"/>
          <w:szCs w:val="24"/>
          <w:highlight w:val="white"/>
        </w:rPr>
        <w:t>, 1-14 (2009).</w:t>
      </w:r>
    </w:p>
    <w:p w14:paraId="222876C9"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Dumont DJ, Yamaguchi TP, Conlon RA, Rossant J, Breitman ML. tek, a novel tyrosine kinase gene located on mouse chromosome 4, is expressed in endothelial cells and their presumptive precursors. </w:t>
      </w:r>
      <w:r>
        <w:rPr>
          <w:i/>
          <w:color w:val="222222"/>
          <w:sz w:val="24"/>
          <w:szCs w:val="24"/>
          <w:highlight w:val="white"/>
        </w:rPr>
        <w:t>Oncogene</w:t>
      </w:r>
      <w:r>
        <w:rPr>
          <w:color w:val="222222"/>
          <w:sz w:val="24"/>
          <w:szCs w:val="24"/>
          <w:highlight w:val="white"/>
        </w:rPr>
        <w:t xml:space="preserve"> </w:t>
      </w:r>
      <w:r>
        <w:rPr>
          <w:b/>
          <w:color w:val="222222"/>
          <w:sz w:val="24"/>
          <w:szCs w:val="24"/>
          <w:highlight w:val="white"/>
        </w:rPr>
        <w:t>7</w:t>
      </w:r>
      <w:r>
        <w:rPr>
          <w:color w:val="222222"/>
          <w:sz w:val="24"/>
          <w:szCs w:val="24"/>
          <w:highlight w:val="white"/>
        </w:rPr>
        <w:t>,1471-1480 (1992).</w:t>
      </w:r>
    </w:p>
    <w:p w14:paraId="0561C268"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Nitta T, Hata M, Gotoh S, Seo Y, Sasaki H, Hashimoto N, Furuse M, Tsukita S. Size-selective loosening of the blood-brain barrier in claudin-5–deficient mice. </w:t>
      </w:r>
      <w:r>
        <w:rPr>
          <w:i/>
          <w:color w:val="222222"/>
          <w:sz w:val="24"/>
          <w:szCs w:val="24"/>
        </w:rPr>
        <w:t>J. Cell Biol</w:t>
      </w:r>
      <w:r>
        <w:rPr>
          <w:i/>
          <w:color w:val="222222"/>
          <w:sz w:val="24"/>
          <w:szCs w:val="24"/>
          <w:highlight w:val="white"/>
        </w:rPr>
        <w:t>.</w:t>
      </w:r>
      <w:r>
        <w:rPr>
          <w:color w:val="222222"/>
          <w:sz w:val="24"/>
          <w:szCs w:val="24"/>
          <w:highlight w:val="white"/>
        </w:rPr>
        <w:t xml:space="preserve"> </w:t>
      </w:r>
      <w:r>
        <w:rPr>
          <w:b/>
          <w:color w:val="222222"/>
          <w:sz w:val="24"/>
          <w:szCs w:val="24"/>
          <w:highlight w:val="white"/>
        </w:rPr>
        <w:t>161</w:t>
      </w:r>
      <w:r>
        <w:rPr>
          <w:color w:val="222222"/>
          <w:sz w:val="24"/>
          <w:szCs w:val="24"/>
          <w:highlight w:val="white"/>
        </w:rPr>
        <w:t>, 653-660 (2003).</w:t>
      </w:r>
    </w:p>
    <w:p w14:paraId="126BCAE7"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Behrens J, Von Kries JP, Kühl M, Bruhn L, Wedlich D, Grosschedl R, Birchmeier W. Functional interaction of β-catenin with the transcription factor LEF-1. </w:t>
      </w:r>
      <w:r>
        <w:rPr>
          <w:i/>
          <w:color w:val="222222"/>
          <w:sz w:val="24"/>
          <w:szCs w:val="24"/>
          <w:highlight w:val="white"/>
        </w:rPr>
        <w:t>Nature</w:t>
      </w:r>
      <w:r>
        <w:rPr>
          <w:color w:val="222222"/>
          <w:sz w:val="24"/>
          <w:szCs w:val="24"/>
          <w:highlight w:val="white"/>
        </w:rPr>
        <w:t xml:space="preserve"> </w:t>
      </w:r>
      <w:r>
        <w:rPr>
          <w:b/>
          <w:color w:val="222222"/>
          <w:sz w:val="24"/>
          <w:szCs w:val="24"/>
          <w:highlight w:val="white"/>
        </w:rPr>
        <w:t>382</w:t>
      </w:r>
      <w:r>
        <w:rPr>
          <w:color w:val="222222"/>
          <w:sz w:val="24"/>
          <w:szCs w:val="24"/>
          <w:highlight w:val="white"/>
        </w:rPr>
        <w:t>, 638-642 (1996).</w:t>
      </w:r>
    </w:p>
    <w:p w14:paraId="4C53BF75"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Hupe M, Li MX, Kneitz S, Davydova D, Yokota C, Kele J, Hot B, Stenman JM, Gessler M. Gene expression profiles of brain endothelial cells during embryonic development at bulk and single-cell levels. </w:t>
      </w:r>
      <w:r>
        <w:rPr>
          <w:i/>
          <w:color w:val="222222"/>
          <w:sz w:val="24"/>
          <w:szCs w:val="24"/>
          <w:highlight w:val="white"/>
        </w:rPr>
        <w:t>Sci. Signal.</w:t>
      </w:r>
      <w:r>
        <w:rPr>
          <w:color w:val="222222"/>
          <w:sz w:val="24"/>
          <w:szCs w:val="24"/>
          <w:highlight w:val="white"/>
        </w:rPr>
        <w:t xml:space="preserve"> </w:t>
      </w:r>
      <w:r>
        <w:rPr>
          <w:b/>
          <w:color w:val="222222"/>
          <w:sz w:val="24"/>
          <w:szCs w:val="24"/>
          <w:highlight w:val="white"/>
        </w:rPr>
        <w:t>10</w:t>
      </w:r>
      <w:r>
        <w:rPr>
          <w:color w:val="222222"/>
          <w:sz w:val="24"/>
          <w:szCs w:val="24"/>
          <w:highlight w:val="white"/>
        </w:rPr>
        <w:t>, eaag2476 (2017).</w:t>
      </w:r>
    </w:p>
    <w:p w14:paraId="43E4C68B"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Terstappen GC, Meyer AH, Bell RD, Zhang W. Strategies for delivering therapeutics across the blood–brain barrier. </w:t>
      </w:r>
      <w:r>
        <w:rPr>
          <w:i/>
          <w:color w:val="222222"/>
          <w:sz w:val="24"/>
          <w:szCs w:val="24"/>
        </w:rPr>
        <w:t>Nat. Rev. Drug Discov</w:t>
      </w:r>
      <w:r>
        <w:rPr>
          <w:color w:val="222222"/>
          <w:sz w:val="24"/>
          <w:szCs w:val="24"/>
          <w:highlight w:val="white"/>
        </w:rPr>
        <w:t xml:space="preserve">. </w:t>
      </w:r>
      <w:r>
        <w:rPr>
          <w:b/>
          <w:color w:val="222222"/>
          <w:sz w:val="24"/>
          <w:szCs w:val="24"/>
          <w:highlight w:val="white"/>
        </w:rPr>
        <w:t>20</w:t>
      </w:r>
      <w:r>
        <w:rPr>
          <w:color w:val="222222"/>
          <w:sz w:val="24"/>
          <w:szCs w:val="24"/>
          <w:highlight w:val="white"/>
        </w:rPr>
        <w:t>, 362-383 (2021).</w:t>
      </w:r>
    </w:p>
    <w:p w14:paraId="3AA19092"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Roberts LM, Woodford K, Zhou M, Black DS, Haggerty JE, Tate EH, Grindstaff KK, Mengesha W, Raman C, Zerangue N. Expression of the thyroid hormone transporters monocarboxylate transporter-8 (SLC16A2) and organic ion transporter-14 (SLCO1C1) at the blood-brain barrier. </w:t>
      </w:r>
      <w:r>
        <w:rPr>
          <w:i/>
          <w:color w:val="222222"/>
          <w:sz w:val="24"/>
          <w:szCs w:val="24"/>
          <w:highlight w:val="white"/>
        </w:rPr>
        <w:t>Endocrinology</w:t>
      </w:r>
      <w:r>
        <w:rPr>
          <w:color w:val="222222"/>
          <w:sz w:val="24"/>
          <w:szCs w:val="24"/>
          <w:highlight w:val="white"/>
        </w:rPr>
        <w:t xml:space="preserve"> </w:t>
      </w:r>
      <w:r>
        <w:rPr>
          <w:b/>
          <w:color w:val="222222"/>
          <w:sz w:val="24"/>
          <w:szCs w:val="24"/>
          <w:highlight w:val="white"/>
        </w:rPr>
        <w:t>149</w:t>
      </w:r>
      <w:r>
        <w:rPr>
          <w:color w:val="222222"/>
          <w:sz w:val="24"/>
          <w:szCs w:val="24"/>
          <w:highlight w:val="white"/>
        </w:rPr>
        <w:t>, 6251-6261 (2008).</w:t>
      </w:r>
    </w:p>
    <w:p w14:paraId="63341537"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sidRPr="00EC7214">
        <w:rPr>
          <w:color w:val="222222"/>
          <w:sz w:val="24"/>
          <w:szCs w:val="24"/>
          <w:highlight w:val="white"/>
          <w:lang w:val="sv-SE"/>
        </w:rPr>
        <w:t xml:space="preserve">Stan RV, Kubitza M, Palade GE. </w:t>
      </w:r>
      <w:r>
        <w:rPr>
          <w:color w:val="222222"/>
          <w:sz w:val="24"/>
          <w:szCs w:val="24"/>
          <w:highlight w:val="white"/>
        </w:rPr>
        <w:t xml:space="preserve">PV-1 is a component of the fenestral and stomatal diaphragms in fenestrated endothelia. </w:t>
      </w:r>
      <w:r>
        <w:rPr>
          <w:i/>
          <w:color w:val="242424"/>
          <w:sz w:val="24"/>
          <w:szCs w:val="24"/>
        </w:rPr>
        <w:t>Proc Natl Acad Sci USA</w:t>
      </w:r>
      <w:r>
        <w:rPr>
          <w:color w:val="242424"/>
          <w:sz w:val="24"/>
          <w:szCs w:val="24"/>
        </w:rPr>
        <w:t xml:space="preserve"> </w:t>
      </w:r>
      <w:r>
        <w:rPr>
          <w:b/>
          <w:color w:val="222222"/>
          <w:sz w:val="24"/>
          <w:szCs w:val="24"/>
          <w:highlight w:val="white"/>
        </w:rPr>
        <w:t>96</w:t>
      </w:r>
      <w:r>
        <w:rPr>
          <w:color w:val="222222"/>
          <w:sz w:val="24"/>
          <w:szCs w:val="24"/>
          <w:highlight w:val="white"/>
        </w:rPr>
        <w:t>, 13203-13207 (1999).</w:t>
      </w:r>
    </w:p>
    <w:p w14:paraId="601ED990"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Rustenhoven J, Drieu A, Mamuladze T, de Lima KA, Dykstra T, Wall M, Papadopoulos Z, Kanamori M, Salvador AF, Baker W, Lemieux M. Functional characterization of the dural sinuses as a neuroimmune interface. </w:t>
      </w:r>
      <w:r>
        <w:rPr>
          <w:i/>
          <w:color w:val="222222"/>
          <w:sz w:val="24"/>
          <w:szCs w:val="24"/>
          <w:highlight w:val="white"/>
        </w:rPr>
        <w:t xml:space="preserve">Cell </w:t>
      </w:r>
      <w:r>
        <w:rPr>
          <w:b/>
          <w:color w:val="222222"/>
          <w:sz w:val="24"/>
          <w:szCs w:val="24"/>
          <w:highlight w:val="white"/>
        </w:rPr>
        <w:t>184</w:t>
      </w:r>
      <w:r>
        <w:rPr>
          <w:color w:val="222222"/>
          <w:sz w:val="24"/>
          <w:szCs w:val="24"/>
          <w:highlight w:val="white"/>
        </w:rPr>
        <w:t>, 1000-1016 (2021).</w:t>
      </w:r>
    </w:p>
    <w:p w14:paraId="1A8D4973"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Rohlenova K, Goveia J, García-Caballero M, Subramanian A, Kalucka J, Treps L, Falkenberg KD, de Rooij LP, Zheng Y, Lin L, Sokol L. Single-cell RNA sequencing maps endothelial metabolic plasticity in pathological angiogenesis. </w:t>
      </w:r>
      <w:r>
        <w:rPr>
          <w:i/>
          <w:color w:val="222222"/>
          <w:sz w:val="24"/>
          <w:szCs w:val="24"/>
          <w:highlight w:val="white"/>
        </w:rPr>
        <w:t>Cell metab.</w:t>
      </w:r>
      <w:r>
        <w:rPr>
          <w:color w:val="222222"/>
          <w:sz w:val="24"/>
          <w:szCs w:val="24"/>
          <w:highlight w:val="white"/>
        </w:rPr>
        <w:t xml:space="preserve"> </w:t>
      </w:r>
      <w:r>
        <w:rPr>
          <w:b/>
          <w:color w:val="222222"/>
          <w:sz w:val="24"/>
          <w:szCs w:val="24"/>
          <w:highlight w:val="white"/>
        </w:rPr>
        <w:t>31</w:t>
      </w:r>
      <w:r>
        <w:rPr>
          <w:color w:val="222222"/>
          <w:sz w:val="24"/>
          <w:szCs w:val="24"/>
          <w:highlight w:val="white"/>
        </w:rPr>
        <w:t>, 862-877 (2020).</w:t>
      </w:r>
    </w:p>
    <w:p w14:paraId="394775FA"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Wang Y, Chen D, Xu D, Huang C, Xing R, He D, Xu H. Early developing B cells undergo negative selection by central nervous system-specific antigens in the meninges. </w:t>
      </w:r>
      <w:r>
        <w:rPr>
          <w:i/>
          <w:color w:val="222222"/>
          <w:sz w:val="24"/>
          <w:szCs w:val="24"/>
          <w:highlight w:val="white"/>
        </w:rPr>
        <w:t>Immunity</w:t>
      </w:r>
      <w:r>
        <w:rPr>
          <w:color w:val="222222"/>
          <w:sz w:val="24"/>
          <w:szCs w:val="24"/>
          <w:highlight w:val="white"/>
        </w:rPr>
        <w:t xml:space="preserve"> </w:t>
      </w:r>
      <w:r>
        <w:rPr>
          <w:b/>
          <w:color w:val="222222"/>
          <w:sz w:val="24"/>
          <w:szCs w:val="24"/>
          <w:highlight w:val="white"/>
        </w:rPr>
        <w:t>54</w:t>
      </w:r>
      <w:r>
        <w:rPr>
          <w:color w:val="222222"/>
          <w:sz w:val="24"/>
          <w:szCs w:val="24"/>
          <w:highlight w:val="white"/>
        </w:rPr>
        <w:t>, 2784-2794 (2021).</w:t>
      </w:r>
    </w:p>
    <w:p w14:paraId="0585D051"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Ekman N, Lymboussaki A, Västrik I, Sarvas K, Kaipainen A, Alitalo K. Bmx tyrosine kinase is specifically expressed in the endocardium and the endothelium of large arteries. </w:t>
      </w:r>
      <w:r>
        <w:rPr>
          <w:i/>
          <w:color w:val="222222"/>
          <w:sz w:val="24"/>
          <w:szCs w:val="24"/>
          <w:highlight w:val="white"/>
        </w:rPr>
        <w:t>Circulation</w:t>
      </w:r>
      <w:r>
        <w:rPr>
          <w:color w:val="222222"/>
          <w:sz w:val="24"/>
          <w:szCs w:val="24"/>
          <w:highlight w:val="white"/>
        </w:rPr>
        <w:t xml:space="preserve"> </w:t>
      </w:r>
      <w:r>
        <w:rPr>
          <w:b/>
          <w:color w:val="222222"/>
          <w:sz w:val="24"/>
          <w:szCs w:val="24"/>
          <w:highlight w:val="white"/>
        </w:rPr>
        <w:t>96</w:t>
      </w:r>
      <w:r>
        <w:rPr>
          <w:color w:val="222222"/>
          <w:sz w:val="24"/>
          <w:szCs w:val="24"/>
          <w:highlight w:val="white"/>
        </w:rPr>
        <w:t>,1729-1732 (1997).</w:t>
      </w:r>
    </w:p>
    <w:p w14:paraId="79955464"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Hogan BM, Herpers R, Witte M, Heloterä H, Alitalo K, Duckers HJ, Schulte-Merker S. Vegfc/Flt4 signalling is suppressed by Dll4 in developing zebrafish intersegmental arteries. </w:t>
      </w:r>
      <w:r>
        <w:rPr>
          <w:i/>
          <w:color w:val="222222"/>
          <w:sz w:val="24"/>
          <w:szCs w:val="24"/>
          <w:highlight w:val="white"/>
        </w:rPr>
        <w:t>Development</w:t>
      </w:r>
      <w:r>
        <w:rPr>
          <w:color w:val="222222"/>
          <w:sz w:val="24"/>
          <w:szCs w:val="24"/>
          <w:highlight w:val="white"/>
        </w:rPr>
        <w:t xml:space="preserve"> </w:t>
      </w:r>
      <w:r>
        <w:rPr>
          <w:b/>
          <w:color w:val="222222"/>
          <w:sz w:val="24"/>
          <w:szCs w:val="24"/>
          <w:highlight w:val="white"/>
        </w:rPr>
        <w:t>136</w:t>
      </w:r>
      <w:r>
        <w:rPr>
          <w:color w:val="222222"/>
          <w:sz w:val="24"/>
          <w:szCs w:val="24"/>
          <w:highlight w:val="white"/>
        </w:rPr>
        <w:t>, 4001-4009 (2009).</w:t>
      </w:r>
    </w:p>
    <w:p w14:paraId="70D37D88"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lastRenderedPageBreak/>
        <w:t xml:space="preserve">Liu H, Kennard S, Lilly B. NOTCH3 expression is induced in mural cells through an autoregulatory loop that requires endothelial-expressed JAGGED1. </w:t>
      </w:r>
      <w:r>
        <w:rPr>
          <w:i/>
          <w:color w:val="222222"/>
          <w:sz w:val="24"/>
          <w:szCs w:val="24"/>
          <w:highlight w:val="white"/>
        </w:rPr>
        <w:t>Circ. Res.</w:t>
      </w:r>
      <w:r>
        <w:rPr>
          <w:color w:val="222222"/>
          <w:sz w:val="24"/>
          <w:szCs w:val="24"/>
          <w:highlight w:val="white"/>
        </w:rPr>
        <w:t xml:space="preserve"> </w:t>
      </w:r>
      <w:r>
        <w:rPr>
          <w:b/>
          <w:color w:val="222222"/>
          <w:sz w:val="24"/>
          <w:szCs w:val="24"/>
          <w:highlight w:val="white"/>
        </w:rPr>
        <w:t>104</w:t>
      </w:r>
      <w:r>
        <w:rPr>
          <w:color w:val="222222"/>
          <w:sz w:val="24"/>
          <w:szCs w:val="24"/>
          <w:highlight w:val="white"/>
        </w:rPr>
        <w:t>, 466-475 (2009).</w:t>
      </w:r>
    </w:p>
    <w:p w14:paraId="7C83B853"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DeSisto J, O’Rourke R, Jones HE, Pawlikowski B, Malek AD, Bonney S, Guimiot F, Jones KL, Siegenthaler JA. Single-cell transcriptomic analyses of the developing meninges reveal meningeal fibroblast diversity and function</w:t>
      </w:r>
      <w:r>
        <w:rPr>
          <w:i/>
          <w:color w:val="222222"/>
          <w:sz w:val="24"/>
          <w:szCs w:val="24"/>
          <w:highlight w:val="white"/>
        </w:rPr>
        <w:t>. Dev. cell.</w:t>
      </w:r>
      <w:r>
        <w:rPr>
          <w:color w:val="222222"/>
          <w:sz w:val="24"/>
          <w:szCs w:val="24"/>
          <w:highlight w:val="white"/>
        </w:rPr>
        <w:t xml:space="preserve"> </w:t>
      </w:r>
      <w:r>
        <w:rPr>
          <w:b/>
          <w:color w:val="222222"/>
          <w:sz w:val="24"/>
          <w:szCs w:val="24"/>
          <w:highlight w:val="white"/>
        </w:rPr>
        <w:t>54</w:t>
      </w:r>
      <w:r>
        <w:rPr>
          <w:color w:val="222222"/>
          <w:sz w:val="24"/>
          <w:szCs w:val="24"/>
          <w:highlight w:val="white"/>
        </w:rPr>
        <w:t>, 43-59 (2020).</w:t>
      </w:r>
    </w:p>
    <w:p w14:paraId="644333F9"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La Manno G, Siletti K, Furlan A, Gyllborg D, Vinsland E, Mossi Albiach A, Mattsson Langseth C, Khven I, Lederer AR, Dratva LM, Johnsson A. </w:t>
      </w:r>
      <w:bookmarkStart w:id="0" w:name="bookmark=id.tyjcwt" w:colFirst="0" w:colLast="0"/>
      <w:bookmarkEnd w:id="0"/>
      <w:r>
        <w:rPr>
          <w:color w:val="222222"/>
          <w:sz w:val="24"/>
          <w:szCs w:val="24"/>
          <w:highlight w:val="white"/>
        </w:rPr>
        <w:t xml:space="preserve">Molecular architecture of the developing mouse brain. </w:t>
      </w:r>
      <w:r>
        <w:rPr>
          <w:i/>
          <w:color w:val="222222"/>
          <w:sz w:val="24"/>
          <w:szCs w:val="24"/>
          <w:highlight w:val="white"/>
        </w:rPr>
        <w:t>Nature</w:t>
      </w:r>
      <w:r>
        <w:rPr>
          <w:color w:val="222222"/>
          <w:sz w:val="24"/>
          <w:szCs w:val="24"/>
          <w:highlight w:val="white"/>
        </w:rPr>
        <w:t xml:space="preserve"> </w:t>
      </w:r>
      <w:r>
        <w:rPr>
          <w:b/>
          <w:color w:val="222222"/>
          <w:sz w:val="24"/>
          <w:szCs w:val="24"/>
          <w:highlight w:val="white"/>
        </w:rPr>
        <w:t>596</w:t>
      </w:r>
      <w:r>
        <w:rPr>
          <w:color w:val="222222"/>
          <w:sz w:val="24"/>
          <w:szCs w:val="24"/>
          <w:highlight w:val="white"/>
        </w:rPr>
        <w:t>, 92-96 (2021).</w:t>
      </w:r>
    </w:p>
    <w:p w14:paraId="012DBFFC"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Dorrier CE, Jones HE, Pintarić L, Siegenthaler JA, Daneman R. Emerging roles for CNS fibroblasts in health, injury and disease. </w:t>
      </w:r>
      <w:r>
        <w:rPr>
          <w:i/>
          <w:color w:val="222222"/>
          <w:sz w:val="24"/>
          <w:szCs w:val="24"/>
          <w:highlight w:val="white"/>
        </w:rPr>
        <w:t>Nat. Rev. Neurosci.</w:t>
      </w:r>
      <w:r>
        <w:rPr>
          <w:color w:val="222222"/>
          <w:sz w:val="24"/>
          <w:szCs w:val="24"/>
          <w:highlight w:val="white"/>
        </w:rPr>
        <w:t xml:space="preserve"> </w:t>
      </w:r>
      <w:r>
        <w:rPr>
          <w:b/>
          <w:color w:val="222222"/>
          <w:sz w:val="24"/>
          <w:szCs w:val="24"/>
          <w:highlight w:val="white"/>
        </w:rPr>
        <w:t>23</w:t>
      </w:r>
      <w:r>
        <w:rPr>
          <w:color w:val="222222"/>
          <w:sz w:val="24"/>
          <w:szCs w:val="24"/>
          <w:highlight w:val="white"/>
        </w:rPr>
        <w:t>, 23-34 (2022).</w:t>
      </w:r>
    </w:p>
    <w:p w14:paraId="532AE8EF"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Derk J, Como CN, Jones HE, Joyce LR, Bonney S, O’Rourke R, Pawlikowski B, Doran KS, Siegenthaler JA. Formation and function of the meninges arachnoid barrier around the developing brain. </w:t>
      </w:r>
      <w:r>
        <w:rPr>
          <w:i/>
          <w:color w:val="222222"/>
          <w:sz w:val="24"/>
          <w:szCs w:val="24"/>
          <w:highlight w:val="white"/>
        </w:rPr>
        <w:t>bioRxiv</w:t>
      </w:r>
      <w:r>
        <w:rPr>
          <w:color w:val="222222"/>
          <w:sz w:val="24"/>
          <w:szCs w:val="24"/>
          <w:highlight w:val="white"/>
        </w:rPr>
        <w:t xml:space="preserve"> (2022). </w:t>
      </w:r>
    </w:p>
    <w:p w14:paraId="3036F01E"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Ducy P, Zhang R, Geoffroy V, Ridall AL, Karsenty G. Osf2/Cbfa1: a transcriptional activator of osteoblast differentiation. </w:t>
      </w:r>
      <w:r>
        <w:rPr>
          <w:i/>
          <w:color w:val="222222"/>
          <w:sz w:val="24"/>
          <w:szCs w:val="24"/>
          <w:highlight w:val="white"/>
        </w:rPr>
        <w:t>Cell</w:t>
      </w:r>
      <w:r>
        <w:rPr>
          <w:color w:val="222222"/>
          <w:sz w:val="24"/>
          <w:szCs w:val="24"/>
          <w:highlight w:val="white"/>
        </w:rPr>
        <w:t xml:space="preserve"> </w:t>
      </w:r>
      <w:r>
        <w:rPr>
          <w:b/>
          <w:color w:val="222222"/>
          <w:sz w:val="24"/>
          <w:szCs w:val="24"/>
          <w:highlight w:val="white"/>
        </w:rPr>
        <w:t>89</w:t>
      </w:r>
      <w:r>
        <w:rPr>
          <w:color w:val="222222"/>
          <w:sz w:val="24"/>
          <w:szCs w:val="24"/>
          <w:highlight w:val="white"/>
        </w:rPr>
        <w:t>, 747-754 (1997).</w:t>
      </w:r>
    </w:p>
    <w:p w14:paraId="46A6854A" w14:textId="2455C24D"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Golub EE, Boesze-Battaglia K. The role of alkaline phosphatase in</w:t>
      </w:r>
      <w:r w:rsidR="00E61EA3">
        <w:rPr>
          <w:color w:val="222222"/>
          <w:sz w:val="24"/>
          <w:szCs w:val="24"/>
          <w:highlight w:val="white"/>
        </w:rPr>
        <w:t xml:space="preserve"> mineralization. </w:t>
      </w:r>
      <w:r>
        <w:rPr>
          <w:i/>
          <w:color w:val="222222"/>
          <w:sz w:val="24"/>
          <w:szCs w:val="24"/>
          <w:highlight w:val="white"/>
        </w:rPr>
        <w:t>Curr. </w:t>
      </w:r>
      <w:r w:rsidR="00E61EA3">
        <w:rPr>
          <w:i/>
          <w:color w:val="222222"/>
          <w:sz w:val="24"/>
          <w:szCs w:val="24"/>
          <w:highlight w:val="white"/>
        </w:rPr>
        <w:t>O</w:t>
      </w:r>
      <w:r>
        <w:rPr>
          <w:i/>
          <w:color w:val="222222"/>
          <w:sz w:val="24"/>
          <w:szCs w:val="24"/>
          <w:highlight w:val="white"/>
        </w:rPr>
        <w:t>pin. </w:t>
      </w:r>
      <w:r w:rsidR="00E61EA3">
        <w:rPr>
          <w:i/>
          <w:color w:val="222222"/>
          <w:sz w:val="24"/>
          <w:szCs w:val="24"/>
          <w:highlight w:val="white"/>
        </w:rPr>
        <w:t>O</w:t>
      </w:r>
      <w:r>
        <w:rPr>
          <w:i/>
          <w:color w:val="222222"/>
          <w:sz w:val="24"/>
          <w:szCs w:val="24"/>
          <w:highlight w:val="white"/>
        </w:rPr>
        <w:t>rthop</w:t>
      </w:r>
      <w:r>
        <w:rPr>
          <w:color w:val="222222"/>
          <w:sz w:val="24"/>
          <w:szCs w:val="24"/>
          <w:highlight w:val="white"/>
        </w:rPr>
        <w:t xml:space="preserve">. </w:t>
      </w:r>
      <w:r>
        <w:rPr>
          <w:b/>
          <w:color w:val="222222"/>
          <w:sz w:val="24"/>
          <w:szCs w:val="24"/>
          <w:highlight w:val="white"/>
        </w:rPr>
        <w:t>18</w:t>
      </w:r>
      <w:r>
        <w:rPr>
          <w:color w:val="222222"/>
          <w:sz w:val="24"/>
          <w:szCs w:val="24"/>
          <w:highlight w:val="white"/>
        </w:rPr>
        <w:t>, 444-448 (2007).</w:t>
      </w:r>
    </w:p>
    <w:p w14:paraId="7D545247"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sidRPr="00EC7214">
        <w:rPr>
          <w:color w:val="222222"/>
          <w:sz w:val="24"/>
          <w:szCs w:val="24"/>
          <w:highlight w:val="white"/>
          <w:lang w:val="de-DE"/>
        </w:rPr>
        <w:t xml:space="preserve">Mullen RJ, Buck CR, Smith AM. </w:t>
      </w:r>
      <w:r>
        <w:rPr>
          <w:color w:val="222222"/>
          <w:sz w:val="24"/>
          <w:szCs w:val="24"/>
          <w:highlight w:val="white"/>
        </w:rPr>
        <w:t xml:space="preserve">NeuN, a neuronal specific nuclear protein in vertebrates. </w:t>
      </w:r>
      <w:r>
        <w:rPr>
          <w:i/>
          <w:color w:val="222222"/>
          <w:sz w:val="24"/>
          <w:szCs w:val="24"/>
          <w:highlight w:val="white"/>
        </w:rPr>
        <w:t>Development</w:t>
      </w:r>
      <w:r>
        <w:rPr>
          <w:color w:val="222222"/>
          <w:sz w:val="24"/>
          <w:szCs w:val="24"/>
          <w:highlight w:val="white"/>
        </w:rPr>
        <w:t xml:space="preserve"> </w:t>
      </w:r>
      <w:r>
        <w:rPr>
          <w:b/>
          <w:color w:val="222222"/>
          <w:sz w:val="24"/>
          <w:szCs w:val="24"/>
          <w:highlight w:val="white"/>
        </w:rPr>
        <w:t>116</w:t>
      </w:r>
      <w:r>
        <w:rPr>
          <w:color w:val="222222"/>
          <w:sz w:val="24"/>
          <w:szCs w:val="24"/>
          <w:highlight w:val="white"/>
        </w:rPr>
        <w:t>, 201-211 (1992).</w:t>
      </w:r>
    </w:p>
    <w:p w14:paraId="26E56B4D"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Chen YJ, Friedman BA, Ha C, Durinck S, Liu J, Rubenstein JL, Seshagiri S, Modrusan Z. Single-cell RNA sequencing identifies distinct mouse medial ganglionic eminence cell types. </w:t>
      </w:r>
      <w:r>
        <w:rPr>
          <w:i/>
          <w:color w:val="222222"/>
          <w:sz w:val="24"/>
          <w:szCs w:val="24"/>
          <w:highlight w:val="white"/>
        </w:rPr>
        <w:t>Sci. Rep.</w:t>
      </w:r>
      <w:r>
        <w:rPr>
          <w:color w:val="222222"/>
          <w:sz w:val="24"/>
          <w:szCs w:val="24"/>
          <w:highlight w:val="white"/>
        </w:rPr>
        <w:t xml:space="preserve"> </w:t>
      </w:r>
      <w:r>
        <w:rPr>
          <w:b/>
          <w:color w:val="222222"/>
          <w:sz w:val="24"/>
          <w:szCs w:val="24"/>
          <w:highlight w:val="white"/>
        </w:rPr>
        <w:t>7</w:t>
      </w:r>
      <w:r>
        <w:rPr>
          <w:color w:val="222222"/>
          <w:sz w:val="24"/>
          <w:szCs w:val="24"/>
          <w:highlight w:val="white"/>
        </w:rPr>
        <w:t>, 1-1 (2017).</w:t>
      </w:r>
    </w:p>
    <w:p w14:paraId="4A52260A"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Eng LF. Glial fibrillary acidic protein (GFAP): the major protein of glial intermediate filaments in differentiated astrocytes. </w:t>
      </w:r>
      <w:r>
        <w:rPr>
          <w:i/>
          <w:color w:val="222222"/>
          <w:sz w:val="24"/>
          <w:szCs w:val="24"/>
          <w:highlight w:val="white"/>
        </w:rPr>
        <w:t>J. Neuroimmunol</w:t>
      </w:r>
      <w:r>
        <w:rPr>
          <w:color w:val="222222"/>
          <w:sz w:val="24"/>
          <w:szCs w:val="24"/>
          <w:highlight w:val="white"/>
        </w:rPr>
        <w:t xml:space="preserve">. </w:t>
      </w:r>
      <w:r>
        <w:rPr>
          <w:b/>
          <w:color w:val="222222"/>
          <w:sz w:val="24"/>
          <w:szCs w:val="24"/>
          <w:highlight w:val="white"/>
        </w:rPr>
        <w:t>8</w:t>
      </w:r>
      <w:r>
        <w:rPr>
          <w:color w:val="222222"/>
          <w:sz w:val="24"/>
          <w:szCs w:val="24"/>
          <w:highlight w:val="white"/>
        </w:rPr>
        <w:t>, 203-214 (1985).</w:t>
      </w:r>
    </w:p>
    <w:p w14:paraId="4C8A28E5"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Rash JE, Yasumura T, Hudson CS, Agre P, Nielsen S. Direct immunogold labeling of aquaporin-4 in square arrays of astrocyte and ependymocyte plasma membranes in rat brain and spinal cord. </w:t>
      </w:r>
      <w:r w:rsidRPr="007A6E40">
        <w:rPr>
          <w:i/>
          <w:iCs/>
          <w:color w:val="222222"/>
          <w:sz w:val="24"/>
          <w:szCs w:val="24"/>
          <w:highlight w:val="white"/>
        </w:rPr>
        <w:t>Proc Natl Acad Sci USA </w:t>
      </w:r>
      <w:r>
        <w:rPr>
          <w:b/>
          <w:color w:val="222222"/>
          <w:sz w:val="24"/>
          <w:szCs w:val="24"/>
          <w:highlight w:val="white"/>
        </w:rPr>
        <w:t>95</w:t>
      </w:r>
      <w:r>
        <w:rPr>
          <w:color w:val="222222"/>
          <w:sz w:val="24"/>
          <w:szCs w:val="24"/>
          <w:highlight w:val="white"/>
        </w:rPr>
        <w:t>, 11981-11986 (1998).</w:t>
      </w:r>
    </w:p>
    <w:p w14:paraId="6B4FBC2B" w14:textId="77777777" w:rsidR="00D92161" w:rsidRDefault="00CD69E5">
      <w:pPr>
        <w:numPr>
          <w:ilvl w:val="0"/>
          <w:numId w:val="1"/>
        </w:numPr>
        <w:pBdr>
          <w:top w:val="nil"/>
          <w:left w:val="nil"/>
          <w:bottom w:val="nil"/>
          <w:right w:val="nil"/>
          <w:between w:val="nil"/>
        </w:pBdr>
        <w:spacing w:after="0"/>
        <w:ind w:left="360"/>
        <w:rPr>
          <w:color w:val="222222"/>
          <w:sz w:val="24"/>
          <w:szCs w:val="24"/>
          <w:highlight w:val="white"/>
        </w:rPr>
      </w:pPr>
      <w:r>
        <w:rPr>
          <w:color w:val="222222"/>
          <w:sz w:val="24"/>
          <w:szCs w:val="24"/>
          <w:highlight w:val="white"/>
        </w:rPr>
        <w:t xml:space="preserve">De Resende MF, Vieira S, Chinen LT, Chiappelli F, da Fonseca FP, Guimarães GC, Soares FA, Neves I, Pagotty S, Pellionisz PA, Barkhordarian A. Prognostication of prostate cancer based on TOP2A protein and gene assessment: TOP2A in prostate cancer. </w:t>
      </w:r>
      <w:r>
        <w:rPr>
          <w:i/>
          <w:color w:val="222222"/>
          <w:sz w:val="24"/>
          <w:szCs w:val="24"/>
          <w:highlight w:val="white"/>
        </w:rPr>
        <w:t>J. Transl. Med.</w:t>
      </w:r>
      <w:r>
        <w:rPr>
          <w:color w:val="222222"/>
          <w:sz w:val="24"/>
          <w:szCs w:val="24"/>
          <w:highlight w:val="white"/>
        </w:rPr>
        <w:t xml:space="preserve"> </w:t>
      </w:r>
      <w:r>
        <w:rPr>
          <w:b/>
          <w:color w:val="222222"/>
          <w:sz w:val="24"/>
          <w:szCs w:val="24"/>
          <w:highlight w:val="white"/>
        </w:rPr>
        <w:t>11</w:t>
      </w:r>
      <w:r>
        <w:rPr>
          <w:color w:val="222222"/>
          <w:sz w:val="24"/>
          <w:szCs w:val="24"/>
          <w:highlight w:val="white"/>
        </w:rPr>
        <w:t>, 1-9 (2013).</w:t>
      </w:r>
    </w:p>
    <w:p w14:paraId="6CF2BBCC" w14:textId="77777777" w:rsidR="00D92161" w:rsidRDefault="00CD69E5">
      <w:pPr>
        <w:numPr>
          <w:ilvl w:val="0"/>
          <w:numId w:val="1"/>
        </w:numPr>
        <w:pBdr>
          <w:top w:val="nil"/>
          <w:left w:val="nil"/>
          <w:bottom w:val="nil"/>
          <w:right w:val="nil"/>
          <w:between w:val="nil"/>
        </w:pBdr>
        <w:ind w:left="360"/>
        <w:rPr>
          <w:color w:val="222222"/>
          <w:sz w:val="24"/>
          <w:szCs w:val="24"/>
          <w:highlight w:val="white"/>
        </w:rPr>
      </w:pPr>
      <w:r>
        <w:rPr>
          <w:color w:val="222222"/>
          <w:sz w:val="24"/>
          <w:szCs w:val="24"/>
          <w:highlight w:val="white"/>
        </w:rPr>
        <w:t xml:space="preserve">Gerdes J, Li L, Schlueter C, Duchrow M, Wohlenberg C, Gerlach C, Stahmer I, Kloth S, Brandt E, Flad H. Immunobiochemical and molecular biologic characterization of the cell proliferation-associated nuclear antigen that is defined by monoclonal antibody Ki-67. </w:t>
      </w:r>
      <w:r>
        <w:rPr>
          <w:i/>
          <w:color w:val="222222"/>
          <w:sz w:val="24"/>
          <w:szCs w:val="24"/>
        </w:rPr>
        <w:t>Am. J. Pathol</w:t>
      </w:r>
      <w:r>
        <w:rPr>
          <w:i/>
          <w:color w:val="222222"/>
          <w:sz w:val="24"/>
          <w:szCs w:val="24"/>
          <w:highlight w:val="white"/>
        </w:rPr>
        <w:t>.</w:t>
      </w:r>
      <w:r>
        <w:rPr>
          <w:color w:val="222222"/>
          <w:sz w:val="24"/>
          <w:szCs w:val="24"/>
          <w:highlight w:val="white"/>
        </w:rPr>
        <w:t xml:space="preserve"> </w:t>
      </w:r>
      <w:r>
        <w:rPr>
          <w:b/>
          <w:color w:val="222222"/>
          <w:sz w:val="24"/>
          <w:szCs w:val="24"/>
          <w:highlight w:val="white"/>
        </w:rPr>
        <w:t>138</w:t>
      </w:r>
      <w:r>
        <w:rPr>
          <w:color w:val="222222"/>
          <w:sz w:val="24"/>
          <w:szCs w:val="24"/>
          <w:highlight w:val="white"/>
        </w:rPr>
        <w:t>, 867 (1991).</w:t>
      </w:r>
    </w:p>
    <w:p w14:paraId="371B7CD1" w14:textId="77777777" w:rsidR="00D92161" w:rsidRDefault="00D92161">
      <w:pPr>
        <w:rPr>
          <w:color w:val="222222"/>
          <w:sz w:val="24"/>
          <w:szCs w:val="24"/>
          <w:highlight w:val="white"/>
        </w:rPr>
      </w:pPr>
    </w:p>
    <w:sectPr w:rsidR="00D921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C198A"/>
    <w:multiLevelType w:val="multilevel"/>
    <w:tmpl w:val="02249B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161"/>
    <w:rsid w:val="00241AE0"/>
    <w:rsid w:val="005411BF"/>
    <w:rsid w:val="007A6E40"/>
    <w:rsid w:val="007F7535"/>
    <w:rsid w:val="00997BE5"/>
    <w:rsid w:val="00CD69E5"/>
    <w:rsid w:val="00D92161"/>
    <w:rsid w:val="00E61EA3"/>
    <w:rsid w:val="00EC7214"/>
    <w:rsid w:val="00FF2A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331F"/>
  <w15:docId w15:val="{44D31213-CF09-4A4A-BA4F-79910F8B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B6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CD5"/>
    <w:pPr>
      <w:ind w:left="720"/>
      <w:contextualSpacing/>
    </w:pPr>
    <w:rPr>
      <w:rFonts w:eastAsiaTheme="minorHAnsi"/>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k7H/kDxq5N5i3AE3z3xtFoiwXg==">AMUW2mVy3dxziZmIc/csF7FEl5uzuY+Ict4GWdc8HvVZV2wHrY9Oy6qcm7UOLvbpaFy7QAo0nS8g2Ml+w2jU9+vOfSQuO4GUDQxHwjDg+NfRvDvMX0SHKaWXCP/cBKMZ0RUwyvx8kgtj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1824</Words>
  <Characters>10400</Characters>
  <Application>Microsoft Office Word</Application>
  <DocSecurity>0</DocSecurity>
  <Lines>86</Lines>
  <Paragraphs>24</Paragraphs>
  <ScaleCrop>false</ScaleCrop>
  <Company/>
  <LinksUpToDate>false</LinksUpToDate>
  <CharactersWithSpaces>12200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 Wang</dc:creator>
  <cp:lastModifiedBy>Jeremy Nathans</cp:lastModifiedBy>
  <cp:revision>2</cp:revision>
  <dcterms:created xsi:type="dcterms:W3CDTF">2023-04-21T16:48:00Z</dcterms:created>
  <dcterms:modified xsi:type="dcterms:W3CDTF">2023-04-21T16:48:00Z</dcterms:modified>
</cp:coreProperties>
</file>