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1B768AA"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6FC33EB"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 main text and Methods section (Enrichment of Bb from feeding ticks)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DC5FF0"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(RT-qPCR measuring Bb enrichment)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BBA93B"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C8E6A0"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E65E0E0"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(Tick feeding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A5B904"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DB3C33"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BC18DC" w:rsidR="00F102CC" w:rsidRPr="003D5AF6" w:rsidRDefault="00CA6EB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(B. burgdorferi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483D76" w:rsidR="00F102CC" w:rsidRPr="00CA6EBA" w:rsidRDefault="00CA6EBA">
            <w:pPr>
              <w:rPr>
                <w:rFonts w:ascii="Noto Sans" w:eastAsia="Noto Sans" w:hAnsi="Noto Sans" w:cs="Noto Sans"/>
                <w:bCs/>
                <w:color w:val="434343"/>
                <w:sz w:val="18"/>
                <w:szCs w:val="18"/>
              </w:rPr>
            </w:pPr>
            <w:r w:rsidRPr="00CA6EBA">
              <w:rPr>
                <w:rFonts w:ascii="Noto Sans" w:eastAsia="Noto Sans" w:hAnsi="Noto Sans" w:cs="Noto Sans"/>
                <w:bCs/>
                <w:color w:val="434343"/>
                <w:sz w:val="18"/>
                <w:szCs w:val="18"/>
              </w:rPr>
              <w:t>Does not apply</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D2629D"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ACDCFDA"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(Enrichment of Bb from feeding ticks)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9709C8"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376BB3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0A8AD1" w:rsidR="00F102CC" w:rsidRPr="00CA6EBA" w:rsidRDefault="00CA6EBA">
            <w:pPr>
              <w:spacing w:line="225" w:lineRule="auto"/>
              <w:rPr>
                <w:rFonts w:ascii="Noto Sans" w:eastAsia="Noto Sans" w:hAnsi="Noto Sans" w:cs="Noto Sans"/>
                <w:bCs/>
                <w:color w:val="434343"/>
                <w:sz w:val="18"/>
                <w:szCs w:val="18"/>
              </w:rPr>
            </w:pPr>
            <w:r w:rsidRPr="00CA6EBA">
              <w:rPr>
                <w:rFonts w:ascii="Noto Sans" w:eastAsia="Noto Sans" w:hAnsi="Noto Sans" w:cs="Noto Sans"/>
                <w:bCs/>
                <w:color w:val="434343"/>
                <w:sz w:val="18"/>
                <w:szCs w:val="18"/>
              </w:rPr>
              <w:t>Does not apply</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BF7C120"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F083E7"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B1C0A0"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C1A8204"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described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684E44"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9502F0"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(Tick feeding experiments), IACUC protocol is AN183452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AD403B"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96623A"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0774D5"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B864ED"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0AC163"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(RNA-seq library preparation and sequencing, Mass spectrometry of Bb-enriched samples)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31BA41"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6CDD57"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92C2D4E"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(RNA-seq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C585424" w:rsidR="00F102CC" w:rsidRPr="00CA6EBA"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(RNA-seq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91E8467"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(RNA-seq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FBF6E0" w:rsidR="00F102CC" w:rsidRPr="003D5AF6" w:rsidRDefault="00CA6E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0CD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E873" w14:textId="77777777" w:rsidR="00FF0CDD" w:rsidRDefault="00FF0CDD">
      <w:r>
        <w:separator/>
      </w:r>
    </w:p>
  </w:endnote>
  <w:endnote w:type="continuationSeparator" w:id="0">
    <w:p w14:paraId="5B145AB1" w14:textId="77777777" w:rsidR="00FF0CDD" w:rsidRDefault="00FF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7018" w14:textId="77777777" w:rsidR="00FF0CDD" w:rsidRDefault="00FF0CDD">
      <w:r>
        <w:separator/>
      </w:r>
    </w:p>
  </w:footnote>
  <w:footnote w:type="continuationSeparator" w:id="0">
    <w:p w14:paraId="2278531A" w14:textId="77777777" w:rsidR="00FF0CDD" w:rsidRDefault="00FF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7770153">
    <w:abstractNumId w:val="2"/>
  </w:num>
  <w:num w:numId="2" w16cid:durableId="1089162191">
    <w:abstractNumId w:val="0"/>
  </w:num>
  <w:num w:numId="3" w16cid:durableId="396827117">
    <w:abstractNumId w:val="1"/>
  </w:num>
  <w:num w:numId="4" w16cid:durableId="104937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A7ED7"/>
    <w:rsid w:val="007054B6"/>
    <w:rsid w:val="009C7B26"/>
    <w:rsid w:val="00A11E52"/>
    <w:rsid w:val="00BB34B7"/>
    <w:rsid w:val="00BD41E9"/>
    <w:rsid w:val="00C84413"/>
    <w:rsid w:val="00CA6EBA"/>
    <w:rsid w:val="00F102CC"/>
    <w:rsid w:val="00F91042"/>
    <w:rsid w:val="00FF0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Sapiro</cp:lastModifiedBy>
  <cp:revision>7</cp:revision>
  <dcterms:created xsi:type="dcterms:W3CDTF">2022-02-28T12:21:00Z</dcterms:created>
  <dcterms:modified xsi:type="dcterms:W3CDTF">2023-04-13T16:52:00Z</dcterms:modified>
</cp:coreProperties>
</file>