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70" w:type="dxa"/>
        <w:tblInd w:w="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834"/>
        <w:gridCol w:w="1260"/>
        <w:gridCol w:w="4320"/>
      </w:tblGrid>
      <w:tr w:rsidR="00A935EE" w:rsidRPr="007E761F" w14:paraId="31ED545C" w14:textId="77777777" w:rsidTr="008975D1"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6C0397FF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#</w:t>
            </w:r>
          </w:p>
        </w:tc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60EAFB95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 xml:space="preserve">Common sources of Diacetyl 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31C27D57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AVG Diacetyl (ppm)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32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0D4F2FE6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References</w:t>
            </w:r>
          </w:p>
        </w:tc>
      </w:tr>
      <w:tr w:rsidR="00A935EE" w:rsidRPr="007E761F" w14:paraId="364F6E5E" w14:textId="77777777" w:rsidTr="008975D1">
        <w:tblPrEx>
          <w:tblBorders>
            <w:top w:val="none" w:sz="0" w:space="0" w:color="auto"/>
          </w:tblBorders>
        </w:tblPrEx>
        <w:tc>
          <w:tcPr>
            <w:tcW w:w="956" w:type="dxa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78CA2409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1</w:t>
            </w:r>
          </w:p>
        </w:tc>
        <w:tc>
          <w:tcPr>
            <w:tcW w:w="1834" w:type="dxa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7DD56C92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color="FFFFFF"/>
              </w:rPr>
              <w:t>Starter Distillates (SDL) in Dairy Product Production</w:t>
            </w:r>
          </w:p>
        </w:tc>
        <w:tc>
          <w:tcPr>
            <w:tcW w:w="1260" w:type="dxa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7FB30E41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val="single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/>
              </w:rPr>
              <w:t>1.2-22,000</w:t>
            </w:r>
          </w:p>
        </w:tc>
        <w:tc>
          <w:tcPr>
            <w:tcW w:w="4320" w:type="dxa"/>
            <w:tcBorders>
              <w:top w:val="single" w:sz="3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1336BF23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color="FFFFFF"/>
              </w:rPr>
              <w:t>Rincon-Delgadillo, M. I., Lopez-Hernandez, A., Wijaya, I., &amp; Rankin, S. A. (2012). Diacetyl levels and volatile profiles of commercial starter distillates and selected dairy foods. </w:t>
            </w:r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FFFFFF"/>
              </w:rPr>
              <w:t>Journal of dairy science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FFFFFF"/>
              </w:rPr>
              <w:t>, </w:t>
            </w:r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FFFFFF"/>
              </w:rPr>
              <w:t>95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FFFFFF"/>
              </w:rPr>
              <w:t>(3), 1128-1139.</w:t>
            </w:r>
          </w:p>
        </w:tc>
      </w:tr>
      <w:tr w:rsidR="00A935EE" w:rsidRPr="007E761F" w14:paraId="45E39FEF" w14:textId="77777777" w:rsidTr="008975D1">
        <w:tblPrEx>
          <w:tblBorders>
            <w:top w:val="none" w:sz="0" w:space="0" w:color="auto"/>
          </w:tblBorders>
        </w:tblPrEx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2049DF05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2</w:t>
            </w:r>
          </w:p>
        </w:tc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4CFD989C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Mainstream cigarette smoke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37D471B0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250-361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6C1A3EAF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Pierce, J.S., et al., </w:t>
            </w:r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000000"/>
              </w:rPr>
              <w:t>Diacetyl and 2,3-pentanedione exposures associated with cigarette smoking: implications for risk assessment of food and flavoring workers.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 Crit Rev </w:t>
            </w:r>
            <w:proofErr w:type="spellStart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Toxicol</w:t>
            </w:r>
            <w:proofErr w:type="spellEnd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, 2014. </w:t>
            </w:r>
            <w:r w:rsidRPr="007E761F">
              <w:rPr>
                <w:rFonts w:ascii="Calibri" w:eastAsiaTheme="minorHAnsi" w:hAnsi="Calibri" w:cs="Calibri"/>
                <w:b/>
                <w:bCs/>
                <w:color w:val="000000"/>
                <w:sz w:val="20"/>
                <w:u w:color="000000"/>
              </w:rPr>
              <w:t>44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(5): p. 420-35.</w:t>
            </w:r>
          </w:p>
        </w:tc>
      </w:tr>
      <w:tr w:rsidR="00A935EE" w:rsidRPr="007E761F" w14:paraId="0DC93FBD" w14:textId="77777777" w:rsidTr="008975D1">
        <w:tblPrEx>
          <w:tblBorders>
            <w:top w:val="none" w:sz="0" w:space="0" w:color="auto"/>
          </w:tblBorders>
        </w:tblPrEx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487B5E14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3</w:t>
            </w:r>
          </w:p>
        </w:tc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3FD4FF54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Microwave Popcorn Facility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69542017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1-57.2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5B6005BE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Kanwal, R., et al., </w:t>
            </w:r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000000"/>
              </w:rPr>
              <w:t>Occupational Lung Disease Risk and Exposure to Butter-Flavoring Chemicals After Implementation of Controls at a Microwave Popcorn Plant.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 Public Health Reports, 2011. </w:t>
            </w:r>
            <w:r w:rsidRPr="007E761F">
              <w:rPr>
                <w:rFonts w:ascii="Calibri" w:eastAsiaTheme="minorHAnsi" w:hAnsi="Calibri" w:cs="Calibri"/>
                <w:b/>
                <w:bCs/>
                <w:color w:val="000000"/>
                <w:sz w:val="20"/>
                <w:u w:color="000000"/>
              </w:rPr>
              <w:t>126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(4): p. 480-494.</w:t>
            </w:r>
          </w:p>
        </w:tc>
      </w:tr>
      <w:tr w:rsidR="00A935EE" w:rsidRPr="007E761F" w14:paraId="7700F7A2" w14:textId="77777777" w:rsidTr="008975D1">
        <w:tblPrEx>
          <w:tblBorders>
            <w:top w:val="none" w:sz="0" w:space="0" w:color="auto"/>
          </w:tblBorders>
        </w:tblPrEx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7C9EF6D8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4</w:t>
            </w:r>
          </w:p>
        </w:tc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7970BDB8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Baked goods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752B226B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44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12D45657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Hall, R.L. and B.L. </w:t>
            </w:r>
            <w:proofErr w:type="spellStart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Oser</w:t>
            </w:r>
            <w:proofErr w:type="spellEnd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, </w:t>
            </w:r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000000"/>
              </w:rPr>
              <w:t>Recent Progress in Consideration of Flavoring Ingredients under Food Additives Amendment .3. Gras Substances.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 Food Technology, 1965. </w:t>
            </w:r>
            <w:r w:rsidRPr="007E761F">
              <w:rPr>
                <w:rFonts w:ascii="Calibri" w:eastAsiaTheme="minorHAnsi" w:hAnsi="Calibri" w:cs="Calibri"/>
                <w:b/>
                <w:bCs/>
                <w:color w:val="000000"/>
                <w:sz w:val="20"/>
                <w:u w:color="000000"/>
              </w:rPr>
              <w:t>19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(2p2): p. 151-&amp;.</w:t>
            </w:r>
          </w:p>
        </w:tc>
      </w:tr>
      <w:tr w:rsidR="00A935EE" w:rsidRPr="007E761F" w14:paraId="2AD71783" w14:textId="77777777" w:rsidTr="008975D1">
        <w:tblPrEx>
          <w:tblBorders>
            <w:top w:val="none" w:sz="0" w:space="0" w:color="auto"/>
          </w:tblBorders>
        </w:tblPrEx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7B28EC3F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5</w:t>
            </w:r>
          </w:p>
        </w:tc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6BFC2A64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Candy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43F321C2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21-35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6162EAD0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Hall, R.L. and B.L. </w:t>
            </w:r>
            <w:proofErr w:type="spellStart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Oser</w:t>
            </w:r>
            <w:proofErr w:type="spellEnd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, </w:t>
            </w:r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000000"/>
              </w:rPr>
              <w:t>Recent Progress in Consideration of Flavoring Ingredients under Food Additives Amendment .3. Gras Substances.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 Food Technology, 1965. </w:t>
            </w:r>
            <w:r w:rsidRPr="007E761F">
              <w:rPr>
                <w:rFonts w:ascii="Calibri" w:eastAsiaTheme="minorHAnsi" w:hAnsi="Calibri" w:cs="Calibri"/>
                <w:b/>
                <w:bCs/>
                <w:color w:val="000000"/>
                <w:sz w:val="20"/>
                <w:u w:color="000000"/>
              </w:rPr>
              <w:t>19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(2p2): p. 151-&amp;.</w:t>
            </w:r>
          </w:p>
        </w:tc>
      </w:tr>
      <w:tr w:rsidR="00A935EE" w:rsidRPr="007E761F" w14:paraId="6CC1A43E" w14:textId="77777777" w:rsidTr="008975D1">
        <w:tblPrEx>
          <w:tblBorders>
            <w:top w:val="none" w:sz="0" w:space="0" w:color="auto"/>
          </w:tblBorders>
        </w:tblPrEx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18ADD04A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FFFFFF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val="single" w:color="FFFFFF"/>
              </w:rPr>
              <w:t>6</w:t>
            </w:r>
          </w:p>
        </w:tc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5F1C563C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Gelatins/Puddings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5D253435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19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44" w:type="nil"/>
              <w:left w:w="20" w:type="nil"/>
              <w:right w:w="144" w:type="nil"/>
            </w:tcMar>
          </w:tcPr>
          <w:p w14:paraId="7750AB1E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Hall, R.L. and B.L. </w:t>
            </w:r>
            <w:proofErr w:type="spellStart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Oser</w:t>
            </w:r>
            <w:proofErr w:type="spellEnd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, </w:t>
            </w:r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000000"/>
              </w:rPr>
              <w:t>Recent Progress in Consideration of Flavoring Ingredients under Food Additives Amendment .3. Gras Substances.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 Food Technology, 1965. </w:t>
            </w:r>
            <w:r w:rsidRPr="007E761F">
              <w:rPr>
                <w:rFonts w:ascii="Calibri" w:eastAsiaTheme="minorHAnsi" w:hAnsi="Calibri" w:cs="Calibri"/>
                <w:b/>
                <w:bCs/>
                <w:color w:val="000000"/>
                <w:sz w:val="20"/>
                <w:u w:color="000000"/>
              </w:rPr>
              <w:t>19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(2p2): p. 151-&amp;.</w:t>
            </w:r>
          </w:p>
        </w:tc>
      </w:tr>
      <w:tr w:rsidR="00A935EE" w:rsidRPr="007E761F" w14:paraId="0B1C924C" w14:textId="77777777" w:rsidTr="008975D1"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144" w:type="nil"/>
              <w:left w:w="20" w:type="nil"/>
              <w:right w:w="144" w:type="nil"/>
            </w:tcMar>
          </w:tcPr>
          <w:p w14:paraId="5BC6D296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b/>
                <w:bCs/>
                <w:color w:val="FFFFFF"/>
                <w:sz w:val="20"/>
                <w:u w:color="000000"/>
              </w:rPr>
              <w:t> 7</w:t>
            </w:r>
          </w:p>
        </w:tc>
        <w:tc>
          <w:tcPr>
            <w:tcW w:w="1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7589AC44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Unflavored Brewed cup of Coffee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3DA29C7F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spacing w:after="213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val="single" w:color="000000"/>
              </w:rPr>
              <w:t>7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44" w:type="nil"/>
              <w:left w:w="20" w:type="nil"/>
              <w:right w:w="144" w:type="nil"/>
            </w:tcMar>
          </w:tcPr>
          <w:p w14:paraId="225A8E47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Pierce, J.S., et al., </w:t>
            </w:r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000000"/>
              </w:rPr>
              <w:t>Characterization of naturally occurring airborne diacetyl concentrations associated with the preparation and consumption of unflavored coffee.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 </w:t>
            </w:r>
            <w:proofErr w:type="spellStart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Toxicol</w:t>
            </w:r>
            <w:proofErr w:type="spellEnd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 Rep, 2015. </w:t>
            </w:r>
            <w:r w:rsidRPr="007E761F">
              <w:rPr>
                <w:rFonts w:ascii="Calibri" w:eastAsiaTheme="minorHAnsi" w:hAnsi="Calibri" w:cs="Calibri"/>
                <w:b/>
                <w:bCs/>
                <w:color w:val="000000"/>
                <w:sz w:val="20"/>
                <w:u w:color="000000"/>
              </w:rPr>
              <w:t>2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: p. 1200-1208.</w:t>
            </w:r>
          </w:p>
          <w:p w14:paraId="071100FB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</w:p>
          <w:p w14:paraId="325F3FBA" w14:textId="77777777" w:rsidR="00A935EE" w:rsidRPr="007E761F" w:rsidRDefault="00A935EE" w:rsidP="008975D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u w:color="000000"/>
              </w:rPr>
            </w:pPr>
            <w:proofErr w:type="spellStart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Yeretzian</w:t>
            </w:r>
            <w:proofErr w:type="spellEnd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, C., A. Jordan, and W. </w:t>
            </w:r>
            <w:proofErr w:type="spellStart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Lindinger</w:t>
            </w:r>
            <w:proofErr w:type="spellEnd"/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, </w:t>
            </w:r>
            <w:proofErr w:type="spellStart"/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000000"/>
              </w:rPr>
              <w:t>Analysing</w:t>
            </w:r>
            <w:proofErr w:type="spellEnd"/>
            <w:r w:rsidRPr="007E761F">
              <w:rPr>
                <w:rFonts w:ascii="Calibri" w:eastAsiaTheme="minorHAnsi" w:hAnsi="Calibri" w:cs="Calibri"/>
                <w:i/>
                <w:iCs/>
                <w:color w:val="000000"/>
                <w:sz w:val="20"/>
                <w:u w:color="000000"/>
              </w:rPr>
              <w:t xml:space="preserve"> the headspace of coffee by proton-transfer-reaction mass-spectrometry.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 xml:space="preserve"> International Journal of Mass Spectrometry, 2003. </w:t>
            </w:r>
            <w:r w:rsidRPr="007E761F">
              <w:rPr>
                <w:rFonts w:ascii="Calibri" w:eastAsiaTheme="minorHAnsi" w:hAnsi="Calibri" w:cs="Calibri"/>
                <w:b/>
                <w:bCs/>
                <w:color w:val="000000"/>
                <w:sz w:val="20"/>
                <w:u w:color="000000"/>
              </w:rPr>
              <w:t>223</w:t>
            </w:r>
            <w:r w:rsidRPr="007E761F">
              <w:rPr>
                <w:rFonts w:ascii="Calibri" w:eastAsiaTheme="minorHAnsi" w:hAnsi="Calibri" w:cs="Calibri"/>
                <w:color w:val="000000"/>
                <w:sz w:val="20"/>
                <w:u w:color="000000"/>
              </w:rPr>
              <w:t>(1-3): p. 115-139.</w:t>
            </w:r>
          </w:p>
        </w:tc>
      </w:tr>
    </w:tbl>
    <w:p w14:paraId="397331B7" w14:textId="77777777" w:rsidR="00C704CD" w:rsidRDefault="00A935EE"/>
    <w:sectPr w:rsidR="00C704CD" w:rsidSect="00643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DC"/>
    <w:rsid w:val="004625DC"/>
    <w:rsid w:val="00580A47"/>
    <w:rsid w:val="006433D3"/>
    <w:rsid w:val="00A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31D95B-5AA8-0C42-B152-A4455F50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5EE"/>
    <w:rPr>
      <w:rFonts w:ascii="Times New Roman" w:eastAsia="Times New Roman" w:hAnsi="Times New Roman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Anandasankar Ray</dc:creator>
  <cp:keywords/>
  <dc:description/>
  <cp:lastModifiedBy>Anandasankar Ray</cp:lastModifiedBy>
  <cp:revision>2</cp:revision>
  <dcterms:created xsi:type="dcterms:W3CDTF">2024-02-06T00:50:00Z</dcterms:created>
  <dcterms:modified xsi:type="dcterms:W3CDTF">2024-02-06T00:51:00Z</dcterms:modified>
</cp:coreProperties>
</file>