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6F5C7F"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3C2883"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EB0227"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BE86D5"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476C2D"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0DC92C"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EB7A1E"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B8C8A2"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F5D2E1" w:rsidR="00F102CC" w:rsidRPr="003D5AF6" w:rsidRDefault="00A573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1D49127" w:rsidR="00F102CC" w:rsidRPr="003D5AF6" w:rsidRDefault="003101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have been reported in the “Participants” section (6.1) </w:t>
            </w:r>
            <w:r w:rsidR="00E0782A">
              <w:rPr>
                <w:rFonts w:ascii="Noto Sans" w:eastAsia="Noto Sans" w:hAnsi="Noto Sans" w:cs="Noto Sans"/>
                <w:bCs/>
                <w:color w:val="434343"/>
                <w:sz w:val="18"/>
                <w:szCs w:val="18"/>
              </w:rPr>
              <w:t>at the beginning of</w:t>
            </w:r>
            <w:r>
              <w:rPr>
                <w:rFonts w:ascii="Noto Sans" w:eastAsia="Noto Sans" w:hAnsi="Noto Sans" w:cs="Noto Sans"/>
                <w:bCs/>
                <w:color w:val="434343"/>
                <w:sz w:val="18"/>
                <w:szCs w:val="18"/>
              </w:rPr>
              <w:t xml:space="preserve"> the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6BCF12" w:rsidR="00F102CC" w:rsidRPr="003D5AF6" w:rsidRDefault="001D3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98B84F" w:rsidR="00F102CC" w:rsidRPr="003D5AF6" w:rsidRDefault="00DC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5AE9150" w:rsidR="00F102CC" w:rsidRPr="003D5AF6" w:rsidRDefault="00445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our preregistration document: </w:t>
            </w:r>
            <w:r w:rsidRPr="004457CE">
              <w:rPr>
                <w:rFonts w:ascii="Noto Sans" w:eastAsia="Noto Sans" w:hAnsi="Noto Sans" w:cs="Noto Sans"/>
                <w:bCs/>
                <w:color w:val="434343"/>
                <w:sz w:val="18"/>
                <w:szCs w:val="18"/>
              </w:rPr>
              <w:t>https://osf.io/zs8g4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36033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C9497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140EC1" w:rsidR="00F102CC" w:rsidRPr="007B5C98" w:rsidRDefault="007B5C98">
            <w:pPr>
              <w:spacing w:line="225" w:lineRule="auto"/>
              <w:rPr>
                <w:rFonts w:ascii="Noto Sans" w:eastAsia="Noto Sans" w:hAnsi="Noto Sans" w:cs="Noto Sans"/>
                <w:bCs/>
                <w:color w:val="434343"/>
                <w:sz w:val="18"/>
                <w:szCs w:val="18"/>
              </w:rPr>
            </w:pPr>
            <w:r w:rsidRPr="007B5C9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86E8B2" w:rsidR="00F102CC" w:rsidRPr="003D5AF6" w:rsidRDefault="007B5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56F9A1" w:rsidR="00F102CC" w:rsidRPr="003D5AF6" w:rsidRDefault="007B5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CDF628"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F335C3" w:rsidR="00F102CC" w:rsidRPr="003D5AF6" w:rsidRDefault="00B676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6.6 specifies that we ran an initial pilot experiment (N=12), then conducted the main experiment (N=30). We subsequently replicated the main findings with different equipment (N=12), as described in Appendix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9143B5B"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E889122" w:rsidR="00F102CC" w:rsidRPr="003D5AF6" w:rsidRDefault="00856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CEB3C43" w:rsidR="00F102CC" w:rsidRDefault="00DF363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The information is provided in the “Participants” section (6.1) at the beginning of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D07EF89" w:rsidR="00F102CC" w:rsidRPr="003D5AF6" w:rsidRDefault="00F441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47D4038" w:rsidR="00F102CC" w:rsidRPr="003D5AF6" w:rsidRDefault="00F441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8F893A2" w14:textId="77777777" w:rsidR="00F102CC" w:rsidRDefault="00F102CC">
            <w:pPr>
              <w:rPr>
                <w:rFonts w:ascii="Noto Sans" w:eastAsia="Noto Sans" w:hAnsi="Noto Sans" w:cs="Noto Sans"/>
                <w:b/>
                <w:color w:val="434343"/>
                <w:sz w:val="16"/>
                <w:szCs w:val="16"/>
              </w:rPr>
            </w:pPr>
          </w:p>
          <w:p w14:paraId="1C12A98E" w14:textId="77777777" w:rsidR="002450E5" w:rsidRDefault="002450E5">
            <w:pPr>
              <w:rPr>
                <w:rFonts w:ascii="Noto Sans" w:eastAsia="Noto Sans" w:hAnsi="Noto Sans" w:cs="Noto Sans"/>
                <w:b/>
                <w:color w:val="434343"/>
                <w:sz w:val="16"/>
                <w:szCs w:val="16"/>
              </w:rPr>
            </w:pPr>
          </w:p>
          <w:p w14:paraId="6BC44415" w14:textId="77777777" w:rsidR="002450E5" w:rsidRDefault="002450E5">
            <w:pPr>
              <w:rPr>
                <w:rFonts w:ascii="Noto Sans" w:eastAsia="Noto Sans" w:hAnsi="Noto Sans" w:cs="Noto Sans"/>
                <w:b/>
                <w:color w:val="434343"/>
                <w:sz w:val="16"/>
                <w:szCs w:val="16"/>
              </w:rPr>
            </w:pPr>
          </w:p>
          <w:p w14:paraId="141D9A68" w14:textId="77777777" w:rsidR="002450E5" w:rsidRDefault="002450E5">
            <w:pPr>
              <w:rPr>
                <w:rFonts w:ascii="Noto Sans" w:eastAsia="Noto Sans" w:hAnsi="Noto Sans" w:cs="Noto Sans"/>
                <w:b/>
                <w:color w:val="434343"/>
                <w:sz w:val="16"/>
                <w:szCs w:val="16"/>
              </w:rPr>
            </w:pPr>
          </w:p>
          <w:p w14:paraId="336541AD" w14:textId="77777777" w:rsidR="002450E5" w:rsidRDefault="002450E5">
            <w:pPr>
              <w:rPr>
                <w:rFonts w:ascii="Noto Sans" w:eastAsia="Noto Sans" w:hAnsi="Noto Sans" w:cs="Noto Sans"/>
                <w:b/>
                <w:color w:val="434343"/>
                <w:sz w:val="16"/>
                <w:szCs w:val="16"/>
              </w:rPr>
            </w:pPr>
          </w:p>
          <w:p w14:paraId="5158288D" w14:textId="77777777" w:rsidR="002450E5" w:rsidRDefault="002450E5">
            <w:pPr>
              <w:rPr>
                <w:rFonts w:ascii="Noto Sans" w:eastAsia="Noto Sans" w:hAnsi="Noto Sans" w:cs="Noto Sans"/>
                <w:b/>
                <w:color w:val="434343"/>
                <w:sz w:val="16"/>
                <w:szCs w:val="16"/>
              </w:rPr>
            </w:pPr>
          </w:p>
          <w:p w14:paraId="50684BF4" w14:textId="77777777" w:rsidR="002450E5" w:rsidRDefault="002450E5">
            <w:pPr>
              <w:rPr>
                <w:rFonts w:ascii="Noto Sans" w:eastAsia="Noto Sans" w:hAnsi="Noto Sans" w:cs="Noto Sans"/>
                <w:b/>
                <w:color w:val="434343"/>
                <w:sz w:val="16"/>
                <w:szCs w:val="16"/>
              </w:rPr>
            </w:pPr>
          </w:p>
          <w:p w14:paraId="63BE4F2F" w14:textId="77777777" w:rsidR="002450E5" w:rsidRDefault="002450E5">
            <w:pPr>
              <w:rPr>
                <w:rFonts w:ascii="Noto Sans" w:eastAsia="Noto Sans" w:hAnsi="Noto Sans" w:cs="Noto Sans"/>
                <w:b/>
                <w:color w:val="434343"/>
                <w:sz w:val="16"/>
                <w:szCs w:val="16"/>
              </w:rPr>
            </w:pPr>
          </w:p>
          <w:p w14:paraId="281D9D35" w14:textId="77777777" w:rsidR="002450E5" w:rsidRPr="003D5AF6" w:rsidRDefault="002450E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1C6AAA" w:rsidR="00F102CC" w:rsidRPr="003D5AF6" w:rsidRDefault="000E16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A5B97D" w:rsidR="00F102CC" w:rsidRPr="003D5AF6" w:rsidRDefault="00C67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C271A5" w:rsidR="00F102CC" w:rsidRPr="003D5AF6" w:rsidRDefault="009C2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“Data Analysis” section (6.4) within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A906D4" w:rsidR="00F102CC" w:rsidRPr="003D5AF6" w:rsidRDefault="00FF4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available in the “</w:t>
            </w:r>
            <w:r w:rsidRPr="00FF4ECC">
              <w:rPr>
                <w:rFonts w:ascii="Noto Sans" w:eastAsia="Noto Sans" w:hAnsi="Noto Sans" w:cs="Noto Sans"/>
                <w:bCs/>
                <w:color w:val="434343"/>
                <w:sz w:val="18"/>
                <w:szCs w:val="18"/>
              </w:rPr>
              <w:t>Preregistration, data and code availability</w:t>
            </w:r>
            <w:r>
              <w:rPr>
                <w:rFonts w:ascii="Noto Sans" w:eastAsia="Noto Sans" w:hAnsi="Noto Sans" w:cs="Noto Sans"/>
                <w:bCs/>
                <w:color w:val="434343"/>
                <w:sz w:val="18"/>
                <w:szCs w:val="18"/>
              </w:rPr>
              <w:t>” section (6.6) 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13F01A" w:rsidR="00F102CC" w:rsidRPr="003D5AF6" w:rsidRDefault="00307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available in the “</w:t>
            </w:r>
            <w:r w:rsidRPr="00FF4ECC">
              <w:rPr>
                <w:rFonts w:ascii="Noto Sans" w:eastAsia="Noto Sans" w:hAnsi="Noto Sans" w:cs="Noto Sans"/>
                <w:bCs/>
                <w:color w:val="434343"/>
                <w:sz w:val="18"/>
                <w:szCs w:val="18"/>
              </w:rPr>
              <w:t>Preregistration, data and code availability</w:t>
            </w:r>
            <w:r>
              <w:rPr>
                <w:rFonts w:ascii="Noto Sans" w:eastAsia="Noto Sans" w:hAnsi="Noto Sans" w:cs="Noto Sans"/>
                <w:bCs/>
                <w:color w:val="434343"/>
                <w:sz w:val="18"/>
                <w:szCs w:val="18"/>
              </w:rPr>
              <w:t>” section (6.6) 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60B964" w:rsidR="00F102CC" w:rsidRPr="003D5AF6" w:rsidRDefault="00A16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16AE98C" w14:textId="77777777" w:rsidR="00F102CC" w:rsidRDefault="00F102CC">
            <w:pPr>
              <w:rPr>
                <w:rFonts w:ascii="Noto Sans" w:eastAsia="Noto Sans" w:hAnsi="Noto Sans" w:cs="Noto Sans"/>
                <w:b/>
                <w:color w:val="434343"/>
                <w:sz w:val="16"/>
                <w:szCs w:val="16"/>
                <w:highlight w:val="white"/>
              </w:rPr>
            </w:pPr>
          </w:p>
          <w:p w14:paraId="2D63FF43" w14:textId="77777777" w:rsidR="00E35085" w:rsidRDefault="00E35085">
            <w:pPr>
              <w:rPr>
                <w:rFonts w:ascii="Noto Sans" w:eastAsia="Noto Sans" w:hAnsi="Noto Sans" w:cs="Noto Sans"/>
                <w:b/>
                <w:color w:val="434343"/>
                <w:sz w:val="16"/>
                <w:szCs w:val="16"/>
                <w:highlight w:val="white"/>
              </w:rPr>
            </w:pPr>
          </w:p>
          <w:p w14:paraId="0DC0FB61" w14:textId="77777777" w:rsidR="00E35085" w:rsidRDefault="00E35085">
            <w:pPr>
              <w:rPr>
                <w:rFonts w:ascii="Noto Sans" w:eastAsia="Noto Sans" w:hAnsi="Noto Sans" w:cs="Noto Sans"/>
                <w:b/>
                <w:color w:val="434343"/>
                <w:sz w:val="16"/>
                <w:szCs w:val="16"/>
                <w:highlight w:val="white"/>
              </w:rPr>
            </w:pPr>
          </w:p>
          <w:p w14:paraId="0D21B69E" w14:textId="77777777" w:rsidR="00E35085" w:rsidRDefault="00E35085">
            <w:pPr>
              <w:rPr>
                <w:rFonts w:ascii="Noto Sans" w:eastAsia="Noto Sans" w:hAnsi="Noto Sans" w:cs="Noto Sans"/>
                <w:b/>
                <w:color w:val="434343"/>
                <w:sz w:val="16"/>
                <w:szCs w:val="16"/>
                <w:highlight w:val="white"/>
              </w:rPr>
            </w:pPr>
          </w:p>
          <w:p w14:paraId="5A58AA99" w14:textId="77777777" w:rsidR="00E35085" w:rsidRDefault="00E35085">
            <w:pPr>
              <w:rPr>
                <w:rFonts w:ascii="Noto Sans" w:eastAsia="Noto Sans" w:hAnsi="Noto Sans" w:cs="Noto Sans"/>
                <w:b/>
                <w:color w:val="434343"/>
                <w:sz w:val="16"/>
                <w:szCs w:val="16"/>
                <w:highlight w:val="white"/>
              </w:rPr>
            </w:pPr>
          </w:p>
          <w:p w14:paraId="035DF38C" w14:textId="77777777" w:rsidR="00E35085" w:rsidRDefault="00E35085">
            <w:pPr>
              <w:rPr>
                <w:rFonts w:ascii="Noto Sans" w:eastAsia="Noto Sans" w:hAnsi="Noto Sans" w:cs="Noto Sans"/>
                <w:b/>
                <w:color w:val="434343"/>
                <w:sz w:val="16"/>
                <w:szCs w:val="16"/>
                <w:highlight w:val="white"/>
              </w:rPr>
            </w:pPr>
          </w:p>
          <w:p w14:paraId="42CDC781" w14:textId="77777777" w:rsidR="00E35085" w:rsidRDefault="00E35085">
            <w:pPr>
              <w:rPr>
                <w:rFonts w:ascii="Noto Sans" w:eastAsia="Noto Sans" w:hAnsi="Noto Sans" w:cs="Noto Sans"/>
                <w:b/>
                <w:color w:val="434343"/>
                <w:sz w:val="16"/>
                <w:szCs w:val="16"/>
                <w:highlight w:val="white"/>
              </w:rPr>
            </w:pPr>
          </w:p>
          <w:p w14:paraId="12D89AB5" w14:textId="77777777" w:rsidR="00E35085" w:rsidRDefault="00E35085">
            <w:pPr>
              <w:rPr>
                <w:rFonts w:ascii="Noto Sans" w:eastAsia="Noto Sans" w:hAnsi="Noto Sans" w:cs="Noto Sans"/>
                <w:b/>
                <w:color w:val="434343"/>
                <w:sz w:val="16"/>
                <w:szCs w:val="16"/>
                <w:highlight w:val="white"/>
              </w:rPr>
            </w:pPr>
          </w:p>
          <w:p w14:paraId="7E4EB258" w14:textId="77777777" w:rsidR="00E35085" w:rsidRDefault="00E35085">
            <w:pPr>
              <w:rPr>
                <w:rFonts w:ascii="Noto Sans" w:eastAsia="Noto Sans" w:hAnsi="Noto Sans" w:cs="Noto Sans"/>
                <w:b/>
                <w:color w:val="434343"/>
                <w:sz w:val="16"/>
                <w:szCs w:val="16"/>
                <w:highlight w:val="white"/>
              </w:rPr>
            </w:pPr>
          </w:p>
          <w:p w14:paraId="09F8F8E8" w14:textId="77777777" w:rsidR="00E35085" w:rsidRDefault="00E35085">
            <w:pPr>
              <w:rPr>
                <w:rFonts w:ascii="Noto Sans" w:eastAsia="Noto Sans" w:hAnsi="Noto Sans" w:cs="Noto Sans"/>
                <w:b/>
                <w:color w:val="434343"/>
                <w:sz w:val="16"/>
                <w:szCs w:val="16"/>
                <w:highlight w:val="white"/>
              </w:rPr>
            </w:pPr>
          </w:p>
          <w:p w14:paraId="6E090954" w14:textId="77777777" w:rsidR="00E35085" w:rsidRPr="003D5AF6" w:rsidRDefault="00E3508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8080F4" w:rsidR="00F102CC" w:rsidRPr="003D5AF6" w:rsidRDefault="00160D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available in the “</w:t>
            </w:r>
            <w:r w:rsidRPr="00FF4ECC">
              <w:rPr>
                <w:rFonts w:ascii="Noto Sans" w:eastAsia="Noto Sans" w:hAnsi="Noto Sans" w:cs="Noto Sans"/>
                <w:bCs/>
                <w:color w:val="434343"/>
                <w:sz w:val="18"/>
                <w:szCs w:val="18"/>
              </w:rPr>
              <w:t>Preregistration, data and code availability</w:t>
            </w:r>
            <w:r>
              <w:rPr>
                <w:rFonts w:ascii="Noto Sans" w:eastAsia="Noto Sans" w:hAnsi="Noto Sans" w:cs="Noto Sans"/>
                <w:bCs/>
                <w:color w:val="434343"/>
                <w:sz w:val="18"/>
                <w:szCs w:val="18"/>
              </w:rPr>
              <w:t>” section (6.6) 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29FC6F" w:rsidR="00F102CC" w:rsidRPr="003D5AF6" w:rsidRDefault="0068412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The information is available in the “</w:t>
            </w:r>
            <w:r w:rsidRPr="00FF4ECC">
              <w:rPr>
                <w:rFonts w:ascii="Noto Sans" w:eastAsia="Noto Sans" w:hAnsi="Noto Sans" w:cs="Noto Sans"/>
                <w:bCs/>
                <w:color w:val="434343"/>
                <w:sz w:val="18"/>
                <w:szCs w:val="18"/>
              </w:rPr>
              <w:t>Preregistration, data and code availability</w:t>
            </w:r>
            <w:r>
              <w:rPr>
                <w:rFonts w:ascii="Noto Sans" w:eastAsia="Noto Sans" w:hAnsi="Noto Sans" w:cs="Noto Sans"/>
                <w:bCs/>
                <w:color w:val="434343"/>
                <w:sz w:val="18"/>
                <w:szCs w:val="18"/>
              </w:rPr>
              <w:t>” section (6.6) 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260B6A" w:rsidR="00F102CC" w:rsidRPr="003D5AF6" w:rsidRDefault="00D92D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1149FE" w:rsidR="00F102CC" w:rsidRPr="003D5AF6" w:rsidRDefault="00AC0E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5EB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EC7A" w14:textId="77777777" w:rsidR="008F5EBD" w:rsidRDefault="008F5EBD">
      <w:r>
        <w:separator/>
      </w:r>
    </w:p>
  </w:endnote>
  <w:endnote w:type="continuationSeparator" w:id="0">
    <w:p w14:paraId="322A7F8B" w14:textId="77777777" w:rsidR="008F5EBD" w:rsidRDefault="008F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36C8" w14:textId="77777777" w:rsidR="008F5EBD" w:rsidRDefault="008F5EBD">
      <w:r>
        <w:separator/>
      </w:r>
    </w:p>
  </w:footnote>
  <w:footnote w:type="continuationSeparator" w:id="0">
    <w:p w14:paraId="1BCD18C2" w14:textId="77777777" w:rsidR="008F5EBD" w:rsidRDefault="008F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6778024">
    <w:abstractNumId w:val="2"/>
  </w:num>
  <w:num w:numId="2" w16cid:durableId="1166945579">
    <w:abstractNumId w:val="0"/>
  </w:num>
  <w:num w:numId="3" w16cid:durableId="253167443">
    <w:abstractNumId w:val="1"/>
  </w:num>
  <w:num w:numId="4" w16cid:durableId="653341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1631"/>
    <w:rsid w:val="00160D28"/>
    <w:rsid w:val="001B3BCC"/>
    <w:rsid w:val="001D3F20"/>
    <w:rsid w:val="002209A8"/>
    <w:rsid w:val="002450E5"/>
    <w:rsid w:val="002C34CF"/>
    <w:rsid w:val="00307982"/>
    <w:rsid w:val="003101CE"/>
    <w:rsid w:val="003D5AF6"/>
    <w:rsid w:val="00427975"/>
    <w:rsid w:val="004457CE"/>
    <w:rsid w:val="004E2C31"/>
    <w:rsid w:val="005B0259"/>
    <w:rsid w:val="0068412F"/>
    <w:rsid w:val="007054B6"/>
    <w:rsid w:val="007B5C98"/>
    <w:rsid w:val="008567B7"/>
    <w:rsid w:val="008F5EBD"/>
    <w:rsid w:val="009C2E49"/>
    <w:rsid w:val="009C7B26"/>
    <w:rsid w:val="00A11E52"/>
    <w:rsid w:val="00A16351"/>
    <w:rsid w:val="00A573C0"/>
    <w:rsid w:val="00AC0EDF"/>
    <w:rsid w:val="00B6762E"/>
    <w:rsid w:val="00BD41E9"/>
    <w:rsid w:val="00C67102"/>
    <w:rsid w:val="00C84413"/>
    <w:rsid w:val="00CE001F"/>
    <w:rsid w:val="00D92D4F"/>
    <w:rsid w:val="00DC2206"/>
    <w:rsid w:val="00DF363E"/>
    <w:rsid w:val="00E0782A"/>
    <w:rsid w:val="00E35085"/>
    <w:rsid w:val="00F102CC"/>
    <w:rsid w:val="00F441B8"/>
    <w:rsid w:val="00F91042"/>
    <w:rsid w:val="00FF4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Baker</cp:lastModifiedBy>
  <cp:revision>28</cp:revision>
  <dcterms:created xsi:type="dcterms:W3CDTF">2022-02-28T12:21:00Z</dcterms:created>
  <dcterms:modified xsi:type="dcterms:W3CDTF">2023-09-04T13:05:00Z</dcterms:modified>
</cp:coreProperties>
</file>