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B9EA18E" w:rsidR="00F102CC" w:rsidRDefault="00F102CC">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537C533" w:rsidR="00F102CC" w:rsidRPr="003D5AF6" w:rsidRDefault="009459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28713C0B" w:rsidR="00F102CC" w:rsidRDefault="001918F5">
            <w:pPr>
              <w:rPr>
                <w:rFonts w:ascii="Noto Sans" w:eastAsia="Noto Sans" w:hAnsi="Noto Sans" w:cs="Noto Sans"/>
                <w:color w:val="434343"/>
                <w:sz w:val="18"/>
                <w:szCs w:val="18"/>
              </w:rPr>
            </w:pPr>
            <w:r w:rsidRPr="001918F5">
              <w:rPr>
                <w:rFonts w:ascii="Noto Sans" w:eastAsia="Noto Sans" w:hAnsi="Noto Sans" w:cs="Noto Sans"/>
                <w:i/>
                <w:iCs/>
                <w:color w:val="434343"/>
                <w:sz w:val="18"/>
                <w:szCs w:val="18"/>
              </w:rPr>
              <w:t>Primary Antibodies</w:t>
            </w:r>
            <w:r w:rsidRPr="001918F5">
              <w:rPr>
                <w:rFonts w:ascii="Noto Sans" w:eastAsia="Noto Sans" w:hAnsi="Noto Sans" w:cs="Noto Sans"/>
                <w:color w:val="434343"/>
                <w:sz w:val="18"/>
                <w:szCs w:val="18"/>
              </w:rPr>
              <w:t>: anti-Brachyury (</w:t>
            </w:r>
            <w:proofErr w:type="spellStart"/>
            <w:r w:rsidRPr="001918F5">
              <w:rPr>
                <w:rFonts w:ascii="Noto Sans" w:eastAsia="Noto Sans" w:hAnsi="Noto Sans" w:cs="Noto Sans"/>
                <w:color w:val="434343"/>
                <w:sz w:val="18"/>
                <w:szCs w:val="18"/>
              </w:rPr>
              <w:t>R&amp;DSystems</w:t>
            </w:r>
            <w:proofErr w:type="spellEnd"/>
            <w:r w:rsidRPr="001918F5">
              <w:rPr>
                <w:rFonts w:ascii="Noto Sans" w:eastAsia="Noto Sans" w:hAnsi="Noto Sans" w:cs="Noto Sans"/>
                <w:color w:val="434343"/>
                <w:sz w:val="18"/>
                <w:szCs w:val="18"/>
              </w:rPr>
              <w:t>, 1:250), anti-TBX6(Abcam, 1:200), anti-PAX3 (DHSB, 1:250), anti- PAX7(DHSB, 1:250), anti-SOX10 (R&amp;DSystems,1:125), anti-KI67 (</w:t>
            </w:r>
            <w:proofErr w:type="spellStart"/>
            <w:r w:rsidRPr="001918F5">
              <w:rPr>
                <w:rFonts w:ascii="Noto Sans" w:eastAsia="Noto Sans" w:hAnsi="Noto Sans" w:cs="Noto Sans"/>
                <w:color w:val="434343"/>
                <w:sz w:val="18"/>
                <w:szCs w:val="18"/>
              </w:rPr>
              <w:t>ThermoFisher</w:t>
            </w:r>
            <w:proofErr w:type="spellEnd"/>
            <w:r w:rsidRPr="001918F5">
              <w:rPr>
                <w:rFonts w:ascii="Noto Sans" w:eastAsia="Noto Sans" w:hAnsi="Noto Sans" w:cs="Noto Sans"/>
                <w:color w:val="434343"/>
                <w:sz w:val="18"/>
                <w:szCs w:val="18"/>
              </w:rPr>
              <w:t xml:space="preserve"> Scientific, clone SolA15, 1:100), anti- TITIN (DHSB, 9D-10, 1:300), anti-</w:t>
            </w:r>
            <w:proofErr w:type="spellStart"/>
            <w:r w:rsidRPr="001918F5">
              <w:rPr>
                <w:rFonts w:ascii="Noto Sans" w:eastAsia="Noto Sans" w:hAnsi="Noto Sans" w:cs="Noto Sans"/>
                <w:color w:val="434343"/>
                <w:sz w:val="18"/>
                <w:szCs w:val="18"/>
              </w:rPr>
              <w:t>MyHC</w:t>
            </w:r>
            <w:proofErr w:type="spellEnd"/>
            <w:r w:rsidRPr="001918F5">
              <w:rPr>
                <w:rFonts w:ascii="Noto Sans" w:eastAsia="Noto Sans" w:hAnsi="Noto Sans" w:cs="Noto Sans"/>
                <w:color w:val="434343"/>
                <w:sz w:val="18"/>
                <w:szCs w:val="18"/>
              </w:rPr>
              <w:t xml:space="preserve"> (DHSB, MF20, 1:300), anti-MYOD1 (Santa Cruz Biotechnologies, clone 5.8A, 1:200), anti-PRDM16 (Abcam, ab106410, 1:200), anti-TFAP2A (DHSB, 3B5, 1:100), anti-Dystrophin (</w:t>
            </w:r>
            <w:proofErr w:type="spellStart"/>
            <w:r w:rsidRPr="001918F5">
              <w:rPr>
                <w:rFonts w:ascii="Noto Sans" w:eastAsia="Noto Sans" w:hAnsi="Noto Sans" w:cs="Noto Sans"/>
                <w:color w:val="434343"/>
                <w:sz w:val="18"/>
                <w:szCs w:val="18"/>
              </w:rPr>
              <w:t>Novocastra</w:t>
            </w:r>
            <w:proofErr w:type="spellEnd"/>
            <w:r w:rsidRPr="001918F5">
              <w:rPr>
                <w:rFonts w:ascii="Noto Sans" w:eastAsia="Noto Sans" w:hAnsi="Noto Sans" w:cs="Noto Sans"/>
                <w:color w:val="434343"/>
                <w:sz w:val="18"/>
                <w:szCs w:val="18"/>
              </w:rPr>
              <w:t>/Leica Biosystems, clone DY4/6D3, 1:200), anti-Laminin (</w:t>
            </w:r>
            <w:proofErr w:type="spellStart"/>
            <w:r w:rsidRPr="001918F5">
              <w:rPr>
                <w:rFonts w:ascii="Noto Sans" w:eastAsia="Noto Sans" w:hAnsi="Noto Sans" w:cs="Noto Sans"/>
                <w:color w:val="434343"/>
                <w:sz w:val="18"/>
                <w:szCs w:val="18"/>
              </w:rPr>
              <w:t>SigmaAldrich</w:t>
            </w:r>
            <w:proofErr w:type="spellEnd"/>
            <w:r w:rsidRPr="001918F5">
              <w:rPr>
                <w:rFonts w:ascii="Noto Sans" w:eastAsia="Noto Sans" w:hAnsi="Noto Sans" w:cs="Noto Sans"/>
                <w:color w:val="434343"/>
                <w:sz w:val="18"/>
                <w:szCs w:val="18"/>
              </w:rPr>
              <w:t>, 1:200), anti-</w:t>
            </w:r>
            <w:proofErr w:type="spellStart"/>
            <w:r w:rsidRPr="001918F5">
              <w:rPr>
                <w:rFonts w:ascii="Noto Sans" w:eastAsia="Noto Sans" w:hAnsi="Noto Sans" w:cs="Noto Sans"/>
                <w:color w:val="434343"/>
                <w:sz w:val="18"/>
                <w:szCs w:val="18"/>
              </w:rPr>
              <w:t>FastMyHC</w:t>
            </w:r>
            <w:proofErr w:type="spellEnd"/>
            <w:r w:rsidRPr="001918F5">
              <w:rPr>
                <w:rFonts w:ascii="Noto Sans" w:eastAsia="Noto Sans" w:hAnsi="Noto Sans" w:cs="Noto Sans"/>
                <w:color w:val="434343"/>
                <w:sz w:val="18"/>
                <w:szCs w:val="18"/>
              </w:rPr>
              <w:t xml:space="preserve"> (</w:t>
            </w:r>
            <w:proofErr w:type="spellStart"/>
            <w:r w:rsidRPr="001918F5">
              <w:rPr>
                <w:rFonts w:ascii="Noto Sans" w:eastAsia="Noto Sans" w:hAnsi="Noto Sans" w:cs="Noto Sans"/>
                <w:color w:val="434343"/>
                <w:sz w:val="18"/>
                <w:szCs w:val="18"/>
              </w:rPr>
              <w:t>SigmaAldrich</w:t>
            </w:r>
            <w:proofErr w:type="spellEnd"/>
            <w:r w:rsidRPr="001918F5">
              <w:rPr>
                <w:rFonts w:ascii="Noto Sans" w:eastAsia="Noto Sans" w:hAnsi="Noto Sans" w:cs="Noto Sans"/>
                <w:color w:val="434343"/>
                <w:sz w:val="18"/>
                <w:szCs w:val="18"/>
              </w:rPr>
              <w:t>, clone MY-32, 1:300), anti-M-Cadherin (Cell Signaling Technology, 1:200) anti-SOX2 (</w:t>
            </w:r>
            <w:proofErr w:type="spellStart"/>
            <w:r w:rsidRPr="001918F5">
              <w:rPr>
                <w:rFonts w:ascii="Noto Sans" w:eastAsia="Noto Sans" w:hAnsi="Noto Sans" w:cs="Noto Sans"/>
                <w:color w:val="434343"/>
                <w:sz w:val="18"/>
                <w:szCs w:val="18"/>
              </w:rPr>
              <w:t>ThermoFisher</w:t>
            </w:r>
            <w:proofErr w:type="spellEnd"/>
            <w:r w:rsidRPr="001918F5">
              <w:rPr>
                <w:rFonts w:ascii="Noto Sans" w:eastAsia="Noto Sans" w:hAnsi="Noto Sans" w:cs="Noto Sans"/>
                <w:color w:val="434343"/>
                <w:sz w:val="18"/>
                <w:szCs w:val="18"/>
              </w:rPr>
              <w:t xml:space="preserve"> Scientific, clone </w:t>
            </w:r>
            <w:proofErr w:type="spellStart"/>
            <w:r w:rsidRPr="001918F5">
              <w:rPr>
                <w:rFonts w:ascii="Noto Sans" w:eastAsia="Noto Sans" w:hAnsi="Noto Sans" w:cs="Noto Sans"/>
                <w:color w:val="434343"/>
                <w:sz w:val="18"/>
                <w:szCs w:val="18"/>
              </w:rPr>
              <w:t>Btjce</w:t>
            </w:r>
            <w:proofErr w:type="spellEnd"/>
            <w:r w:rsidRPr="001918F5">
              <w:rPr>
                <w:rFonts w:ascii="Noto Sans" w:eastAsia="Noto Sans" w:hAnsi="Noto Sans" w:cs="Noto Sans"/>
                <w:color w:val="434343"/>
                <w:sz w:val="18"/>
                <w:szCs w:val="18"/>
              </w:rPr>
              <w:t>, 1:100), anti-CD44 (</w:t>
            </w:r>
            <w:proofErr w:type="spellStart"/>
            <w:r w:rsidRPr="001918F5">
              <w:rPr>
                <w:rFonts w:ascii="Noto Sans" w:eastAsia="Noto Sans" w:hAnsi="Noto Sans" w:cs="Noto Sans"/>
                <w:color w:val="434343"/>
                <w:sz w:val="18"/>
                <w:szCs w:val="18"/>
              </w:rPr>
              <w:t>eBioscience</w:t>
            </w:r>
            <w:proofErr w:type="spellEnd"/>
            <w:r w:rsidRPr="001918F5">
              <w:rPr>
                <w:rFonts w:ascii="Noto Sans" w:eastAsia="Noto Sans" w:hAnsi="Noto Sans" w:cs="Noto Sans"/>
                <w:color w:val="434343"/>
                <w:sz w:val="18"/>
                <w:szCs w:val="18"/>
              </w:rPr>
              <w:t>, clone IM7, 1:100), anti-Fibrillin1 (Invitrogen, clone 11C1.3, 1:100).</w:t>
            </w:r>
            <w:r w:rsidRPr="001918F5">
              <w:rPr>
                <w:rFonts w:ascii="Arial" w:eastAsia="Times New Roman" w:hAnsi="Arial" w:cs="Arial"/>
                <w:i/>
                <w:iCs/>
                <w:sz w:val="20"/>
                <w:szCs w:val="20"/>
                <w:lang w:eastAsia="de-DE"/>
              </w:rPr>
              <w:t xml:space="preserve"> </w:t>
            </w:r>
            <w:r w:rsidRPr="001918F5">
              <w:rPr>
                <w:rFonts w:ascii="Noto Sans" w:eastAsia="Noto Sans" w:hAnsi="Noto Sans" w:cs="Noto Sans"/>
                <w:i/>
                <w:iCs/>
                <w:color w:val="434343"/>
                <w:sz w:val="18"/>
                <w:szCs w:val="18"/>
              </w:rPr>
              <w:t>Secondary antibodies</w:t>
            </w:r>
            <w:r w:rsidRPr="001918F5">
              <w:rPr>
                <w:rFonts w:ascii="Noto Sans" w:eastAsia="Noto Sans" w:hAnsi="Noto Sans" w:cs="Noto Sans"/>
                <w:color w:val="434343"/>
                <w:sz w:val="18"/>
                <w:szCs w:val="18"/>
              </w:rPr>
              <w:t xml:space="preserve">: Alexa Fluor® 647 </w:t>
            </w:r>
            <w:proofErr w:type="spellStart"/>
            <w:r w:rsidRPr="001918F5">
              <w:rPr>
                <w:rFonts w:ascii="Noto Sans" w:eastAsia="Noto Sans" w:hAnsi="Noto Sans" w:cs="Noto Sans"/>
                <w:color w:val="434343"/>
                <w:sz w:val="18"/>
                <w:szCs w:val="18"/>
              </w:rPr>
              <w:t>AffiniPure</w:t>
            </w:r>
            <w:proofErr w:type="spellEnd"/>
            <w:r w:rsidRPr="001918F5">
              <w:rPr>
                <w:rFonts w:ascii="Noto Sans" w:eastAsia="Noto Sans" w:hAnsi="Noto Sans" w:cs="Noto Sans"/>
                <w:color w:val="434343"/>
                <w:sz w:val="18"/>
                <w:szCs w:val="18"/>
              </w:rPr>
              <w:t xml:space="preserve"> Fab </w:t>
            </w:r>
            <w:r w:rsidRPr="001918F5">
              <w:rPr>
                <w:rFonts w:ascii="Noto Sans" w:eastAsia="Noto Sans" w:hAnsi="Noto Sans" w:cs="Noto Sans"/>
                <w:color w:val="434343"/>
                <w:sz w:val="18"/>
                <w:szCs w:val="18"/>
              </w:rPr>
              <w:lastRenderedPageBreak/>
              <w:t xml:space="preserve">Fragment Goat Anti-Mouse IgM, μ Chain Specific (Jackson </w:t>
            </w:r>
            <w:proofErr w:type="spellStart"/>
            <w:r w:rsidRPr="001918F5">
              <w:rPr>
                <w:rFonts w:ascii="Noto Sans" w:eastAsia="Noto Sans" w:hAnsi="Noto Sans" w:cs="Noto Sans"/>
                <w:color w:val="434343"/>
                <w:sz w:val="18"/>
                <w:szCs w:val="18"/>
              </w:rPr>
              <w:t>Immunoresearch</w:t>
            </w:r>
            <w:proofErr w:type="spellEnd"/>
            <w:r w:rsidRPr="001918F5">
              <w:rPr>
                <w:rFonts w:ascii="Noto Sans" w:eastAsia="Noto Sans" w:hAnsi="Noto Sans" w:cs="Noto Sans"/>
                <w:color w:val="434343"/>
                <w:sz w:val="18"/>
                <w:szCs w:val="18"/>
              </w:rPr>
              <w:t xml:space="preserve"> Laboratories, 1:100), Rhodamine </w:t>
            </w:r>
            <w:proofErr w:type="spellStart"/>
            <w:r w:rsidRPr="001918F5">
              <w:rPr>
                <w:rFonts w:ascii="Noto Sans" w:eastAsia="Noto Sans" w:hAnsi="Noto Sans" w:cs="Noto Sans"/>
                <w:color w:val="434343"/>
                <w:sz w:val="18"/>
                <w:szCs w:val="18"/>
              </w:rPr>
              <w:t>RedTM</w:t>
            </w:r>
            <w:proofErr w:type="spellEnd"/>
            <w:r w:rsidRPr="001918F5">
              <w:rPr>
                <w:rFonts w:ascii="Noto Sans" w:eastAsia="Noto Sans" w:hAnsi="Noto Sans" w:cs="Noto Sans"/>
                <w:color w:val="434343"/>
                <w:sz w:val="18"/>
                <w:szCs w:val="18"/>
              </w:rPr>
              <w:t xml:space="preserve">-X (RRX) </w:t>
            </w:r>
            <w:proofErr w:type="spellStart"/>
            <w:r w:rsidRPr="001918F5">
              <w:rPr>
                <w:rFonts w:ascii="Noto Sans" w:eastAsia="Noto Sans" w:hAnsi="Noto Sans" w:cs="Noto Sans"/>
                <w:color w:val="434343"/>
                <w:sz w:val="18"/>
                <w:szCs w:val="18"/>
              </w:rPr>
              <w:t>AffiniPure</w:t>
            </w:r>
            <w:proofErr w:type="spellEnd"/>
            <w:r w:rsidRPr="001918F5">
              <w:rPr>
                <w:rFonts w:ascii="Noto Sans" w:eastAsia="Noto Sans" w:hAnsi="Noto Sans" w:cs="Noto Sans"/>
                <w:color w:val="434343"/>
                <w:sz w:val="18"/>
                <w:szCs w:val="18"/>
              </w:rPr>
              <w:t xml:space="preserve"> Goat Anti-Mouse IgG, </w:t>
            </w:r>
            <w:proofErr w:type="spellStart"/>
            <w:r w:rsidRPr="001918F5">
              <w:rPr>
                <w:rFonts w:ascii="Noto Sans" w:eastAsia="Noto Sans" w:hAnsi="Noto Sans" w:cs="Noto Sans"/>
                <w:color w:val="434343"/>
                <w:sz w:val="18"/>
                <w:szCs w:val="18"/>
              </w:rPr>
              <w:t>Fc</w:t>
            </w:r>
            <w:r w:rsidRPr="001918F5">
              <w:rPr>
                <w:rFonts w:ascii="Cambria" w:eastAsia="Noto Sans" w:hAnsi="Cambria" w:cs="Cambria"/>
                <w:color w:val="434343"/>
                <w:sz w:val="18"/>
                <w:szCs w:val="18"/>
              </w:rPr>
              <w:t>γ</w:t>
            </w:r>
            <w:proofErr w:type="spellEnd"/>
            <w:r w:rsidRPr="001918F5">
              <w:rPr>
                <w:rFonts w:ascii="Noto Sans" w:eastAsia="Noto Sans" w:hAnsi="Noto Sans" w:cs="Noto Sans"/>
                <w:color w:val="434343"/>
                <w:sz w:val="18"/>
                <w:szCs w:val="18"/>
              </w:rPr>
              <w:t xml:space="preserve"> Subclass 1 Specific (Jackson </w:t>
            </w:r>
            <w:proofErr w:type="spellStart"/>
            <w:r w:rsidRPr="001918F5">
              <w:rPr>
                <w:rFonts w:ascii="Noto Sans" w:eastAsia="Noto Sans" w:hAnsi="Noto Sans" w:cs="Noto Sans"/>
                <w:color w:val="434343"/>
                <w:sz w:val="18"/>
                <w:szCs w:val="18"/>
              </w:rPr>
              <w:t>Immunoresearch</w:t>
            </w:r>
            <w:proofErr w:type="spellEnd"/>
            <w:r w:rsidRPr="001918F5">
              <w:rPr>
                <w:rFonts w:ascii="Noto Sans" w:eastAsia="Noto Sans" w:hAnsi="Noto Sans" w:cs="Noto Sans"/>
                <w:color w:val="434343"/>
                <w:sz w:val="18"/>
                <w:szCs w:val="18"/>
              </w:rPr>
              <w:t xml:space="preserve"> Laboratories,1:100), Alexa Fluor</w:t>
            </w:r>
            <w:r w:rsidRPr="001918F5">
              <w:rPr>
                <w:rFonts w:ascii="Mangal" w:eastAsia="Noto Sans" w:hAnsi="Mangal" w:cs="Mangal"/>
                <w:color w:val="434343"/>
                <w:sz w:val="18"/>
                <w:szCs w:val="18"/>
              </w:rPr>
              <w:t>®</w:t>
            </w:r>
            <w:r w:rsidRPr="001918F5">
              <w:rPr>
                <w:rFonts w:ascii="Noto Sans" w:eastAsia="Noto Sans" w:hAnsi="Noto Sans" w:cs="Noto Sans"/>
                <w:color w:val="434343"/>
                <w:sz w:val="18"/>
                <w:szCs w:val="18"/>
              </w:rPr>
              <w:t xml:space="preserve"> 488 </w:t>
            </w:r>
            <w:proofErr w:type="spellStart"/>
            <w:r w:rsidRPr="001918F5">
              <w:rPr>
                <w:rFonts w:ascii="Noto Sans" w:eastAsia="Noto Sans" w:hAnsi="Noto Sans" w:cs="Noto Sans"/>
                <w:color w:val="434343"/>
                <w:sz w:val="18"/>
                <w:szCs w:val="18"/>
              </w:rPr>
              <w:t>AffiniPure</w:t>
            </w:r>
            <w:proofErr w:type="spellEnd"/>
            <w:r w:rsidRPr="001918F5">
              <w:rPr>
                <w:rFonts w:ascii="Noto Sans" w:eastAsia="Noto Sans" w:hAnsi="Noto Sans" w:cs="Noto Sans"/>
                <w:color w:val="434343"/>
                <w:sz w:val="18"/>
                <w:szCs w:val="18"/>
              </w:rPr>
              <w:t xml:space="preserve"> Goat Anti-Mouse IgG, </w:t>
            </w:r>
            <w:proofErr w:type="spellStart"/>
            <w:r w:rsidRPr="001918F5">
              <w:rPr>
                <w:rFonts w:ascii="Noto Sans" w:eastAsia="Noto Sans" w:hAnsi="Noto Sans" w:cs="Noto Sans"/>
                <w:color w:val="434343"/>
                <w:sz w:val="18"/>
                <w:szCs w:val="18"/>
              </w:rPr>
              <w:t>Fc</w:t>
            </w:r>
            <w:r w:rsidRPr="001918F5">
              <w:rPr>
                <w:rFonts w:ascii="Cambria" w:eastAsia="Noto Sans" w:hAnsi="Cambria" w:cs="Cambria"/>
                <w:color w:val="434343"/>
                <w:sz w:val="18"/>
                <w:szCs w:val="18"/>
              </w:rPr>
              <w:t>γ</w:t>
            </w:r>
            <w:proofErr w:type="spellEnd"/>
            <w:r w:rsidRPr="001918F5">
              <w:rPr>
                <w:rFonts w:ascii="Noto Sans" w:eastAsia="Noto Sans" w:hAnsi="Noto Sans" w:cs="Noto Sans"/>
                <w:color w:val="434343"/>
                <w:sz w:val="18"/>
                <w:szCs w:val="18"/>
              </w:rPr>
              <w:t xml:space="preserve"> subclass 2a specific (Jackson </w:t>
            </w:r>
            <w:proofErr w:type="spellStart"/>
            <w:r w:rsidRPr="001918F5">
              <w:rPr>
                <w:rFonts w:ascii="Noto Sans" w:eastAsia="Noto Sans" w:hAnsi="Noto Sans" w:cs="Noto Sans"/>
                <w:color w:val="434343"/>
                <w:sz w:val="18"/>
                <w:szCs w:val="18"/>
              </w:rPr>
              <w:t>Immunoresearch</w:t>
            </w:r>
            <w:proofErr w:type="spellEnd"/>
            <w:r w:rsidRPr="001918F5">
              <w:rPr>
                <w:rFonts w:ascii="Noto Sans" w:eastAsia="Noto Sans" w:hAnsi="Noto Sans" w:cs="Noto Sans"/>
                <w:color w:val="434343"/>
                <w:sz w:val="18"/>
                <w:szCs w:val="18"/>
              </w:rPr>
              <w:t xml:space="preserve"> Laboratories,1:100), Alexa Fluor 488, Goat anti-Rat IgG (H+L) Cross- Adsorbed Secondary Antibody, (</w:t>
            </w:r>
            <w:proofErr w:type="spellStart"/>
            <w:r w:rsidRPr="001918F5">
              <w:rPr>
                <w:rFonts w:ascii="Noto Sans" w:eastAsia="Noto Sans" w:hAnsi="Noto Sans" w:cs="Noto Sans"/>
                <w:color w:val="434343"/>
                <w:sz w:val="18"/>
                <w:szCs w:val="18"/>
              </w:rPr>
              <w:t>ThermoFisher</w:t>
            </w:r>
            <w:proofErr w:type="spellEnd"/>
            <w:r w:rsidRPr="001918F5">
              <w:rPr>
                <w:rFonts w:ascii="Noto Sans" w:eastAsia="Noto Sans" w:hAnsi="Noto Sans" w:cs="Noto Sans"/>
                <w:color w:val="434343"/>
                <w:sz w:val="18"/>
                <w:szCs w:val="18"/>
              </w:rPr>
              <w:t xml:space="preserve"> Scientific, 1:500), Alexa Fluor 488, Donkey anti-Mouse IgG (H+L) Cross-Adsorbed Secondary Antibody, (</w:t>
            </w:r>
            <w:proofErr w:type="spellStart"/>
            <w:r w:rsidRPr="001918F5">
              <w:rPr>
                <w:rFonts w:ascii="Noto Sans" w:eastAsia="Noto Sans" w:hAnsi="Noto Sans" w:cs="Noto Sans"/>
                <w:color w:val="434343"/>
                <w:sz w:val="18"/>
                <w:szCs w:val="18"/>
              </w:rPr>
              <w:t>ThermoFisher</w:t>
            </w:r>
            <w:proofErr w:type="spellEnd"/>
            <w:r w:rsidRPr="001918F5">
              <w:rPr>
                <w:rFonts w:ascii="Noto Sans" w:eastAsia="Noto Sans" w:hAnsi="Noto Sans" w:cs="Noto Sans"/>
                <w:color w:val="434343"/>
                <w:sz w:val="18"/>
                <w:szCs w:val="18"/>
              </w:rPr>
              <w:t xml:space="preserve"> Scientific, 1:500), Alexa Fluor 647, Donkey anti-Goat IgG (H+L) Cross-Adsorbed Secondary Antibody, (</w:t>
            </w:r>
            <w:proofErr w:type="spellStart"/>
            <w:r w:rsidRPr="001918F5">
              <w:rPr>
                <w:rFonts w:ascii="Noto Sans" w:eastAsia="Noto Sans" w:hAnsi="Noto Sans" w:cs="Noto Sans"/>
                <w:color w:val="434343"/>
                <w:sz w:val="18"/>
                <w:szCs w:val="18"/>
              </w:rPr>
              <w:t>ThermoFisher</w:t>
            </w:r>
            <w:proofErr w:type="spellEnd"/>
            <w:r w:rsidRPr="001918F5">
              <w:rPr>
                <w:rFonts w:ascii="Noto Sans" w:eastAsia="Noto Sans" w:hAnsi="Noto Sans" w:cs="Noto Sans"/>
                <w:color w:val="434343"/>
                <w:sz w:val="18"/>
                <w:szCs w:val="18"/>
              </w:rPr>
              <w:t xml:space="preserve"> Scientific, 1:500), Alexa Fluor 488, Donkey anti-Goat IgG (H+L) Cross-Adsorbed Secondary Antibody, (</w:t>
            </w:r>
            <w:proofErr w:type="spellStart"/>
            <w:r w:rsidRPr="001918F5">
              <w:rPr>
                <w:rFonts w:ascii="Noto Sans" w:eastAsia="Noto Sans" w:hAnsi="Noto Sans" w:cs="Noto Sans"/>
                <w:color w:val="434343"/>
                <w:sz w:val="18"/>
                <w:szCs w:val="18"/>
              </w:rPr>
              <w:t>ThermoFisher</w:t>
            </w:r>
            <w:proofErr w:type="spellEnd"/>
            <w:r w:rsidRPr="001918F5">
              <w:rPr>
                <w:rFonts w:ascii="Noto Sans" w:eastAsia="Noto Sans" w:hAnsi="Noto Sans" w:cs="Noto Sans"/>
                <w:color w:val="434343"/>
                <w:sz w:val="18"/>
                <w:szCs w:val="18"/>
              </w:rPr>
              <w:t xml:space="preserve"> Scientific, 1:500), Alexa Fluor 568, Donkey anti-Rabbit IgG (H+L) Cross-Adsorbed Secondary Antibody, (</w:t>
            </w:r>
            <w:proofErr w:type="spellStart"/>
            <w:r w:rsidRPr="001918F5">
              <w:rPr>
                <w:rFonts w:ascii="Noto Sans" w:eastAsia="Noto Sans" w:hAnsi="Noto Sans" w:cs="Noto Sans"/>
                <w:color w:val="434343"/>
                <w:sz w:val="18"/>
                <w:szCs w:val="18"/>
              </w:rPr>
              <w:t>ThermoFisher</w:t>
            </w:r>
            <w:proofErr w:type="spellEnd"/>
            <w:r w:rsidRPr="001918F5">
              <w:rPr>
                <w:rFonts w:ascii="Noto Sans" w:eastAsia="Noto Sans" w:hAnsi="Noto Sans" w:cs="Noto Sans"/>
                <w:color w:val="434343"/>
                <w:sz w:val="18"/>
                <w:szCs w:val="18"/>
              </w:rPr>
              <w:t xml:space="preserve"> Scientific, 1:500).</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DC2D9E1" w14:textId="77777777" w:rsidR="00F102CC" w:rsidRDefault="001918F5">
            <w:pPr>
              <w:rPr>
                <w:rFonts w:ascii="Noto Sans" w:eastAsia="Noto Sans" w:hAnsi="Noto Sans" w:cs="Noto Sans"/>
                <w:bCs/>
                <w:color w:val="434343"/>
                <w:sz w:val="18"/>
                <w:szCs w:val="18"/>
              </w:rPr>
            </w:pPr>
            <w:r>
              <w:rPr>
                <w:rFonts w:ascii="Noto Sans" w:eastAsia="Noto Sans" w:hAnsi="Noto Sans" w:cs="Noto Sans"/>
                <w:bCs/>
                <w:color w:val="434343"/>
                <w:sz w:val="18"/>
                <w:szCs w:val="18"/>
              </w:rPr>
              <w:lastRenderedPageBreak/>
              <w:t>Figures</w:t>
            </w:r>
          </w:p>
          <w:p w14:paraId="214DA973" w14:textId="1B78C1C5" w:rsidR="001918F5" w:rsidRPr="001918F5" w:rsidRDefault="001918F5">
            <w:pPr>
              <w:rPr>
                <w:rFonts w:ascii="Noto Sans" w:eastAsia="Noto Sans" w:hAnsi="Noto Sans" w:cs="Noto Sans"/>
                <w:bCs/>
                <w:color w:val="434343"/>
                <w:sz w:val="18"/>
                <w:szCs w:val="18"/>
                <w:lang w:val="de-DE"/>
              </w:rPr>
            </w:pPr>
            <w:r w:rsidRPr="001918F5">
              <w:rPr>
                <w:rFonts w:ascii="Noto Sans" w:eastAsia="Noto Sans" w:hAnsi="Noto Sans" w:cs="Noto Sans"/>
                <w:bCs/>
                <w:color w:val="434343"/>
                <w:sz w:val="18"/>
                <w:szCs w:val="18"/>
                <w:lang w:val="de-DE"/>
              </w:rPr>
              <w:t xml:space="preserve">1 </w:t>
            </w:r>
            <w:proofErr w:type="gramStart"/>
            <w:r w:rsidRPr="001918F5">
              <w:rPr>
                <w:rFonts w:ascii="Noto Sans" w:eastAsia="Noto Sans" w:hAnsi="Noto Sans" w:cs="Noto Sans"/>
                <w:bCs/>
                <w:color w:val="434343"/>
                <w:sz w:val="18"/>
                <w:szCs w:val="18"/>
                <w:lang w:val="de-DE"/>
              </w:rPr>
              <w:t>C,D</w:t>
            </w:r>
            <w:proofErr w:type="gramEnd"/>
            <w:r w:rsidRPr="001918F5">
              <w:rPr>
                <w:rFonts w:ascii="Noto Sans" w:eastAsia="Noto Sans" w:hAnsi="Noto Sans" w:cs="Noto Sans"/>
                <w:bCs/>
                <w:color w:val="434343"/>
                <w:sz w:val="18"/>
                <w:szCs w:val="18"/>
                <w:lang w:val="de-DE"/>
              </w:rPr>
              <w:t>,G,H</w:t>
            </w:r>
          </w:p>
          <w:p w14:paraId="4BEFDCEF" w14:textId="02AE6A94" w:rsidR="001918F5" w:rsidRPr="001918F5" w:rsidRDefault="001918F5">
            <w:pPr>
              <w:rPr>
                <w:rFonts w:ascii="Noto Sans" w:eastAsia="Noto Sans" w:hAnsi="Noto Sans" w:cs="Noto Sans"/>
                <w:bCs/>
                <w:color w:val="434343"/>
                <w:sz w:val="18"/>
                <w:szCs w:val="18"/>
                <w:lang w:val="de-DE"/>
              </w:rPr>
            </w:pPr>
            <w:r w:rsidRPr="001918F5">
              <w:rPr>
                <w:rFonts w:ascii="Noto Sans" w:eastAsia="Noto Sans" w:hAnsi="Noto Sans" w:cs="Noto Sans"/>
                <w:bCs/>
                <w:color w:val="434343"/>
                <w:sz w:val="18"/>
                <w:szCs w:val="18"/>
                <w:lang w:val="de-DE"/>
              </w:rPr>
              <w:t xml:space="preserve">2 </w:t>
            </w:r>
            <w:proofErr w:type="gramStart"/>
            <w:r w:rsidRPr="001918F5">
              <w:rPr>
                <w:rFonts w:ascii="Noto Sans" w:eastAsia="Noto Sans" w:hAnsi="Noto Sans" w:cs="Noto Sans"/>
                <w:bCs/>
                <w:color w:val="434343"/>
                <w:sz w:val="18"/>
                <w:szCs w:val="18"/>
                <w:lang w:val="de-DE"/>
              </w:rPr>
              <w:t>C,D</w:t>
            </w:r>
            <w:proofErr w:type="gramEnd"/>
            <w:r w:rsidRPr="001918F5">
              <w:rPr>
                <w:rFonts w:ascii="Noto Sans" w:eastAsia="Noto Sans" w:hAnsi="Noto Sans" w:cs="Noto Sans"/>
                <w:bCs/>
                <w:color w:val="434343"/>
                <w:sz w:val="18"/>
                <w:szCs w:val="18"/>
                <w:lang w:val="de-DE"/>
              </w:rPr>
              <w:t>,E</w:t>
            </w:r>
          </w:p>
          <w:p w14:paraId="1B2C0ECD" w14:textId="783B523B" w:rsidR="001918F5" w:rsidRPr="001918F5" w:rsidRDefault="001918F5">
            <w:pPr>
              <w:rPr>
                <w:rFonts w:ascii="Noto Sans" w:eastAsia="Noto Sans" w:hAnsi="Noto Sans" w:cs="Noto Sans"/>
                <w:bCs/>
                <w:color w:val="434343"/>
                <w:sz w:val="18"/>
                <w:szCs w:val="18"/>
                <w:lang w:val="de-DE"/>
              </w:rPr>
            </w:pPr>
            <w:r w:rsidRPr="001918F5">
              <w:rPr>
                <w:rFonts w:ascii="Noto Sans" w:eastAsia="Noto Sans" w:hAnsi="Noto Sans" w:cs="Noto Sans"/>
                <w:bCs/>
                <w:color w:val="434343"/>
                <w:sz w:val="18"/>
                <w:szCs w:val="18"/>
                <w:lang w:val="de-DE"/>
              </w:rPr>
              <w:t>3</w:t>
            </w:r>
            <w:r>
              <w:rPr>
                <w:rFonts w:ascii="Noto Sans" w:eastAsia="Noto Sans" w:hAnsi="Noto Sans" w:cs="Noto Sans"/>
                <w:bCs/>
                <w:color w:val="434343"/>
                <w:sz w:val="18"/>
                <w:szCs w:val="18"/>
                <w:lang w:val="de-DE"/>
              </w:rPr>
              <w:t xml:space="preserve"> </w:t>
            </w:r>
            <w:proofErr w:type="gramStart"/>
            <w:r w:rsidRPr="001918F5">
              <w:rPr>
                <w:rFonts w:ascii="Noto Sans" w:eastAsia="Noto Sans" w:hAnsi="Noto Sans" w:cs="Noto Sans"/>
                <w:bCs/>
                <w:color w:val="434343"/>
                <w:sz w:val="18"/>
                <w:szCs w:val="18"/>
                <w:lang w:val="de-DE"/>
              </w:rPr>
              <w:t>B,C</w:t>
            </w:r>
            <w:proofErr w:type="gramEnd"/>
            <w:r w:rsidRPr="001918F5">
              <w:rPr>
                <w:rFonts w:ascii="Noto Sans" w:eastAsia="Noto Sans" w:hAnsi="Noto Sans" w:cs="Noto Sans"/>
                <w:bCs/>
                <w:color w:val="434343"/>
                <w:sz w:val="18"/>
                <w:szCs w:val="18"/>
                <w:lang w:val="de-DE"/>
              </w:rPr>
              <w:t>,H,J</w:t>
            </w:r>
          </w:p>
          <w:p w14:paraId="4D4115E4" w14:textId="16CE908F" w:rsidR="001918F5" w:rsidRDefault="001918F5">
            <w:pPr>
              <w:rPr>
                <w:rFonts w:ascii="Noto Sans" w:eastAsia="Noto Sans" w:hAnsi="Noto Sans" w:cs="Noto Sans"/>
                <w:bCs/>
                <w:color w:val="434343"/>
                <w:sz w:val="18"/>
                <w:szCs w:val="18"/>
              </w:rPr>
            </w:pPr>
            <w:r>
              <w:rPr>
                <w:rFonts w:ascii="Noto Sans" w:eastAsia="Noto Sans" w:hAnsi="Noto Sans" w:cs="Noto Sans"/>
                <w:bCs/>
                <w:color w:val="434343"/>
                <w:sz w:val="18"/>
                <w:szCs w:val="18"/>
              </w:rPr>
              <w:t>4 B,C,I,J</w:t>
            </w:r>
          </w:p>
          <w:p w14:paraId="578F38A8" w14:textId="6686FBAD" w:rsidR="001918F5" w:rsidRDefault="001918F5">
            <w:pPr>
              <w:rPr>
                <w:rFonts w:ascii="Noto Sans" w:eastAsia="Noto Sans" w:hAnsi="Noto Sans" w:cs="Noto Sans"/>
                <w:bCs/>
                <w:color w:val="434343"/>
                <w:sz w:val="18"/>
                <w:szCs w:val="18"/>
              </w:rPr>
            </w:pPr>
            <w:r>
              <w:rPr>
                <w:rFonts w:ascii="Noto Sans" w:eastAsia="Noto Sans" w:hAnsi="Noto Sans" w:cs="Noto Sans"/>
                <w:bCs/>
                <w:color w:val="434343"/>
                <w:sz w:val="18"/>
                <w:szCs w:val="18"/>
              </w:rPr>
              <w:t>1S1 C,D,E</w:t>
            </w:r>
          </w:p>
          <w:p w14:paraId="637205A5" w14:textId="20D02E56" w:rsidR="001918F5" w:rsidRDefault="001918F5">
            <w:pPr>
              <w:rPr>
                <w:rFonts w:ascii="Noto Sans" w:eastAsia="Noto Sans" w:hAnsi="Noto Sans" w:cs="Noto Sans"/>
                <w:bCs/>
                <w:color w:val="434343"/>
                <w:sz w:val="18"/>
                <w:szCs w:val="18"/>
              </w:rPr>
            </w:pPr>
            <w:r>
              <w:rPr>
                <w:rFonts w:ascii="Noto Sans" w:eastAsia="Noto Sans" w:hAnsi="Noto Sans" w:cs="Noto Sans"/>
                <w:bCs/>
                <w:color w:val="434343"/>
                <w:sz w:val="18"/>
                <w:szCs w:val="18"/>
              </w:rPr>
              <w:t>2S1 D</w:t>
            </w:r>
          </w:p>
          <w:p w14:paraId="6D8E4E5D" w14:textId="527D1071" w:rsidR="001918F5" w:rsidRDefault="001918F5">
            <w:pPr>
              <w:rPr>
                <w:rFonts w:ascii="Noto Sans" w:eastAsia="Noto Sans" w:hAnsi="Noto Sans" w:cs="Noto Sans"/>
                <w:bCs/>
                <w:color w:val="434343"/>
                <w:sz w:val="18"/>
                <w:szCs w:val="18"/>
              </w:rPr>
            </w:pPr>
            <w:r>
              <w:rPr>
                <w:rFonts w:ascii="Noto Sans" w:eastAsia="Noto Sans" w:hAnsi="Noto Sans" w:cs="Noto Sans"/>
                <w:bCs/>
                <w:color w:val="434343"/>
                <w:sz w:val="18"/>
                <w:szCs w:val="18"/>
              </w:rPr>
              <w:t>3S1 D,E</w:t>
            </w:r>
          </w:p>
          <w:p w14:paraId="22EC8EED" w14:textId="7DD361F7" w:rsidR="001918F5" w:rsidRDefault="001918F5">
            <w:pPr>
              <w:rPr>
                <w:rFonts w:ascii="Noto Sans" w:eastAsia="Noto Sans" w:hAnsi="Noto Sans" w:cs="Noto Sans"/>
                <w:bCs/>
                <w:color w:val="434343"/>
                <w:sz w:val="18"/>
                <w:szCs w:val="18"/>
              </w:rPr>
            </w:pPr>
            <w:r>
              <w:rPr>
                <w:rFonts w:ascii="Noto Sans" w:eastAsia="Noto Sans" w:hAnsi="Noto Sans" w:cs="Noto Sans"/>
                <w:bCs/>
                <w:color w:val="434343"/>
                <w:sz w:val="18"/>
                <w:szCs w:val="18"/>
              </w:rPr>
              <w:t>3S2 F</w:t>
            </w:r>
          </w:p>
          <w:p w14:paraId="31623D56" w14:textId="7F978A86" w:rsidR="001918F5" w:rsidRDefault="001918F5">
            <w:pPr>
              <w:rPr>
                <w:rFonts w:ascii="Noto Sans" w:eastAsia="Noto Sans" w:hAnsi="Noto Sans" w:cs="Noto Sans"/>
                <w:bCs/>
                <w:color w:val="434343"/>
                <w:sz w:val="18"/>
                <w:szCs w:val="18"/>
              </w:rPr>
            </w:pPr>
            <w:r>
              <w:rPr>
                <w:rFonts w:ascii="Noto Sans" w:eastAsia="Noto Sans" w:hAnsi="Noto Sans" w:cs="Noto Sans"/>
                <w:bCs/>
                <w:color w:val="434343"/>
                <w:sz w:val="18"/>
                <w:szCs w:val="18"/>
              </w:rPr>
              <w:t>3S3 C,D</w:t>
            </w:r>
          </w:p>
          <w:p w14:paraId="3F14ECE0" w14:textId="4E492FF4" w:rsidR="001918F5" w:rsidRDefault="001918F5">
            <w:pPr>
              <w:rPr>
                <w:rFonts w:ascii="Noto Sans" w:eastAsia="Noto Sans" w:hAnsi="Noto Sans" w:cs="Noto Sans"/>
                <w:bCs/>
                <w:color w:val="434343"/>
                <w:sz w:val="18"/>
                <w:szCs w:val="18"/>
              </w:rPr>
            </w:pPr>
            <w:r>
              <w:rPr>
                <w:rFonts w:ascii="Noto Sans" w:eastAsia="Noto Sans" w:hAnsi="Noto Sans" w:cs="Noto Sans"/>
                <w:bCs/>
                <w:color w:val="434343"/>
                <w:sz w:val="18"/>
                <w:szCs w:val="18"/>
              </w:rPr>
              <w:t>4S1 C</w:t>
            </w:r>
          </w:p>
          <w:p w14:paraId="68C180C6" w14:textId="58890459" w:rsidR="001918F5" w:rsidRDefault="001918F5">
            <w:pPr>
              <w:rPr>
                <w:rFonts w:ascii="Noto Sans" w:eastAsia="Noto Sans" w:hAnsi="Noto Sans" w:cs="Noto Sans"/>
                <w:bCs/>
                <w:color w:val="434343"/>
                <w:sz w:val="18"/>
                <w:szCs w:val="18"/>
              </w:rPr>
            </w:pPr>
            <w:r>
              <w:rPr>
                <w:rFonts w:ascii="Noto Sans" w:eastAsia="Noto Sans" w:hAnsi="Noto Sans" w:cs="Noto Sans"/>
                <w:bCs/>
                <w:color w:val="434343"/>
                <w:sz w:val="18"/>
                <w:szCs w:val="18"/>
              </w:rPr>
              <w:t>4S3 C</w:t>
            </w:r>
          </w:p>
          <w:p w14:paraId="31209F92" w14:textId="6973D129" w:rsidR="001918F5" w:rsidRPr="003D5AF6" w:rsidRDefault="001918F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42BC6D" w14:textId="3F80F292" w:rsidR="00F102CC" w:rsidRDefault="00CD5FE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qPCR primer pairs to measure relative gene expression</w:t>
            </w:r>
          </w:p>
          <w:p w14:paraId="4B233DEC" w14:textId="79353AF1" w:rsidR="00CD5FEC" w:rsidRDefault="00CD5FE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qPCR primer pairs for diffusion map analysis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FED4E48" w14:textId="77777777" w:rsidR="00F102CC" w:rsidRDefault="00CD5FEC">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S1</w:t>
            </w:r>
          </w:p>
          <w:p w14:paraId="220B6931" w14:textId="694D6963" w:rsidR="00CD5FEC" w:rsidRPr="003D5AF6" w:rsidRDefault="00CD5FEC">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S2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F099D8" w14:textId="474B032A" w:rsidR="00CD5FEC" w:rsidRDefault="00CD5FEC">
            <w:pPr>
              <w:rPr>
                <w:rFonts w:ascii="Noto Sans" w:eastAsia="Noto Sans" w:hAnsi="Noto Sans" w:cs="Noto Sans"/>
                <w:color w:val="434343"/>
                <w:sz w:val="18"/>
                <w:szCs w:val="18"/>
              </w:rPr>
            </w:pPr>
            <w:r>
              <w:rPr>
                <w:rFonts w:ascii="Noto Sans" w:eastAsia="Noto Sans" w:hAnsi="Noto Sans" w:cs="Noto Sans"/>
                <w:color w:val="434343"/>
                <w:sz w:val="18"/>
                <w:szCs w:val="18"/>
              </w:rPr>
              <w:t>Cord Blood iPSC, Max Planck</w:t>
            </w:r>
            <w:r w:rsidR="00A7756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Institute Münster, (Dorn et al., 2015)</w:t>
            </w:r>
          </w:p>
          <w:p w14:paraId="45C23E57" w14:textId="77777777" w:rsidR="00F102CC" w:rsidRDefault="00CD5FEC">
            <w:pPr>
              <w:rPr>
                <w:rFonts w:ascii="Noto Sans" w:eastAsia="Noto Sans" w:hAnsi="Noto Sans" w:cs="Noto Sans"/>
                <w:color w:val="434343"/>
                <w:sz w:val="18"/>
                <w:szCs w:val="18"/>
              </w:rPr>
            </w:pPr>
            <w:r>
              <w:rPr>
                <w:rFonts w:ascii="Noto Sans" w:eastAsia="Noto Sans" w:hAnsi="Noto Sans" w:cs="Noto Sans"/>
                <w:color w:val="434343"/>
                <w:sz w:val="18"/>
                <w:szCs w:val="18"/>
              </w:rPr>
              <w:t>DMD_iPS1, BMD_iPS1, Boston Children’s Hospital Stem Cell Core (Park et al., 2008)</w:t>
            </w:r>
          </w:p>
          <w:p w14:paraId="4203CFA4" w14:textId="77777777" w:rsidR="00CD5FEC" w:rsidRDefault="00CD5FEC">
            <w:pPr>
              <w:rPr>
                <w:rFonts w:ascii="Noto Sans" w:eastAsia="Noto Sans" w:hAnsi="Noto Sans" w:cs="Noto Sans"/>
                <w:color w:val="434343"/>
                <w:sz w:val="18"/>
                <w:szCs w:val="18"/>
              </w:rPr>
            </w:pPr>
            <w:r>
              <w:rPr>
                <w:rFonts w:ascii="Noto Sans" w:eastAsia="Noto Sans" w:hAnsi="Noto Sans" w:cs="Noto Sans"/>
                <w:color w:val="434343"/>
                <w:sz w:val="18"/>
                <w:szCs w:val="18"/>
              </w:rPr>
              <w:t>DMD</w:t>
            </w:r>
            <w:r w:rsidR="00304560">
              <w:rPr>
                <w:rFonts w:ascii="Noto Sans" w:eastAsia="Noto Sans" w:hAnsi="Noto Sans" w:cs="Noto Sans"/>
                <w:color w:val="434343"/>
                <w:sz w:val="18"/>
                <w:szCs w:val="18"/>
              </w:rPr>
              <w:t xml:space="preserve">_iPSCORE_65_1, </w:t>
            </w:r>
            <w:proofErr w:type="spellStart"/>
            <w:r w:rsidR="00304560">
              <w:rPr>
                <w:rFonts w:ascii="Noto Sans" w:eastAsia="Noto Sans" w:hAnsi="Noto Sans" w:cs="Noto Sans"/>
                <w:color w:val="434343"/>
                <w:sz w:val="18"/>
                <w:szCs w:val="18"/>
              </w:rPr>
              <w:t>WiCell</w:t>
            </w:r>
            <w:proofErr w:type="spellEnd"/>
            <w:r w:rsidR="00304560">
              <w:rPr>
                <w:rFonts w:ascii="Noto Sans" w:eastAsia="Noto Sans" w:hAnsi="Noto Sans" w:cs="Noto Sans"/>
                <w:color w:val="434343"/>
                <w:sz w:val="18"/>
                <w:szCs w:val="18"/>
              </w:rPr>
              <w:t xml:space="preserve"> cat.no. WB60393 (</w:t>
            </w:r>
            <w:proofErr w:type="spellStart"/>
            <w:r w:rsidR="00304560">
              <w:rPr>
                <w:rFonts w:ascii="Noto Sans" w:eastAsia="Noto Sans" w:hAnsi="Noto Sans" w:cs="Noto Sans"/>
                <w:color w:val="434343"/>
                <w:sz w:val="18"/>
                <w:szCs w:val="18"/>
              </w:rPr>
              <w:t>Panopoulos</w:t>
            </w:r>
            <w:proofErr w:type="spellEnd"/>
            <w:r w:rsidR="00304560">
              <w:rPr>
                <w:rFonts w:ascii="Noto Sans" w:eastAsia="Noto Sans" w:hAnsi="Noto Sans" w:cs="Noto Sans"/>
                <w:color w:val="434343"/>
                <w:sz w:val="18"/>
                <w:szCs w:val="18"/>
              </w:rPr>
              <w:t xml:space="preserve"> et al., 2017)</w:t>
            </w:r>
          </w:p>
          <w:p w14:paraId="480F7601" w14:textId="166E1966" w:rsidR="00304560" w:rsidRPr="00A77562" w:rsidRDefault="00304560">
            <w:pPr>
              <w:rPr>
                <w:rFonts w:ascii="Noto Sans" w:eastAsia="Noto Sans" w:hAnsi="Noto Sans" w:cs="Noto Sans"/>
                <w:color w:val="434343"/>
                <w:sz w:val="18"/>
                <w:szCs w:val="18"/>
              </w:rPr>
            </w:pPr>
            <w:r w:rsidRPr="00A77562">
              <w:rPr>
                <w:rFonts w:ascii="Noto Sans" w:eastAsia="Noto Sans" w:hAnsi="Noto Sans" w:cs="Noto Sans"/>
                <w:color w:val="434343"/>
                <w:sz w:val="18"/>
                <w:szCs w:val="18"/>
              </w:rPr>
              <w:t>LGMD2A</w:t>
            </w:r>
            <w:r w:rsidR="0003262A" w:rsidRPr="00A77562">
              <w:rPr>
                <w:rFonts w:ascii="Noto Sans" w:eastAsia="Noto Sans" w:hAnsi="Noto Sans" w:cs="Noto Sans"/>
                <w:color w:val="434343"/>
                <w:sz w:val="18"/>
                <w:szCs w:val="18"/>
              </w:rPr>
              <w:t xml:space="preserve"> + isogenic</w:t>
            </w:r>
            <w:r w:rsidRPr="00A77562">
              <w:rPr>
                <w:rFonts w:ascii="Noto Sans" w:eastAsia="Noto Sans" w:hAnsi="Noto Sans" w:cs="Noto Sans"/>
                <w:color w:val="434343"/>
                <w:sz w:val="18"/>
                <w:szCs w:val="18"/>
              </w:rPr>
              <w:t xml:space="preserve"> iPSC, </w:t>
            </w:r>
            <w:r w:rsidR="00A77562" w:rsidRPr="00A77562">
              <w:rPr>
                <w:rFonts w:ascii="Noto Sans" w:eastAsia="Noto Sans" w:hAnsi="Noto Sans" w:cs="Noto Sans"/>
                <w:color w:val="434343"/>
                <w:sz w:val="18"/>
                <w:szCs w:val="18"/>
              </w:rPr>
              <w:t>Ruhr University Bo</w:t>
            </w:r>
            <w:r w:rsidR="00A77562">
              <w:rPr>
                <w:rFonts w:ascii="Noto Sans" w:eastAsia="Noto Sans" w:hAnsi="Noto Sans" w:cs="Noto Sans"/>
                <w:color w:val="434343"/>
                <w:sz w:val="18"/>
                <w:szCs w:val="18"/>
              </w:rPr>
              <w:t xml:space="preserve">chum </w:t>
            </w:r>
            <w:r w:rsidRPr="00A77562">
              <w:rPr>
                <w:rFonts w:ascii="Noto Sans" w:eastAsia="Noto Sans" w:hAnsi="Noto Sans" w:cs="Noto Sans"/>
                <w:color w:val="434343"/>
                <w:sz w:val="18"/>
                <w:szCs w:val="18"/>
              </w:rPr>
              <w:t>(</w:t>
            </w:r>
            <w:proofErr w:type="spellStart"/>
            <w:r w:rsidRPr="00A77562">
              <w:rPr>
                <w:rFonts w:ascii="Noto Sans" w:eastAsia="Noto Sans" w:hAnsi="Noto Sans" w:cs="Noto Sans"/>
                <w:color w:val="434343"/>
                <w:sz w:val="18"/>
                <w:szCs w:val="18"/>
              </w:rPr>
              <w:t>Mavrommatis</w:t>
            </w:r>
            <w:proofErr w:type="spellEnd"/>
            <w:r w:rsidRPr="00A77562">
              <w:rPr>
                <w:rFonts w:ascii="Noto Sans" w:eastAsia="Noto Sans" w:hAnsi="Noto Sans" w:cs="Noto Sans"/>
                <w:color w:val="434343"/>
                <w:sz w:val="18"/>
                <w:szCs w:val="18"/>
              </w:rPr>
              <w:t xml:space="preserve"> et al., 2020)</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0217BF3" w:rsidR="00F102CC" w:rsidRPr="003D5AF6" w:rsidRDefault="00304560">
            <w:pPr>
              <w:rPr>
                <w:rFonts w:ascii="Noto Sans" w:eastAsia="Noto Sans" w:hAnsi="Noto Sans" w:cs="Noto Sans"/>
                <w:bCs/>
                <w:color w:val="434343"/>
                <w:sz w:val="18"/>
                <w:szCs w:val="18"/>
              </w:rPr>
            </w:pPr>
            <w:r>
              <w:rPr>
                <w:rFonts w:ascii="Noto Sans" w:eastAsia="Noto Sans" w:hAnsi="Noto Sans" w:cs="Noto Sans"/>
                <w:bCs/>
                <w:color w:val="434343"/>
                <w:sz w:val="18"/>
                <w:szCs w:val="18"/>
              </w:rPr>
              <w:t>all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5AFB499" w:rsidR="00F102CC" w:rsidRDefault="00F102CC">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9BF9B6A" w14:textId="77777777" w:rsidR="00F102CC" w:rsidRDefault="00F102CC">
            <w:pPr>
              <w:rPr>
                <w:rFonts w:ascii="Noto Sans" w:eastAsia="Noto Sans" w:hAnsi="Noto Sans" w:cs="Noto Sans"/>
                <w:b/>
                <w:color w:val="434343"/>
                <w:sz w:val="16"/>
                <w:szCs w:val="16"/>
              </w:rPr>
            </w:pPr>
          </w:p>
          <w:p w14:paraId="3C465080" w14:textId="77777777" w:rsidR="0003262A" w:rsidRDefault="0003262A">
            <w:pPr>
              <w:rPr>
                <w:rFonts w:ascii="Noto Sans" w:eastAsia="Noto Sans" w:hAnsi="Noto Sans" w:cs="Noto Sans"/>
                <w:b/>
                <w:color w:val="434343"/>
                <w:sz w:val="16"/>
                <w:szCs w:val="16"/>
              </w:rPr>
            </w:pPr>
          </w:p>
          <w:p w14:paraId="24E67F9F" w14:textId="77777777" w:rsidR="0003262A" w:rsidRDefault="0003262A">
            <w:pPr>
              <w:rPr>
                <w:rFonts w:ascii="Noto Sans" w:eastAsia="Noto Sans" w:hAnsi="Noto Sans" w:cs="Noto Sans"/>
                <w:b/>
                <w:color w:val="434343"/>
                <w:sz w:val="16"/>
                <w:szCs w:val="16"/>
              </w:rPr>
            </w:pPr>
          </w:p>
          <w:p w14:paraId="4CF30BDC" w14:textId="77777777" w:rsidR="0003262A" w:rsidRDefault="0003262A">
            <w:pPr>
              <w:rPr>
                <w:rFonts w:ascii="Noto Sans" w:eastAsia="Noto Sans" w:hAnsi="Noto Sans" w:cs="Noto Sans"/>
                <w:b/>
                <w:color w:val="434343"/>
                <w:sz w:val="16"/>
                <w:szCs w:val="16"/>
              </w:rPr>
            </w:pPr>
          </w:p>
          <w:p w14:paraId="5973BBBB" w14:textId="77777777" w:rsidR="0003262A" w:rsidRDefault="0003262A">
            <w:pPr>
              <w:rPr>
                <w:rFonts w:ascii="Noto Sans" w:eastAsia="Noto Sans" w:hAnsi="Noto Sans" w:cs="Noto Sans"/>
                <w:b/>
                <w:color w:val="434343"/>
                <w:sz w:val="16"/>
                <w:szCs w:val="16"/>
              </w:rPr>
            </w:pPr>
          </w:p>
          <w:p w14:paraId="3E7737AB" w14:textId="77777777" w:rsidR="0003262A" w:rsidRDefault="0003262A">
            <w:pPr>
              <w:rPr>
                <w:rFonts w:ascii="Noto Sans" w:eastAsia="Noto Sans" w:hAnsi="Noto Sans" w:cs="Noto Sans"/>
                <w:b/>
                <w:color w:val="434343"/>
                <w:sz w:val="16"/>
                <w:szCs w:val="16"/>
              </w:rPr>
            </w:pPr>
          </w:p>
          <w:p w14:paraId="451250F5" w14:textId="47F5DEF5" w:rsidR="0003262A" w:rsidRPr="003D5AF6" w:rsidRDefault="0003262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22ED70" w14:textId="4F2AC9DA" w:rsidR="00F102CC" w:rsidRDefault="00304560">
            <w:pPr>
              <w:rPr>
                <w:rFonts w:ascii="Noto Sans" w:eastAsia="Noto Sans" w:hAnsi="Noto Sans" w:cs="Noto Sans"/>
                <w:color w:val="434343"/>
                <w:sz w:val="18"/>
                <w:szCs w:val="18"/>
              </w:rPr>
            </w:pPr>
            <w:r w:rsidRPr="00304560">
              <w:rPr>
                <w:rFonts w:ascii="Noto Sans" w:eastAsia="Noto Sans" w:hAnsi="Noto Sans" w:cs="Noto Sans"/>
                <w:color w:val="434343"/>
                <w:sz w:val="18"/>
                <w:szCs w:val="18"/>
              </w:rPr>
              <w:t>2-3 months old male HsdCpb:NMRI-Foxn1nu mice</w:t>
            </w:r>
          </w:p>
          <w:p w14:paraId="615F5D47" w14:textId="02C4B39A" w:rsidR="00304560" w:rsidRDefault="00304560">
            <w:pPr>
              <w:rPr>
                <w:rFonts w:ascii="Noto Sans" w:eastAsia="Noto Sans" w:hAnsi="Noto Sans" w:cs="Noto Sans"/>
                <w:color w:val="434343"/>
                <w:sz w:val="18"/>
                <w:szCs w:val="18"/>
              </w:rPr>
            </w:pPr>
            <w:r w:rsidRPr="00304560">
              <w:rPr>
                <w:rFonts w:ascii="Noto Sans" w:eastAsia="Noto Sans" w:hAnsi="Noto Sans" w:cs="Noto Sans"/>
                <w:color w:val="434343"/>
                <w:sz w:val="18"/>
                <w:szCs w:val="18"/>
              </w:rPr>
              <w:t xml:space="preserve">Harlan Laboratories B.V., PO Box 553, 5800 AN Venray </w:t>
            </w:r>
            <w:proofErr w:type="spellStart"/>
            <w:r w:rsidRPr="00304560">
              <w:rPr>
                <w:rFonts w:ascii="Noto Sans" w:eastAsia="Noto Sans" w:hAnsi="Noto Sans" w:cs="Noto Sans"/>
                <w:color w:val="434343"/>
                <w:sz w:val="18"/>
                <w:szCs w:val="18"/>
              </w:rPr>
              <w:t>oder</w:t>
            </w:r>
            <w:proofErr w:type="spellEnd"/>
            <w:r w:rsidRPr="00304560">
              <w:rPr>
                <w:rFonts w:ascii="Noto Sans" w:eastAsia="Noto Sans" w:hAnsi="Noto Sans" w:cs="Noto Sans"/>
                <w:color w:val="434343"/>
                <w:sz w:val="18"/>
                <w:szCs w:val="18"/>
              </w:rPr>
              <w:t xml:space="preserve"> JANVIER SAS, CS 4105, LE GENEST ST ISLE F-53941 St </w:t>
            </w:r>
            <w:proofErr w:type="spellStart"/>
            <w:r w:rsidRPr="00304560">
              <w:rPr>
                <w:rFonts w:ascii="Noto Sans" w:eastAsia="Noto Sans" w:hAnsi="Noto Sans" w:cs="Noto Sans"/>
                <w:color w:val="434343"/>
                <w:sz w:val="18"/>
                <w:szCs w:val="18"/>
              </w:rPr>
              <w:t>Berthevin</w:t>
            </w:r>
            <w:proofErr w:type="spellEnd"/>
            <w:r w:rsidRPr="00304560">
              <w:rPr>
                <w:rFonts w:ascii="Noto Sans" w:eastAsia="Noto Sans" w:hAnsi="Noto Sans" w:cs="Noto Sans"/>
                <w:color w:val="434343"/>
                <w:sz w:val="18"/>
                <w:szCs w:val="18"/>
              </w:rPr>
              <w:t xml:space="preserve"> Cedex</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E2E551C" w:rsidR="00F102CC" w:rsidRPr="003D5AF6" w:rsidRDefault="00304560">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4 I,J</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F3F409A" w:rsidR="00F102CC" w:rsidRDefault="00F102CC">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3283EE96" w:rsidR="00F102CC" w:rsidRDefault="00F102CC">
            <w:pPr>
              <w:spacing w:line="225" w:lineRule="auto"/>
              <w:rPr>
                <w:rFonts w:ascii="Noto Sans" w:eastAsia="Noto Sans" w:hAnsi="Noto Sans" w:cs="Noto Sans"/>
                <w:b/>
                <w:color w:val="434343"/>
                <w:sz w:val="18"/>
                <w:szCs w:val="18"/>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776ADE5" w:rsidR="00F102CC" w:rsidRPr="003D5AF6" w:rsidRDefault="0030456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0A64BB0D" w:rsidR="00F102CC" w:rsidRDefault="00F102CC">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04560">
        <w:trPr>
          <w:trHeight w:val="29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72B24118" w:rsidR="00F102CC" w:rsidRDefault="00F102CC">
            <w:pPr>
              <w:spacing w:line="225" w:lineRule="auto"/>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33E7064" w:rsidR="00F102CC" w:rsidRPr="0003262A" w:rsidRDefault="00304560">
            <w:pPr>
              <w:rPr>
                <w:rFonts w:ascii="Noto Sans" w:eastAsia="Noto Sans" w:hAnsi="Noto Sans" w:cs="Noto Sans"/>
                <w:color w:val="434343"/>
                <w:sz w:val="18"/>
                <w:szCs w:val="18"/>
              </w:rPr>
            </w:pPr>
            <w:r w:rsidRPr="0003262A">
              <w:rPr>
                <w:rFonts w:ascii="Noto Sans" w:eastAsia="Noto Sans" w:hAnsi="Noto Sans" w:cs="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6D6A97B3" w:rsidR="00F102CC" w:rsidRDefault="00F102CC">
            <w:pPr>
              <w:rPr>
                <w:rFonts w:ascii="Noto Sans" w:eastAsia="Noto Sans" w:hAnsi="Noto Sans" w:cs="Noto Sans"/>
                <w:color w:val="434343"/>
                <w:sz w:val="18"/>
                <w:szCs w:val="18"/>
              </w:rPr>
            </w:pP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F45C1E3" w:rsidR="00F102CC" w:rsidRPr="003D5AF6" w:rsidRDefault="003045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422C0126" w:rsidR="00F102CC" w:rsidRDefault="00F102CC">
            <w:pPr>
              <w:rPr>
                <w:rFonts w:ascii="Noto Sans" w:eastAsia="Noto Sans" w:hAnsi="Noto Sans" w:cs="Noto Sans"/>
                <w:b/>
                <w:color w:val="434343"/>
                <w:sz w:val="18"/>
                <w:szCs w:val="18"/>
              </w:rPr>
            </w:pP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E883F0" w:rsidR="00F102CC" w:rsidRPr="003D5AF6" w:rsidRDefault="003045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FAC53E7" w:rsidR="00F102CC" w:rsidRPr="003D5AF6" w:rsidRDefault="003045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C012634" w:rsidR="00F102CC" w:rsidRPr="0003262A" w:rsidRDefault="00304560">
            <w:pPr>
              <w:spacing w:line="225" w:lineRule="auto"/>
              <w:rPr>
                <w:rFonts w:ascii="Noto Sans" w:eastAsia="Noto Sans" w:hAnsi="Noto Sans" w:cs="Noto Sans"/>
                <w:color w:val="434343"/>
                <w:sz w:val="18"/>
                <w:szCs w:val="18"/>
              </w:rPr>
            </w:pPr>
            <w:r w:rsidRPr="0003262A">
              <w:rPr>
                <w:rFonts w:ascii="Noto Sans" w:eastAsia="Noto Sans" w:hAnsi="Noto Sans" w:cs="Noto San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2B44B7D" w:rsidR="00F102CC" w:rsidRPr="003D5AF6" w:rsidRDefault="003045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CCBEC12" w:rsidR="00F102CC" w:rsidRPr="003D5AF6" w:rsidRDefault="003045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50837B65" w:rsidR="00F102CC" w:rsidRDefault="00304560">
            <w:pPr>
              <w:rPr>
                <w:rFonts w:ascii="Noto Sans" w:eastAsia="Noto Sans" w:hAnsi="Noto Sans" w:cs="Noto Sans"/>
                <w:color w:val="434343"/>
                <w:sz w:val="18"/>
                <w:szCs w:val="18"/>
              </w:rPr>
            </w:pPr>
            <w:r w:rsidRPr="00304560">
              <w:rPr>
                <w:rFonts w:ascii="Noto Sans" w:eastAsia="Noto Sans" w:hAnsi="Noto Sans" w:cs="Noto Sans"/>
                <w:color w:val="434343"/>
                <w:sz w:val="18"/>
                <w:szCs w:val="18"/>
              </w:rPr>
              <w:t xml:space="preserve">The organoid approach was evaluated with six </w:t>
            </w:r>
            <w:proofErr w:type="spellStart"/>
            <w:r w:rsidRPr="00304560">
              <w:rPr>
                <w:rFonts w:ascii="Noto Sans" w:eastAsia="Noto Sans" w:hAnsi="Noto Sans" w:cs="Noto Sans"/>
                <w:color w:val="434343"/>
                <w:sz w:val="18"/>
                <w:szCs w:val="18"/>
              </w:rPr>
              <w:t>hiPSCs</w:t>
            </w:r>
            <w:proofErr w:type="spellEnd"/>
            <w:r w:rsidRPr="00304560">
              <w:rPr>
                <w:rFonts w:ascii="Noto Sans" w:eastAsia="Noto Sans" w:hAnsi="Noto Sans" w:cs="Noto Sans"/>
                <w:color w:val="434343"/>
                <w:sz w:val="18"/>
                <w:szCs w:val="18"/>
              </w:rPr>
              <w:t xml:space="preserve"> lines with independent genetic backgrounds, with more than five independent derivations per line, especially for the control line (CB CD34+) more than 20 derivation, obtaining always similar results</w:t>
            </w:r>
            <w:r>
              <w:rPr>
                <w:rFonts w:ascii="Noto Sans" w:eastAsia="Noto Sans" w:hAnsi="Noto Sans" w:cs="Noto Sans"/>
                <w:color w:val="434343"/>
                <w:sz w:val="18"/>
                <w:szCs w:val="18"/>
              </w:rPr>
              <w:t>.</w:t>
            </w:r>
            <w:r w:rsidR="002B7271">
              <w:rPr>
                <w:rFonts w:ascii="Noto Sans" w:eastAsia="Noto Sans" w:hAnsi="Noto Sans" w:cs="Noto Sans"/>
                <w:color w:val="434343"/>
                <w:sz w:val="18"/>
                <w:szCs w:val="18"/>
              </w:rPr>
              <w:t xml:space="preserve"> </w:t>
            </w:r>
            <w:r w:rsidR="002B7271" w:rsidRPr="002B7271">
              <w:rPr>
                <w:rFonts w:ascii="Noto Sans" w:eastAsia="Noto Sans" w:hAnsi="Noto Sans" w:cs="Noto Sans"/>
                <w:color w:val="434343"/>
                <w:sz w:val="18"/>
                <w:szCs w:val="18"/>
              </w:rPr>
              <w:t>Our reported protocol is based on about 45 independent differentiation inductions.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AD4D0E8" w:rsidR="00F102CC" w:rsidRPr="003D5AF6" w:rsidRDefault="003045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r w:rsidR="002B7271">
              <w:rPr>
                <w:rFonts w:ascii="Noto Sans" w:eastAsia="Noto Sans" w:hAnsi="Noto Sans" w:cs="Noto Sans"/>
                <w:bCs/>
                <w:color w:val="434343"/>
                <w:sz w:val="18"/>
                <w:szCs w:val="18"/>
              </w:rPr>
              <w:t>1-4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170E2CEB" w:rsidR="00F102CC" w:rsidRDefault="002B7271">
            <w:pPr>
              <w:rPr>
                <w:rFonts w:ascii="Noto Sans" w:eastAsia="Noto Sans" w:hAnsi="Noto Sans" w:cs="Noto Sans"/>
                <w:color w:val="434343"/>
                <w:sz w:val="18"/>
                <w:szCs w:val="18"/>
              </w:rPr>
            </w:pPr>
            <w:r w:rsidRPr="002B7271">
              <w:rPr>
                <w:rFonts w:ascii="Noto Sans" w:eastAsia="Noto Sans" w:hAnsi="Noto Sans" w:cs="Noto Sans"/>
                <w:color w:val="434343"/>
                <w:sz w:val="18"/>
                <w:szCs w:val="18"/>
              </w:rPr>
              <w:t xml:space="preserve">Each </w:t>
            </w:r>
            <w:proofErr w:type="spellStart"/>
            <w:r w:rsidRPr="002B7271">
              <w:rPr>
                <w:rFonts w:ascii="Noto Sans" w:eastAsia="Noto Sans" w:hAnsi="Noto Sans" w:cs="Noto Sans"/>
                <w:color w:val="434343"/>
                <w:sz w:val="18"/>
                <w:szCs w:val="18"/>
              </w:rPr>
              <w:t>hiPSC</w:t>
            </w:r>
            <w:proofErr w:type="spellEnd"/>
            <w:r w:rsidRPr="002B7271">
              <w:rPr>
                <w:rFonts w:ascii="Noto Sans" w:eastAsia="Noto Sans" w:hAnsi="Noto Sans" w:cs="Noto Sans"/>
                <w:color w:val="434343"/>
                <w:sz w:val="18"/>
                <w:szCs w:val="18"/>
              </w:rPr>
              <w:t xml:space="preserve"> line or independent organoid derivation from the same line in different passages were considered as biological replicates, while replicates from same derivations as technical ones.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91FEE1F" w:rsidR="00F102CC" w:rsidRPr="003D5AF6" w:rsidRDefault="002B72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66A23E19" w14:textId="77777777" w:rsidR="0003262A" w:rsidRDefault="0003262A">
            <w:pPr>
              <w:rPr>
                <w:rFonts w:ascii="Noto Sans" w:eastAsia="Noto Sans" w:hAnsi="Noto Sans" w:cs="Noto Sans"/>
                <w:b/>
                <w:color w:val="434343"/>
                <w:sz w:val="16"/>
                <w:szCs w:val="16"/>
                <w:highlight w:val="white"/>
              </w:rPr>
            </w:pPr>
          </w:p>
          <w:p w14:paraId="4C649728" w14:textId="29A9800D" w:rsidR="0003262A" w:rsidRPr="003D5AF6" w:rsidRDefault="0003262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E441E1" w14:textId="00E2D46A" w:rsidR="002B7271" w:rsidRPr="002B7271" w:rsidRDefault="002B7271" w:rsidP="002B7271">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M&amp;M: </w:t>
            </w:r>
            <w:r w:rsidRPr="002B7271">
              <w:rPr>
                <w:rFonts w:ascii="Noto Sans" w:eastAsia="Noto Sans" w:hAnsi="Noto Sans" w:cs="Noto Sans"/>
                <w:color w:val="434343"/>
                <w:sz w:val="18"/>
                <w:szCs w:val="18"/>
              </w:rPr>
              <w:t xml:space="preserve">No experiments on human </w:t>
            </w:r>
            <w:r w:rsidR="002275CE">
              <w:rPr>
                <w:rFonts w:ascii="Noto Sans" w:eastAsia="Noto Sans" w:hAnsi="Noto Sans" w:cs="Noto Sans"/>
                <w:color w:val="434343"/>
                <w:sz w:val="18"/>
                <w:szCs w:val="18"/>
              </w:rPr>
              <w:t>participants</w:t>
            </w:r>
            <w:r w:rsidRPr="002B7271">
              <w:rPr>
                <w:rFonts w:ascii="Noto Sans" w:eastAsia="Noto Sans" w:hAnsi="Noto Sans" w:cs="Noto Sans"/>
                <w:color w:val="434343"/>
                <w:sz w:val="18"/>
                <w:szCs w:val="18"/>
              </w:rPr>
              <w:t xml:space="preserve"> were performed. The use of reprogrammed human iPSC lines for research was performed after ethical approval from the ethics commission of the Ruhr-University Bochum, Medical Faculty (15-5401, 08/2015). </w:t>
            </w:r>
          </w:p>
          <w:p w14:paraId="63CB3013" w14:textId="77777777" w:rsidR="00F102CC" w:rsidRPr="002B7271" w:rsidRDefault="00F102CC">
            <w:pPr>
              <w:spacing w:line="225" w:lineRule="auto"/>
              <w:rPr>
                <w:rFonts w:ascii="Noto Sans" w:eastAsia="Noto Sans" w:hAnsi="Noto Sans" w:cs="Noto San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39A4C8D" w:rsidR="00F102CC" w:rsidRPr="003D5AF6" w:rsidRDefault="002B72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lastRenderedPageBreak/>
              <w:t>N/A</w:t>
            </w:r>
            <w:bookmarkStart w:id="2" w:name="_GoBack"/>
            <w:bookmarkEnd w:id="2"/>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567DCEA" w:rsidR="00F102CC" w:rsidRPr="003D5AF6" w:rsidRDefault="002B72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M&amp;M: </w:t>
            </w:r>
            <w:r w:rsidRPr="002B7271">
              <w:rPr>
                <w:rFonts w:ascii="Noto Sans" w:eastAsia="Noto Sans" w:hAnsi="Noto Sans" w:cs="Noto Sans"/>
                <w:bCs/>
                <w:color w:val="434343"/>
                <w:sz w:val="18"/>
                <w:szCs w:val="18"/>
              </w:rPr>
              <w:t>All animal experiments were approved by the local authorities (81-02.04.2020.A476, Ruhr University Bochum) and performed in accordance with the guidelines for Ethical Conduct in the Care and Use of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321FF2" w:rsidR="00F102CC" w:rsidRPr="003D5AF6" w:rsidRDefault="002B72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88ADED4" w:rsidR="00F102CC" w:rsidRPr="003D5AF6" w:rsidRDefault="002B72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5C70473" w:rsidR="00F102CC" w:rsidRPr="003D5AF6" w:rsidRDefault="002B72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30884063" w:rsidR="00F102CC" w:rsidRPr="002B7271" w:rsidRDefault="002B7271">
            <w:pPr>
              <w:rPr>
                <w:rFonts w:ascii="Noto Sans" w:eastAsia="Noto Sans" w:hAnsi="Noto Sans" w:cs="Noto Sans"/>
                <w:color w:val="434343"/>
                <w:sz w:val="18"/>
                <w:szCs w:val="18"/>
              </w:rPr>
            </w:pPr>
            <w:r w:rsidRPr="002B7271">
              <w:rPr>
                <w:rFonts w:ascii="Noto Sans" w:eastAsia="Noto Sans" w:hAnsi="Noto Sans" w:cs="Noto Sans"/>
                <w:color w:val="434343"/>
                <w:sz w:val="18"/>
                <w:szCs w:val="18"/>
              </w:rPr>
              <w:t xml:space="preserve">All statistical analysis was conducted using GraphPad Prism6 software. For qPCR analysis one-way ANOVA with Tukey ́s multiple comparisons test for each marker was performed. For the FACS intracellular staining quantification, one-way ANOVA with </w:t>
            </w:r>
            <w:proofErr w:type="spellStart"/>
            <w:r w:rsidRPr="002B7271">
              <w:rPr>
                <w:rFonts w:ascii="Noto Sans" w:eastAsia="Noto Sans" w:hAnsi="Noto Sans" w:cs="Noto Sans"/>
                <w:color w:val="434343"/>
                <w:sz w:val="18"/>
                <w:szCs w:val="18"/>
              </w:rPr>
              <w:t>Sidak</w:t>
            </w:r>
            <w:proofErr w:type="spellEnd"/>
            <w:r w:rsidRPr="002B7271">
              <w:rPr>
                <w:rFonts w:ascii="Noto Sans" w:eastAsia="Noto Sans" w:hAnsi="Noto Sans" w:cs="Noto Sans"/>
                <w:color w:val="434343"/>
                <w:sz w:val="18"/>
                <w:szCs w:val="18"/>
              </w:rPr>
              <w:t xml:space="preserve"> ́s multiple comparisons test between the different time points was performed. Significance asterisks represent *P &lt; 0.05, **P &lt; 0.01, ***P &lt; 0.001, ****P &lt; </w:t>
            </w:r>
            <w:r w:rsidRPr="002B7271">
              <w:rPr>
                <w:rFonts w:ascii="Noto Sans" w:eastAsia="Noto Sans" w:hAnsi="Noto Sans" w:cs="Noto Sans"/>
                <w:color w:val="434343"/>
                <w:sz w:val="18"/>
                <w:szCs w:val="18"/>
              </w:rPr>
              <w:lastRenderedPageBreak/>
              <w:t>0.0001, ns: not significant</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393195" w14:textId="77777777" w:rsidR="00447DD0" w:rsidRDefault="00447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lastRenderedPageBreak/>
              <w:t xml:space="preserve">Figure 2F, 1S1A, </w:t>
            </w:r>
          </w:p>
          <w:p w14:paraId="63FEC457" w14:textId="77777777" w:rsidR="00447DD0" w:rsidRDefault="00447DD0">
            <w:pPr>
              <w:spacing w:line="225" w:lineRule="auto"/>
              <w:rPr>
                <w:rFonts w:ascii="Noto Sans" w:eastAsia="Noto Sans" w:hAnsi="Noto Sans" w:cs="Noto Sans"/>
                <w:bCs/>
                <w:color w:val="434343"/>
                <w:sz w:val="18"/>
                <w:szCs w:val="18"/>
              </w:rPr>
            </w:pPr>
          </w:p>
          <w:p w14:paraId="22CAACE1" w14:textId="77777777" w:rsidR="00447DD0" w:rsidRDefault="00447DD0">
            <w:pPr>
              <w:spacing w:line="225" w:lineRule="auto"/>
              <w:rPr>
                <w:rFonts w:ascii="Noto Sans" w:eastAsia="Noto Sans" w:hAnsi="Noto Sans" w:cs="Noto Sans"/>
                <w:bCs/>
                <w:color w:val="434343"/>
                <w:sz w:val="18"/>
                <w:szCs w:val="18"/>
              </w:rPr>
            </w:pPr>
          </w:p>
          <w:p w14:paraId="54E0127B" w14:textId="4D55CBF1" w:rsidR="00F102CC" w:rsidRPr="003D5AF6" w:rsidRDefault="00447D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1S1B, 2S1D, 3S2E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013DCE" w14:textId="77777777" w:rsidR="002B7271" w:rsidRPr="002B7271" w:rsidRDefault="002B7271" w:rsidP="002B7271">
            <w:pPr>
              <w:spacing w:line="225" w:lineRule="auto"/>
              <w:rPr>
                <w:rFonts w:ascii="Noto Sans" w:eastAsia="Noto Sans" w:hAnsi="Noto Sans" w:cs="Noto Sans"/>
                <w:bCs/>
                <w:color w:val="434343"/>
                <w:sz w:val="18"/>
                <w:szCs w:val="18"/>
              </w:rPr>
            </w:pPr>
            <w:r w:rsidRPr="002B7271">
              <w:rPr>
                <w:rFonts w:ascii="Noto Sans" w:eastAsia="Noto Sans" w:hAnsi="Noto Sans" w:cs="Noto Sans"/>
                <w:bCs/>
                <w:color w:val="434343"/>
                <w:sz w:val="18"/>
                <w:szCs w:val="18"/>
              </w:rPr>
              <w:t xml:space="preserve">RNA sequencing datasets produced in this study are deposited in the Gene Expression Omnibus (GEO) under accession code GSE147514. Detailed scripts and parameters used for the study are available from the authors upon reasonable request. </w:t>
            </w:r>
          </w:p>
          <w:p w14:paraId="10AD0C50" w14:textId="77777777" w:rsidR="002B7271" w:rsidRPr="002B7271" w:rsidRDefault="002B7271" w:rsidP="002B7271">
            <w:pPr>
              <w:spacing w:line="225" w:lineRule="auto"/>
              <w:rPr>
                <w:rFonts w:ascii="Noto Sans" w:eastAsia="Noto Sans" w:hAnsi="Noto Sans" w:cs="Noto Sans"/>
                <w:bCs/>
                <w:color w:val="434343"/>
                <w:sz w:val="18"/>
                <w:szCs w:val="18"/>
              </w:rPr>
            </w:pPr>
            <w:r w:rsidRPr="002B7271">
              <w:rPr>
                <w:rFonts w:ascii="Noto Sans" w:eastAsia="Noto Sans" w:hAnsi="Noto Sans" w:cs="Noto Sans"/>
                <w:bCs/>
                <w:color w:val="434343"/>
                <w:sz w:val="18"/>
                <w:szCs w:val="18"/>
              </w:rPr>
              <w:t>To review GEO accession GSE147514:</w:t>
            </w:r>
            <w:r w:rsidRPr="002B7271">
              <w:rPr>
                <w:rFonts w:ascii="Noto Sans" w:eastAsia="Noto Sans" w:hAnsi="Noto Sans" w:cs="Noto Sans"/>
                <w:bCs/>
                <w:color w:val="434343"/>
                <w:sz w:val="18"/>
                <w:szCs w:val="18"/>
              </w:rPr>
              <w:br/>
              <w:t xml:space="preserve">Go to https://www.ncbi.nlm.nih.gov/geo/query/acc.cgi?acc=GSE147514 </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F0783CC" w:rsidR="00F102CC" w:rsidRPr="003D5AF6" w:rsidRDefault="002B7271">
            <w:pPr>
              <w:spacing w:line="225" w:lineRule="auto"/>
              <w:rPr>
                <w:rFonts w:ascii="Noto Sans" w:eastAsia="Noto Sans" w:hAnsi="Noto Sans" w:cs="Noto Sans"/>
                <w:bCs/>
                <w:color w:val="434343"/>
                <w:sz w:val="18"/>
                <w:szCs w:val="18"/>
              </w:rPr>
            </w:pPr>
            <w:r w:rsidRPr="002B7271">
              <w:rPr>
                <w:rFonts w:ascii="Noto Sans" w:eastAsia="Noto Sans" w:hAnsi="Noto Sans" w:cs="Noto Sans"/>
                <w:bCs/>
                <w:color w:val="434343"/>
                <w:sz w:val="18"/>
                <w:szCs w:val="18"/>
              </w:rPr>
              <w:t xml:space="preserve">Embryonic and fetal (weeks 5 to 18) and adult satellite cell (years 7,11,34,42) </w:t>
            </w:r>
            <w:proofErr w:type="spellStart"/>
            <w:r w:rsidRPr="002B7271">
              <w:rPr>
                <w:rFonts w:ascii="Noto Sans" w:eastAsia="Noto Sans" w:hAnsi="Noto Sans" w:cs="Noto Sans"/>
                <w:bCs/>
                <w:color w:val="434343"/>
                <w:sz w:val="18"/>
                <w:szCs w:val="18"/>
              </w:rPr>
              <w:t>scRNAseq</w:t>
            </w:r>
            <w:proofErr w:type="spellEnd"/>
            <w:r w:rsidRPr="002B7271">
              <w:rPr>
                <w:rFonts w:ascii="Noto Sans" w:eastAsia="Noto Sans" w:hAnsi="Noto Sans" w:cs="Noto Sans"/>
                <w:bCs/>
                <w:color w:val="434343"/>
                <w:sz w:val="18"/>
                <w:szCs w:val="18"/>
              </w:rPr>
              <w:t xml:space="preserve"> data are from Xi et al., 2020 (GSE147457), adult satellite cell (year 25) </w:t>
            </w:r>
            <w:proofErr w:type="spellStart"/>
            <w:r w:rsidRPr="002B7271">
              <w:rPr>
                <w:rFonts w:ascii="Noto Sans" w:eastAsia="Noto Sans" w:hAnsi="Noto Sans" w:cs="Noto Sans"/>
                <w:bCs/>
                <w:color w:val="434343"/>
                <w:sz w:val="18"/>
                <w:szCs w:val="18"/>
              </w:rPr>
              <w:t>scRNAseq</w:t>
            </w:r>
            <w:proofErr w:type="spellEnd"/>
            <w:r w:rsidRPr="002B7271">
              <w:rPr>
                <w:rFonts w:ascii="Noto Sans" w:eastAsia="Noto Sans" w:hAnsi="Noto Sans" w:cs="Noto Sans"/>
                <w:bCs/>
                <w:color w:val="434343"/>
                <w:sz w:val="18"/>
                <w:szCs w:val="18"/>
              </w:rPr>
              <w:t xml:space="preserve"> data are from Rubenstein et al., 2020 (GSE130646).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BEC659A" w:rsidR="00F102CC" w:rsidRPr="003D5AF6" w:rsidRDefault="002B72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87AD285" w:rsidR="00F102CC" w:rsidRPr="003D5AF6" w:rsidRDefault="002B72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9E4D969" w:rsidR="00F102CC" w:rsidRPr="003D5AF6" w:rsidRDefault="002B72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CAEE5C" w14:textId="77777777" w:rsidR="00041515" w:rsidRDefault="00041515">
      <w:pPr>
        <w:spacing w:before="60" w:line="227" w:lineRule="auto"/>
        <w:rPr>
          <w:rFonts w:ascii="Noto Sans" w:eastAsia="Noto Sans" w:hAnsi="Noto Sans" w:cs="Noto Sans"/>
          <w:b/>
          <w:color w:val="434343"/>
          <w:sz w:val="24"/>
          <w:szCs w:val="24"/>
        </w:rPr>
      </w:pPr>
      <w:bookmarkStart w:id="3" w:name="_qing2gdaj9k6" w:colFirst="0" w:colLast="0"/>
      <w:bookmarkEnd w:id="3"/>
    </w:p>
    <w:p w14:paraId="05E5A65D" w14:textId="0C7F2C16"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E7D21F7" w:rsidR="00F102CC" w:rsidRPr="003D5AF6" w:rsidRDefault="002B72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27BD2">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2">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lastRenderedPageBreak/>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3"/>
      <w:footerReference w:type="default" r:id="rId14"/>
      <w:headerReference w:type="first" r:id="rId15"/>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B8FC6" w14:textId="77777777" w:rsidR="00727BD2" w:rsidRDefault="00727BD2">
      <w:r>
        <w:separator/>
      </w:r>
    </w:p>
  </w:endnote>
  <w:endnote w:type="continuationSeparator" w:id="0">
    <w:p w14:paraId="4240D889" w14:textId="77777777" w:rsidR="00727BD2" w:rsidRDefault="00727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34C343" w14:textId="77777777" w:rsidR="00727BD2" w:rsidRDefault="00727BD2">
      <w:r>
        <w:separator/>
      </w:r>
    </w:p>
  </w:footnote>
  <w:footnote w:type="continuationSeparator" w:id="0">
    <w:p w14:paraId="4A4DCBAA" w14:textId="77777777" w:rsidR="00727BD2" w:rsidRDefault="00727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Kopfzeil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262A"/>
    <w:rsid w:val="00041515"/>
    <w:rsid w:val="001918F5"/>
    <w:rsid w:val="001B3BCC"/>
    <w:rsid w:val="002209A8"/>
    <w:rsid w:val="002275CE"/>
    <w:rsid w:val="002B7271"/>
    <w:rsid w:val="00304560"/>
    <w:rsid w:val="003D2611"/>
    <w:rsid w:val="003D5AF6"/>
    <w:rsid w:val="00427975"/>
    <w:rsid w:val="00447DD0"/>
    <w:rsid w:val="004E2C31"/>
    <w:rsid w:val="00514800"/>
    <w:rsid w:val="005B0259"/>
    <w:rsid w:val="007054B6"/>
    <w:rsid w:val="00727BD2"/>
    <w:rsid w:val="00945982"/>
    <w:rsid w:val="009A4B1F"/>
    <w:rsid w:val="009C7B26"/>
    <w:rsid w:val="00A11E52"/>
    <w:rsid w:val="00A77562"/>
    <w:rsid w:val="00BD41E9"/>
    <w:rsid w:val="00C84413"/>
    <w:rsid w:val="00CC42A2"/>
    <w:rsid w:val="00CD5FEC"/>
    <w:rsid w:val="00F00AD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doi.org/10.7554/eLife.4817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038/d41586-020-01751-5"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1657</Words>
  <Characters>10445</Characters>
  <Application>Microsoft Office Word</Application>
  <DocSecurity>0</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eLife_MDAR_checklist</vt:lpstr>
      <vt:lpstr/>
    </vt:vector>
  </TitlesOfParts>
  <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eLife_MDAR_checklist-VOR-RA-2023_87081R1</dc:title>
  <dc:creator>Holm</dc:creator>
  <cp:lastModifiedBy>Holm</cp:lastModifiedBy>
  <cp:revision>5</cp:revision>
  <dcterms:created xsi:type="dcterms:W3CDTF">2023-09-03T12:47:00Z</dcterms:created>
  <dcterms:modified xsi:type="dcterms:W3CDTF">2023-09-03T13:16:00Z</dcterms:modified>
</cp:coreProperties>
</file>