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4A0" w:firstRow="1" w:lastRow="0" w:firstColumn="1" w:lastColumn="0" w:noHBand="0" w:noVBand="1"/>
      </w:tblPr>
      <w:tblGrid>
        <w:gridCol w:w="1615"/>
        <w:gridCol w:w="2700"/>
        <w:gridCol w:w="3690"/>
        <w:gridCol w:w="1345"/>
      </w:tblGrid>
      <w:tr w:rsidR="00AB3A2F" w:rsidRPr="0002739F" w14:paraId="66BD90CC" w14:textId="77777777" w:rsidTr="00BC2BCE">
        <w:trPr>
          <w:trHeight w:val="520"/>
        </w:trPr>
        <w:tc>
          <w:tcPr>
            <w:tcW w:w="1615" w:type="dxa"/>
            <w:noWrap/>
            <w:hideMark/>
          </w:tcPr>
          <w:p w14:paraId="5BFDC977" w14:textId="77777777" w:rsidR="00AB3A2F" w:rsidRPr="0002739F" w:rsidRDefault="00AB3A2F" w:rsidP="00BC2BCE">
            <w:pPr>
              <w:keepNext/>
              <w:spacing w:before="240" w:after="60" w:line="480" w:lineRule="auto"/>
              <w:outlineLvl w:val="0"/>
              <w:rPr>
                <w:b/>
                <w:bCs/>
                <w:kern w:val="32"/>
              </w:rPr>
            </w:pPr>
            <w:r w:rsidRPr="0002739F">
              <w:rPr>
                <w:b/>
                <w:bCs/>
                <w:kern w:val="32"/>
              </w:rPr>
              <w:t>Name</w:t>
            </w:r>
          </w:p>
        </w:tc>
        <w:tc>
          <w:tcPr>
            <w:tcW w:w="2700" w:type="dxa"/>
            <w:noWrap/>
            <w:hideMark/>
          </w:tcPr>
          <w:p w14:paraId="3226C036" w14:textId="77777777" w:rsidR="00AB3A2F" w:rsidRPr="0002739F" w:rsidRDefault="00AB3A2F" w:rsidP="00BC2BCE">
            <w:pPr>
              <w:keepNext/>
              <w:spacing w:before="240" w:after="60" w:line="480" w:lineRule="auto"/>
              <w:outlineLvl w:val="0"/>
              <w:rPr>
                <w:b/>
                <w:bCs/>
                <w:kern w:val="32"/>
              </w:rPr>
            </w:pPr>
            <w:r w:rsidRPr="0002739F">
              <w:rPr>
                <w:b/>
                <w:bCs/>
                <w:kern w:val="32"/>
              </w:rPr>
              <w:t>Description</w:t>
            </w:r>
          </w:p>
        </w:tc>
        <w:tc>
          <w:tcPr>
            <w:tcW w:w="3690" w:type="dxa"/>
            <w:noWrap/>
            <w:hideMark/>
          </w:tcPr>
          <w:p w14:paraId="13A89343" w14:textId="77777777" w:rsidR="00AB3A2F" w:rsidRPr="0002739F" w:rsidRDefault="00AB3A2F" w:rsidP="00BC2BCE">
            <w:pPr>
              <w:keepNext/>
              <w:spacing w:before="240" w:after="60" w:line="480" w:lineRule="auto"/>
              <w:outlineLvl w:val="0"/>
              <w:rPr>
                <w:b/>
                <w:bCs/>
                <w:kern w:val="32"/>
              </w:rPr>
            </w:pPr>
            <w:r w:rsidRPr="0002739F">
              <w:rPr>
                <w:b/>
                <w:bCs/>
                <w:kern w:val="32"/>
              </w:rPr>
              <w:t>Sequence (5' - 3')</w:t>
            </w:r>
          </w:p>
        </w:tc>
        <w:tc>
          <w:tcPr>
            <w:tcW w:w="1345" w:type="dxa"/>
            <w:noWrap/>
            <w:hideMark/>
          </w:tcPr>
          <w:p w14:paraId="45263B4B" w14:textId="77777777" w:rsidR="00AB3A2F" w:rsidRPr="0002739F" w:rsidRDefault="00AB3A2F" w:rsidP="00BC2BCE">
            <w:pPr>
              <w:keepNext/>
              <w:spacing w:before="240" w:after="60" w:line="480" w:lineRule="auto"/>
              <w:outlineLvl w:val="0"/>
              <w:rPr>
                <w:b/>
                <w:bCs/>
                <w:kern w:val="32"/>
              </w:rPr>
            </w:pPr>
            <w:r w:rsidRPr="0002739F">
              <w:rPr>
                <w:b/>
                <w:bCs/>
                <w:kern w:val="32"/>
              </w:rPr>
              <w:t>Reference</w:t>
            </w:r>
          </w:p>
        </w:tc>
      </w:tr>
      <w:tr w:rsidR="00AB3A2F" w:rsidRPr="0002739F" w14:paraId="535F7EDD" w14:textId="77777777" w:rsidTr="00BC2BCE">
        <w:trPr>
          <w:trHeight w:val="540"/>
        </w:trPr>
        <w:tc>
          <w:tcPr>
            <w:tcW w:w="1615" w:type="dxa"/>
            <w:noWrap/>
            <w:hideMark/>
          </w:tcPr>
          <w:p w14:paraId="1168D92C" w14:textId="77777777" w:rsidR="00AB3A2F" w:rsidRPr="0002739F" w:rsidRDefault="00AB3A2F" w:rsidP="00BC2BCE">
            <w:pPr>
              <w:keepNext/>
              <w:spacing w:before="240" w:after="60" w:line="480" w:lineRule="auto"/>
              <w:outlineLvl w:val="0"/>
              <w:rPr>
                <w:kern w:val="32"/>
              </w:rPr>
            </w:pPr>
          </w:p>
        </w:tc>
        <w:tc>
          <w:tcPr>
            <w:tcW w:w="2700" w:type="dxa"/>
            <w:noWrap/>
            <w:hideMark/>
          </w:tcPr>
          <w:p w14:paraId="7E603882" w14:textId="77777777" w:rsidR="00AB3A2F" w:rsidRPr="0002739F" w:rsidRDefault="00AB3A2F" w:rsidP="00BC2BCE">
            <w:pPr>
              <w:keepNext/>
              <w:spacing w:before="240" w:after="60" w:line="480" w:lineRule="auto"/>
              <w:outlineLvl w:val="0"/>
              <w:rPr>
                <w:kern w:val="32"/>
              </w:rPr>
            </w:pPr>
            <w:r w:rsidRPr="0002739F">
              <w:rPr>
                <w:kern w:val="32"/>
              </w:rPr>
              <w:t>ddPCR FP (Universal bacterial 16S qPCR FP)</w:t>
            </w:r>
          </w:p>
        </w:tc>
        <w:tc>
          <w:tcPr>
            <w:tcW w:w="3690" w:type="dxa"/>
            <w:hideMark/>
          </w:tcPr>
          <w:p w14:paraId="4C64D706" w14:textId="77777777" w:rsidR="00AB3A2F" w:rsidRPr="0002739F" w:rsidRDefault="00AB3A2F" w:rsidP="00BC2BCE">
            <w:pPr>
              <w:keepNext/>
              <w:spacing w:before="240" w:after="60" w:line="480" w:lineRule="auto"/>
              <w:outlineLvl w:val="0"/>
              <w:rPr>
                <w:kern w:val="32"/>
              </w:rPr>
            </w:pPr>
            <w:r w:rsidRPr="0002739F">
              <w:rPr>
                <w:kern w:val="32"/>
              </w:rPr>
              <w:t>TCCTACGGGAGGCAGCAGT</w:t>
            </w:r>
          </w:p>
        </w:tc>
        <w:tc>
          <w:tcPr>
            <w:tcW w:w="1345" w:type="dxa"/>
            <w:noWrap/>
            <w:hideMark/>
          </w:tcPr>
          <w:p w14:paraId="5399EE80" w14:textId="77777777" w:rsidR="00AB3A2F" w:rsidRPr="0002739F" w:rsidRDefault="00AB3A2F" w:rsidP="00BC2BCE">
            <w:pPr>
              <w:keepNext/>
              <w:spacing w:before="240" w:after="60" w:line="480" w:lineRule="auto"/>
              <w:outlineLvl w:val="0"/>
              <w:rPr>
                <w:kern w:val="32"/>
              </w:rPr>
            </w:pPr>
            <w:r w:rsidRPr="0002739F">
              <w:rPr>
                <w:kern w:val="32"/>
              </w:rPr>
              <w:fldChar w:fldCharType="begin" w:fldLock="1"/>
            </w:r>
            <w:r>
              <w:rPr>
                <w:kern w:val="32"/>
              </w:rPr>
              <w:instrText>ADDIN CSL_CITATION {"citationItems":[{"id":"ITEM-1","itemData":{"DOI":"10.1128/JCM.41.10.4796-4798.2003","ISSN":"00951137","PMID":"14532224","abstract":"A real-time PCR assay was developed for rapid detection of eubacterial 16S ribosomal DNA in platelet concentrates. The sensitivity of this assay can be hampered by contaminating DNA in the PCR reagents. Digestion of the PCR reagents with Sau3AI prior to PCR amplification was effective in eliminating this contaminating DNA without affecting the sensitivity of the assay.","author":[{"dropping-particle":"","family":"Mohammadi","given":"Tamimount","non-dropping-particle":"","parse-names":false,"suffix":""},{"dropping-particle":"","family":"Reesink","given":"Henk W.","non-dropping-particle":"","parse-names":false,"suffix":""},{"dropping-particle":"","family":"Vandenbroucke-Grauls","given":"Christina M.J.E.","non-dropping-particle":"","parse-names":false,"suffix":""},{"dropping-particle":"","family":"Savelkoul","given":"Paul H.M.","non-dropping-particle":"","parse-names":false,"suffix":""}],"container-title":"Journal of Clinical Microbiology","id":"ITEM-1","issued":{"date-parts":[["2003"]]},"title":"Optimization of real-time PCR assay for rapid and sensitive detection of eubacterial 16S ribosomal DNA in platelet concentrates","type":"article-journal"},"uris":["http://www.mendeley.com/documents/?uuid=8aeb72a8-2c97-4b54-b5f5-ce2a811b9f53"]}],"mendeley":{"formattedCitation":"(&lt;i&gt;37&lt;/i&gt;)","plainTextFormattedCitation":"(37)","previouslyFormattedCitation":"(&lt;i&gt;37&lt;/i&gt;)"},"properties":{"noteIndex":0},"schema":"https://github.com/citation-style-language/schema/raw/master/csl-citation.json"}</w:instrText>
            </w:r>
            <w:r w:rsidRPr="0002739F">
              <w:rPr>
                <w:kern w:val="32"/>
              </w:rPr>
              <w:fldChar w:fldCharType="separate"/>
            </w:r>
            <w:r w:rsidRPr="0082106E">
              <w:rPr>
                <w:noProof/>
                <w:kern w:val="32"/>
              </w:rPr>
              <w:t>(</w:t>
            </w:r>
            <w:r w:rsidRPr="0082106E">
              <w:rPr>
                <w:i/>
                <w:noProof/>
                <w:kern w:val="32"/>
              </w:rPr>
              <w:t>37</w:t>
            </w:r>
            <w:r w:rsidRPr="0082106E">
              <w:rPr>
                <w:noProof/>
                <w:kern w:val="32"/>
              </w:rPr>
              <w:t>)</w:t>
            </w:r>
            <w:r w:rsidRPr="0002739F">
              <w:rPr>
                <w:kern w:val="32"/>
              </w:rPr>
              <w:fldChar w:fldCharType="end"/>
            </w:r>
          </w:p>
        </w:tc>
      </w:tr>
      <w:tr w:rsidR="00AB3A2F" w:rsidRPr="0002739F" w14:paraId="1E79A3E5" w14:textId="77777777" w:rsidTr="00BC2BCE">
        <w:trPr>
          <w:trHeight w:val="540"/>
        </w:trPr>
        <w:tc>
          <w:tcPr>
            <w:tcW w:w="1615" w:type="dxa"/>
            <w:noWrap/>
            <w:hideMark/>
          </w:tcPr>
          <w:p w14:paraId="1192C060" w14:textId="77777777" w:rsidR="00AB3A2F" w:rsidRPr="0002739F" w:rsidRDefault="00AB3A2F" w:rsidP="00BC2BCE">
            <w:pPr>
              <w:keepNext/>
              <w:spacing w:before="240" w:after="60" w:line="480" w:lineRule="auto"/>
              <w:outlineLvl w:val="0"/>
              <w:rPr>
                <w:kern w:val="32"/>
              </w:rPr>
            </w:pPr>
          </w:p>
        </w:tc>
        <w:tc>
          <w:tcPr>
            <w:tcW w:w="2700" w:type="dxa"/>
            <w:noWrap/>
            <w:hideMark/>
          </w:tcPr>
          <w:p w14:paraId="45EADF6B" w14:textId="77777777" w:rsidR="00AB3A2F" w:rsidRPr="0002739F" w:rsidRDefault="00AB3A2F" w:rsidP="00BC2BCE">
            <w:pPr>
              <w:keepNext/>
              <w:spacing w:before="240" w:after="60" w:line="480" w:lineRule="auto"/>
              <w:outlineLvl w:val="0"/>
              <w:rPr>
                <w:kern w:val="32"/>
              </w:rPr>
            </w:pPr>
            <w:r w:rsidRPr="0002739F">
              <w:rPr>
                <w:kern w:val="32"/>
              </w:rPr>
              <w:t>ddPCR RP (Universal bacterial 16S qPCR RP)</w:t>
            </w:r>
          </w:p>
        </w:tc>
        <w:tc>
          <w:tcPr>
            <w:tcW w:w="3690" w:type="dxa"/>
            <w:hideMark/>
          </w:tcPr>
          <w:p w14:paraId="5E89DCB8" w14:textId="77777777" w:rsidR="00AB3A2F" w:rsidRPr="0002739F" w:rsidRDefault="00AB3A2F" w:rsidP="00BC2BCE">
            <w:pPr>
              <w:keepNext/>
              <w:spacing w:before="240" w:after="60" w:line="480" w:lineRule="auto"/>
              <w:outlineLvl w:val="0"/>
              <w:rPr>
                <w:kern w:val="32"/>
              </w:rPr>
            </w:pPr>
            <w:r w:rsidRPr="0002739F">
              <w:rPr>
                <w:kern w:val="32"/>
              </w:rPr>
              <w:t>GGACTACCAGGGTATCTAATCCTGTT</w:t>
            </w:r>
          </w:p>
        </w:tc>
        <w:tc>
          <w:tcPr>
            <w:tcW w:w="1345" w:type="dxa"/>
            <w:noWrap/>
            <w:hideMark/>
          </w:tcPr>
          <w:p w14:paraId="69E5584E" w14:textId="77777777" w:rsidR="00AB3A2F" w:rsidRPr="0002739F" w:rsidRDefault="00AB3A2F" w:rsidP="00BC2BCE">
            <w:pPr>
              <w:keepNext/>
              <w:spacing w:before="240" w:after="60" w:line="480" w:lineRule="auto"/>
              <w:outlineLvl w:val="0"/>
              <w:rPr>
                <w:kern w:val="32"/>
              </w:rPr>
            </w:pPr>
            <w:r w:rsidRPr="0002739F">
              <w:rPr>
                <w:kern w:val="32"/>
              </w:rPr>
              <w:fldChar w:fldCharType="begin" w:fldLock="1"/>
            </w:r>
            <w:r>
              <w:rPr>
                <w:kern w:val="32"/>
              </w:rPr>
              <w:instrText>ADDIN CSL_CITATION {"citationItems":[{"id":"ITEM-1","itemData":{"DOI":"10.1128/JCM.41.10.4796-4798.2003","ISSN":"00951137","PMID":"14532224","abstract":"A real-time PCR assay was developed for rapid detection of eubacterial 16S ribosomal DNA in platelet concentrates. The sensitivity of this assay can be hampered by contaminating DNA in the PCR reagents. Digestion of the PCR reagents with Sau3AI prior to PCR amplification was effective in eliminating this contaminating DNA without affecting the sensitivity of the assay.","author":[{"dropping-particle":"","family":"Mohammadi","given":"Tamimount","non-dropping-particle":"","parse-names":false,"suffix":""},{"dropping-particle":"","family":"Reesink","given":"Henk W.","non-dropping-particle":"","parse-names":false,"suffix":""},{"dropping-particle":"","family":"Vandenbroucke-Grauls","given":"Christina M.J.E.","non-dropping-particle":"","parse-names":false,"suffix":""},{"dropping-particle":"","family":"Savelkoul","given":"Paul H.M.","non-dropping-particle":"","parse-names":false,"suffix":""}],"container-title":"Journal of Clinical Microbiology","id":"ITEM-1","issued":{"date-parts":[["2003"]]},"title":"Optimization of real-time PCR assay for rapid and sensitive detection of eubacterial 16S ribosomal DNA in platelet concentrates","type":"article-journal"},"uris":["http://www.mendeley.com/documents/?uuid=8aeb72a8-2c97-4b54-b5f5-ce2a811b9f53"]}],"mendeley":{"formattedCitation":"(&lt;i&gt;37&lt;/i&gt;)","plainTextFormattedCitation":"(37)","previouslyFormattedCitation":"(&lt;i&gt;37&lt;/i&gt;)"},"properties":{"noteIndex":0},"schema":"https://github.com/citation-style-language/schema/raw/master/csl-citation.json"}</w:instrText>
            </w:r>
            <w:r w:rsidRPr="0002739F">
              <w:rPr>
                <w:kern w:val="32"/>
              </w:rPr>
              <w:fldChar w:fldCharType="separate"/>
            </w:r>
            <w:r w:rsidRPr="0082106E">
              <w:rPr>
                <w:noProof/>
                <w:kern w:val="32"/>
              </w:rPr>
              <w:t>(</w:t>
            </w:r>
            <w:r w:rsidRPr="0082106E">
              <w:rPr>
                <w:i/>
                <w:noProof/>
                <w:kern w:val="32"/>
              </w:rPr>
              <w:t>37</w:t>
            </w:r>
            <w:r w:rsidRPr="0082106E">
              <w:rPr>
                <w:noProof/>
                <w:kern w:val="32"/>
              </w:rPr>
              <w:t>)</w:t>
            </w:r>
            <w:r w:rsidRPr="0002739F">
              <w:rPr>
                <w:kern w:val="32"/>
              </w:rPr>
              <w:fldChar w:fldCharType="end"/>
            </w:r>
          </w:p>
        </w:tc>
      </w:tr>
      <w:tr w:rsidR="00AB3A2F" w:rsidRPr="0002739F" w14:paraId="7ACA208F" w14:textId="77777777" w:rsidTr="00BC2BCE">
        <w:trPr>
          <w:trHeight w:val="520"/>
        </w:trPr>
        <w:tc>
          <w:tcPr>
            <w:tcW w:w="1615" w:type="dxa"/>
            <w:noWrap/>
            <w:hideMark/>
          </w:tcPr>
          <w:p w14:paraId="3B914FD3" w14:textId="77777777" w:rsidR="00AB3A2F" w:rsidRPr="0002739F" w:rsidRDefault="00AB3A2F" w:rsidP="00BC2BCE">
            <w:pPr>
              <w:keepNext/>
              <w:spacing w:before="240" w:after="60" w:line="480" w:lineRule="auto"/>
              <w:outlineLvl w:val="0"/>
              <w:rPr>
                <w:kern w:val="32"/>
              </w:rPr>
            </w:pPr>
            <w:r w:rsidRPr="0002739F">
              <w:rPr>
                <w:kern w:val="32"/>
              </w:rPr>
              <w:t>EFTU_FP</w:t>
            </w:r>
          </w:p>
        </w:tc>
        <w:tc>
          <w:tcPr>
            <w:tcW w:w="2700" w:type="dxa"/>
            <w:noWrap/>
            <w:hideMark/>
          </w:tcPr>
          <w:p w14:paraId="50B01E01" w14:textId="77777777" w:rsidR="00AB3A2F" w:rsidRPr="0002739F" w:rsidRDefault="00AB3A2F" w:rsidP="00BC2BCE">
            <w:pPr>
              <w:keepNext/>
              <w:spacing w:before="240" w:after="60" w:line="480" w:lineRule="auto"/>
              <w:outlineLvl w:val="0"/>
              <w:rPr>
                <w:kern w:val="32"/>
              </w:rPr>
            </w:pPr>
            <w:r w:rsidRPr="0002739F">
              <w:rPr>
                <w:kern w:val="32"/>
              </w:rPr>
              <w:t>Staph-specific ddPCR forward primer</w:t>
            </w:r>
          </w:p>
        </w:tc>
        <w:tc>
          <w:tcPr>
            <w:tcW w:w="3690" w:type="dxa"/>
            <w:hideMark/>
          </w:tcPr>
          <w:p w14:paraId="0F7BE9BA" w14:textId="77777777" w:rsidR="00AB3A2F" w:rsidRPr="0002739F" w:rsidRDefault="00AB3A2F" w:rsidP="00BC2BCE">
            <w:pPr>
              <w:keepNext/>
              <w:spacing w:before="240" w:after="60" w:line="480" w:lineRule="auto"/>
              <w:outlineLvl w:val="0"/>
              <w:rPr>
                <w:kern w:val="32"/>
              </w:rPr>
            </w:pPr>
            <w:r w:rsidRPr="0002739F">
              <w:rPr>
                <w:kern w:val="32"/>
              </w:rPr>
              <w:t>ATGCCACAAACTCGTGAACA</w:t>
            </w:r>
          </w:p>
        </w:tc>
        <w:tc>
          <w:tcPr>
            <w:tcW w:w="1345" w:type="dxa"/>
            <w:noWrap/>
            <w:hideMark/>
          </w:tcPr>
          <w:p w14:paraId="1FC2447D" w14:textId="77777777" w:rsidR="00AB3A2F" w:rsidRPr="0002739F" w:rsidRDefault="00AB3A2F" w:rsidP="00BC2BCE">
            <w:pPr>
              <w:keepNext/>
              <w:spacing w:before="240" w:after="60" w:line="480" w:lineRule="auto"/>
              <w:outlineLvl w:val="0"/>
              <w:rPr>
                <w:kern w:val="32"/>
              </w:rPr>
            </w:pPr>
            <w:r w:rsidRPr="0002739F">
              <w:rPr>
                <w:kern w:val="32"/>
              </w:rPr>
              <w:t>this paper</w:t>
            </w:r>
          </w:p>
        </w:tc>
      </w:tr>
      <w:tr w:rsidR="00AB3A2F" w:rsidRPr="0002739F" w14:paraId="14512B43" w14:textId="77777777" w:rsidTr="00BC2BCE">
        <w:trPr>
          <w:trHeight w:val="520"/>
        </w:trPr>
        <w:tc>
          <w:tcPr>
            <w:tcW w:w="1615" w:type="dxa"/>
            <w:noWrap/>
            <w:hideMark/>
          </w:tcPr>
          <w:p w14:paraId="37501426" w14:textId="77777777" w:rsidR="00AB3A2F" w:rsidRPr="0002739F" w:rsidRDefault="00AB3A2F" w:rsidP="00BC2BCE">
            <w:pPr>
              <w:keepNext/>
              <w:spacing w:before="240" w:after="60" w:line="480" w:lineRule="auto"/>
              <w:outlineLvl w:val="0"/>
              <w:rPr>
                <w:kern w:val="32"/>
              </w:rPr>
            </w:pPr>
            <w:r w:rsidRPr="0002739F">
              <w:rPr>
                <w:kern w:val="32"/>
              </w:rPr>
              <w:t>EFTU_RP</w:t>
            </w:r>
          </w:p>
        </w:tc>
        <w:tc>
          <w:tcPr>
            <w:tcW w:w="2700" w:type="dxa"/>
            <w:noWrap/>
            <w:hideMark/>
          </w:tcPr>
          <w:p w14:paraId="1621B592" w14:textId="77777777" w:rsidR="00AB3A2F" w:rsidRPr="0002739F" w:rsidRDefault="00AB3A2F" w:rsidP="00BC2BCE">
            <w:pPr>
              <w:keepNext/>
              <w:spacing w:before="240" w:after="60" w:line="480" w:lineRule="auto"/>
              <w:outlineLvl w:val="0"/>
              <w:rPr>
                <w:kern w:val="32"/>
              </w:rPr>
            </w:pPr>
            <w:r w:rsidRPr="0002739F">
              <w:rPr>
                <w:kern w:val="32"/>
              </w:rPr>
              <w:t>Staph-specific ddPCR reverse primer</w:t>
            </w:r>
          </w:p>
        </w:tc>
        <w:tc>
          <w:tcPr>
            <w:tcW w:w="3690" w:type="dxa"/>
            <w:hideMark/>
          </w:tcPr>
          <w:p w14:paraId="263F6B9F" w14:textId="77777777" w:rsidR="00AB3A2F" w:rsidRPr="0002739F" w:rsidRDefault="00AB3A2F" w:rsidP="00BC2BCE">
            <w:pPr>
              <w:keepNext/>
              <w:spacing w:before="240" w:after="60" w:line="480" w:lineRule="auto"/>
              <w:outlineLvl w:val="0"/>
              <w:rPr>
                <w:kern w:val="32"/>
              </w:rPr>
            </w:pPr>
            <w:r w:rsidRPr="0002739F">
              <w:rPr>
                <w:kern w:val="32"/>
              </w:rPr>
              <w:t>ACATCGTCACCTGGGAAGTC</w:t>
            </w:r>
          </w:p>
        </w:tc>
        <w:tc>
          <w:tcPr>
            <w:tcW w:w="1345" w:type="dxa"/>
            <w:noWrap/>
            <w:hideMark/>
          </w:tcPr>
          <w:p w14:paraId="6A107479" w14:textId="77777777" w:rsidR="00AB3A2F" w:rsidRPr="0002739F" w:rsidRDefault="00AB3A2F" w:rsidP="00BC2BCE">
            <w:pPr>
              <w:keepNext/>
              <w:spacing w:before="240" w:after="60" w:line="480" w:lineRule="auto"/>
              <w:outlineLvl w:val="0"/>
              <w:rPr>
                <w:kern w:val="32"/>
              </w:rPr>
            </w:pPr>
            <w:r w:rsidRPr="0002739F">
              <w:rPr>
                <w:kern w:val="32"/>
              </w:rPr>
              <w:t>this paper</w:t>
            </w:r>
          </w:p>
        </w:tc>
      </w:tr>
      <w:tr w:rsidR="00AB3A2F" w:rsidRPr="0002739F" w14:paraId="6D96318C" w14:textId="77777777" w:rsidTr="00BC2BCE">
        <w:trPr>
          <w:trHeight w:val="520"/>
        </w:trPr>
        <w:tc>
          <w:tcPr>
            <w:tcW w:w="1615" w:type="dxa"/>
            <w:noWrap/>
            <w:hideMark/>
          </w:tcPr>
          <w:p w14:paraId="08F572FF" w14:textId="77777777" w:rsidR="00AB3A2F" w:rsidRPr="0002739F" w:rsidRDefault="00AB3A2F" w:rsidP="00BC2BCE">
            <w:pPr>
              <w:keepNext/>
              <w:spacing w:before="240" w:after="60" w:line="480" w:lineRule="auto"/>
              <w:outlineLvl w:val="0"/>
              <w:rPr>
                <w:kern w:val="32"/>
              </w:rPr>
            </w:pPr>
            <w:r w:rsidRPr="0002739F">
              <w:rPr>
                <w:kern w:val="32"/>
              </w:rPr>
              <w:t>EUB338</w:t>
            </w:r>
          </w:p>
        </w:tc>
        <w:tc>
          <w:tcPr>
            <w:tcW w:w="2700" w:type="dxa"/>
            <w:noWrap/>
            <w:hideMark/>
          </w:tcPr>
          <w:p w14:paraId="4B496951" w14:textId="77777777" w:rsidR="00AB3A2F" w:rsidRPr="0002739F" w:rsidRDefault="00AB3A2F" w:rsidP="00BC2BCE">
            <w:pPr>
              <w:keepNext/>
              <w:spacing w:before="240" w:after="60" w:line="480" w:lineRule="auto"/>
              <w:outlineLvl w:val="0"/>
              <w:rPr>
                <w:kern w:val="32"/>
              </w:rPr>
            </w:pPr>
            <w:r w:rsidRPr="0002739F">
              <w:rPr>
                <w:kern w:val="32"/>
              </w:rPr>
              <w:t>Pan-bacterial FISH probe</w:t>
            </w:r>
          </w:p>
        </w:tc>
        <w:tc>
          <w:tcPr>
            <w:tcW w:w="3690" w:type="dxa"/>
            <w:noWrap/>
            <w:hideMark/>
          </w:tcPr>
          <w:p w14:paraId="5A5A299B" w14:textId="77777777" w:rsidR="00AB3A2F" w:rsidRPr="0002739F" w:rsidRDefault="00AB3A2F" w:rsidP="00BC2BCE">
            <w:pPr>
              <w:keepNext/>
              <w:spacing w:before="240" w:after="60" w:line="480" w:lineRule="auto"/>
              <w:outlineLvl w:val="0"/>
              <w:rPr>
                <w:kern w:val="32"/>
              </w:rPr>
            </w:pPr>
            <w:r w:rsidRPr="0002739F">
              <w:rPr>
                <w:kern w:val="32"/>
              </w:rPr>
              <w:t>GCTGCCTCCCGTAGGAGT</w:t>
            </w:r>
          </w:p>
        </w:tc>
        <w:tc>
          <w:tcPr>
            <w:tcW w:w="1345" w:type="dxa"/>
            <w:noWrap/>
            <w:hideMark/>
          </w:tcPr>
          <w:p w14:paraId="4FFB0FB3" w14:textId="77777777" w:rsidR="00AB3A2F" w:rsidRPr="0002739F" w:rsidRDefault="00AB3A2F" w:rsidP="00BC2BCE">
            <w:pPr>
              <w:keepNext/>
              <w:spacing w:before="240" w:after="60" w:line="480" w:lineRule="auto"/>
              <w:outlineLvl w:val="0"/>
              <w:rPr>
                <w:kern w:val="32"/>
              </w:rPr>
            </w:pPr>
            <w:r w:rsidRPr="0002739F">
              <w:rPr>
                <w:kern w:val="32"/>
              </w:rPr>
              <w:fldChar w:fldCharType="begin" w:fldLock="1"/>
            </w:r>
            <w:r>
              <w:rPr>
                <w:kern w:val="32"/>
              </w:rPr>
              <w:instrText>ADDIN CSL_CITATION {"citationItems":[{"id":"ITEM-1","itemData":{"abstract":"Fluorescent oligonucleotide hybridization probes were used to label bacterial cells for analysis by flow cytometry. The probes, complementary to short sequence elements within the 16S rRNA common to phylogenetically coherent assemblages of microorganisms, were labeled with tetramethylrhodamine and hybridized to suspensions of fixed cells. Flow cytometry was used to resolve individual target and nontarget bacteria (1 to 5 ,um) via probe-conferred fluorescence. Target cells were quantified in an excess of nontarget cells. The intensity of fluorescence was increased additively by the combined use of two or three fluorescent probes complementary to different regions of the same 16S rRNA. Assessments of diversity, abundance, and activity of water column microorganisms are fundamental to studies in aquatic microbiology. Yet, most past measurements have been compromised by methodology, principally the requirement for pure-culture isolation and the use of subjective criteria for classification. Recent studies in molecular evolution and molecular phylogeny have provided new perspectives and new tools for studies in environmental microbiology. Most notably, the comparative sequencing of homologous biopolymers has served to reveal phylogenetic relationships among microorganisms. Extensive sequencing of the ribo-somal RNAs (55 and 16S-and 23S-like rRNAs) has been particularly informative. Sequence divergence among these individual rRNAs has defined the outline of a natural classification of microorganisms (28). These data can also be used to design hybridization probes for determinative studies in microbiology. The 16S-like rRNA has been the common target for determinative hybridization probes (1, 25). By using selected regions within the larger rRNA molecules (16S-and 23S-like rRNAs) as hybridization targets for synthetic oligonucleo-tides, probe specificity can generally be freely adjusted. Microbial species or subspecies can be distinguished by oligonucleotides complementary to the most variable regions of the molecule (25). By targeting regions of increasing conservation, probes can be made to encompass specific genera or higher taxons (e.g., the three kingdoms: archae-bacteria, eucaryotes, and eubacteria) (29).","author":[{"dropping-particle":"","family":"Amann","given":"Rudolf I","non-dropping-particle":"","parse-names":false,"suffix":""},{"dropping-particle":"","family":"Binder","given":"Brian J","non-dropping-particle":"","parse-names":false,"suffix":""},{"dropping-particle":"","family":"Olson","given":"Robert J","non-dropping-particle":"","parse-names":false,"suffix":""},{"dropping-particle":"","family":"Chisholm","given":"Sallie W","non-dropping-particle":"","parse-names":false,"suffix":""},{"dropping-particle":"","family":"Devereux","given":"Richard","non-dropping-particle":"","parse-names":false,"suffix":""},{"dropping-particle":"","family":"Stahl'","given":"David A","non-dropping-particle":"","parse-names":false,"suffix":""}],"container-title":"APPLIED AND ENVIRONMENTAL MICROBIOLOGY","id":"ITEM-1","issue":"6","issued":{"date-parts":[["1990"]]},"number-of-pages":"1919-1925","title":"Combination of 16S rRNA-Targeted Oligonucleotide Probes with Flow Cytometry for Analyzing Mixed Microbial Populations","type":"report","volume":"56"},"uris":["http://www.mendeley.com/documents/?uuid=a5383a3c-656f-34ba-97b4-98601077208f"]}],"mendeley":{"formattedCitation":"(&lt;i&gt;17&lt;/i&gt;)","plainTextFormattedCitation":"(17)","previouslyFormattedCitation":"(&lt;i&gt;17&lt;/i&gt;)"},"properties":{"noteIndex":0},"schema":"https://github.com/citation-style-language/schema/raw/master/csl-citation.json"}</w:instrText>
            </w:r>
            <w:r w:rsidRPr="0002739F">
              <w:rPr>
                <w:kern w:val="32"/>
              </w:rPr>
              <w:fldChar w:fldCharType="separate"/>
            </w:r>
            <w:r w:rsidRPr="00B365F0">
              <w:rPr>
                <w:noProof/>
                <w:kern w:val="32"/>
              </w:rPr>
              <w:t>(</w:t>
            </w:r>
            <w:r w:rsidRPr="00B365F0">
              <w:rPr>
                <w:i/>
                <w:noProof/>
                <w:kern w:val="32"/>
              </w:rPr>
              <w:t>17</w:t>
            </w:r>
            <w:r w:rsidRPr="00B365F0">
              <w:rPr>
                <w:noProof/>
                <w:kern w:val="32"/>
              </w:rPr>
              <w:t>)</w:t>
            </w:r>
            <w:r w:rsidRPr="0002739F">
              <w:rPr>
                <w:kern w:val="32"/>
              </w:rPr>
              <w:fldChar w:fldCharType="end"/>
            </w:r>
          </w:p>
        </w:tc>
      </w:tr>
      <w:tr w:rsidR="00AB3A2F" w:rsidRPr="0002739F" w14:paraId="5C868BAB" w14:textId="77777777" w:rsidTr="00BC2BCE">
        <w:trPr>
          <w:trHeight w:val="520"/>
        </w:trPr>
        <w:tc>
          <w:tcPr>
            <w:tcW w:w="1615" w:type="dxa"/>
            <w:noWrap/>
            <w:hideMark/>
          </w:tcPr>
          <w:p w14:paraId="35F7BACD" w14:textId="77777777" w:rsidR="00AB3A2F" w:rsidRPr="0002739F" w:rsidRDefault="00AB3A2F" w:rsidP="00BC2BCE">
            <w:pPr>
              <w:keepNext/>
              <w:spacing w:before="240" w:after="60" w:line="480" w:lineRule="auto"/>
              <w:outlineLvl w:val="0"/>
              <w:rPr>
                <w:kern w:val="32"/>
              </w:rPr>
            </w:pPr>
            <w:r w:rsidRPr="0002739F">
              <w:rPr>
                <w:kern w:val="32"/>
              </w:rPr>
              <w:t>NonEUB338</w:t>
            </w:r>
          </w:p>
        </w:tc>
        <w:tc>
          <w:tcPr>
            <w:tcW w:w="2700" w:type="dxa"/>
            <w:noWrap/>
            <w:hideMark/>
          </w:tcPr>
          <w:p w14:paraId="7BC61686" w14:textId="77777777" w:rsidR="00AB3A2F" w:rsidRPr="0002739F" w:rsidRDefault="00AB3A2F" w:rsidP="00BC2BCE">
            <w:pPr>
              <w:keepNext/>
              <w:spacing w:before="240" w:after="60" w:line="480" w:lineRule="auto"/>
              <w:outlineLvl w:val="0"/>
              <w:rPr>
                <w:kern w:val="32"/>
              </w:rPr>
            </w:pPr>
            <w:r w:rsidRPr="0002739F">
              <w:rPr>
                <w:kern w:val="32"/>
              </w:rPr>
              <w:t>Nonsense control FISH probe</w:t>
            </w:r>
          </w:p>
        </w:tc>
        <w:tc>
          <w:tcPr>
            <w:tcW w:w="3690" w:type="dxa"/>
            <w:noWrap/>
            <w:hideMark/>
          </w:tcPr>
          <w:p w14:paraId="795AFA87" w14:textId="77777777" w:rsidR="00AB3A2F" w:rsidRPr="0002739F" w:rsidRDefault="00AB3A2F" w:rsidP="00BC2BCE">
            <w:pPr>
              <w:keepNext/>
              <w:spacing w:before="240" w:after="60" w:line="480" w:lineRule="auto"/>
              <w:outlineLvl w:val="0"/>
              <w:rPr>
                <w:kern w:val="32"/>
              </w:rPr>
            </w:pPr>
            <w:r w:rsidRPr="0002739F">
              <w:rPr>
                <w:kern w:val="32"/>
              </w:rPr>
              <w:t>CGACGGAGGGCATCCTCA</w:t>
            </w:r>
          </w:p>
        </w:tc>
        <w:tc>
          <w:tcPr>
            <w:tcW w:w="1345" w:type="dxa"/>
            <w:noWrap/>
            <w:hideMark/>
          </w:tcPr>
          <w:p w14:paraId="324A03F5" w14:textId="77777777" w:rsidR="00AB3A2F" w:rsidRPr="0002739F" w:rsidRDefault="00AB3A2F" w:rsidP="00BC2BCE">
            <w:pPr>
              <w:keepNext/>
              <w:spacing w:before="240" w:after="60" w:line="480" w:lineRule="auto"/>
              <w:outlineLvl w:val="0"/>
              <w:rPr>
                <w:kern w:val="32"/>
              </w:rPr>
            </w:pPr>
            <w:r w:rsidRPr="0002739F">
              <w:rPr>
                <w:kern w:val="32"/>
              </w:rPr>
              <w:fldChar w:fldCharType="begin" w:fldLock="1"/>
            </w:r>
            <w:r>
              <w:rPr>
                <w:kern w:val="32"/>
              </w:rPr>
              <w:instrText>ADDIN CSL_CITATION {"citationItems":[{"id":"ITEM-1","itemData":{"DOI":"10.1002/cyto.990140205","ISSN":"10970320","PMID":"7679962","abstract":"A combination of fluorescent rRNA‐targeted oligonucleotide probes (“phylogenetic stains”) and flow cytometry was used for a high resolution automated analysis of mixed microbial populations. Fixed cells of bacteria and yeasts were hybridized in suspension with fluorescein‐ or tetramethylrhodamine‐labeled oligonucleotide probes complementary to group‐specific regions of the 16S ribosomal RNA (rRNA) molecules. Quantifying probe‐conferred cell fluorescence by flow cytometry, we could discriminate between target and nontarget cell populations. We critically examined changes of the hybridization conditions, kinetics of the hybridization, and posthybridization treatments. Intermediate probe concentrations, addition of detergent to the hybridization buffer, and a posthybridization washing step were found to increase the signal to noise ratio. We could demonstrate a linear correlation between growth rate and probe‐conferred fluorescence of Escherichia coli and Pseudomonas cepacia cells. Oligonucleotides labeled with multiple fluorochromes showed elevated levels of non‐specific binding and therefore could not be used to lower the detection limits, which still restrict studies with fluorescing rRNA‐targeted oligonucleotide probes to well‐growing microbial cells. Two probes of different specificities—one labeled with fluorescein, the other with tetramethylrhodamine—could be applied simultaneously for dual color analysis. © 1993 Wiley‐Liss, Inc. Copyright © 1993 Wiley‐Liss, Inc.","author":[{"dropping-particle":"","family":"Wallner","given":"Günter","non-dropping-particle":"","parse-names":false,"suffix":""},{"dropping-particle":"","family":"Amann","given":"Rudolf","non-dropping-particle":"","parse-names":false,"suffix":""},{"dropping-particle":"","family":"Beisker","given":"Wolfgang","non-dropping-particle":"","parse-names":false,"suffix":""}],"container-title":"Cytometry","id":"ITEM-1","issued":{"date-parts":[["1993"]]},"title":"Optimizing fluorescent in situ hybridization with rRNA‐targeted oligonucleotide probes for flow cytometric identification of microorganisms","type":"article-journal"},"uris":["http://www.mendeley.com/documents/?uuid=58912396-158a-4618-b215-332dd81533d8"]}],"mendeley":{"formattedCitation":"(&lt;i&gt;38&lt;/i&gt;)","plainTextFormattedCitation":"(38)","previouslyFormattedCitation":"(&lt;i&gt;38&lt;/i&gt;)"},"properties":{"noteIndex":0},"schema":"https://github.com/citation-style-language/schema/raw/master/csl-citation.json"}</w:instrText>
            </w:r>
            <w:r w:rsidRPr="0002739F">
              <w:rPr>
                <w:kern w:val="32"/>
              </w:rPr>
              <w:fldChar w:fldCharType="separate"/>
            </w:r>
            <w:r w:rsidRPr="0082106E">
              <w:rPr>
                <w:noProof/>
                <w:kern w:val="32"/>
              </w:rPr>
              <w:t>(</w:t>
            </w:r>
            <w:r w:rsidRPr="0082106E">
              <w:rPr>
                <w:i/>
                <w:noProof/>
                <w:kern w:val="32"/>
              </w:rPr>
              <w:t>38</w:t>
            </w:r>
            <w:r w:rsidRPr="0082106E">
              <w:rPr>
                <w:noProof/>
                <w:kern w:val="32"/>
              </w:rPr>
              <w:t>)</w:t>
            </w:r>
            <w:r w:rsidRPr="0002739F">
              <w:rPr>
                <w:kern w:val="32"/>
              </w:rPr>
              <w:fldChar w:fldCharType="end"/>
            </w:r>
          </w:p>
        </w:tc>
      </w:tr>
      <w:tr w:rsidR="00AB3A2F" w:rsidRPr="0002739F" w14:paraId="7FE5B339" w14:textId="77777777" w:rsidTr="00BC2BCE">
        <w:trPr>
          <w:trHeight w:val="520"/>
        </w:trPr>
        <w:tc>
          <w:tcPr>
            <w:tcW w:w="1615" w:type="dxa"/>
            <w:noWrap/>
            <w:hideMark/>
          </w:tcPr>
          <w:p w14:paraId="30A90BC5" w14:textId="77777777" w:rsidR="00AB3A2F" w:rsidRPr="0002739F" w:rsidRDefault="00AB3A2F" w:rsidP="00BC2BCE">
            <w:pPr>
              <w:keepNext/>
              <w:spacing w:before="240" w:after="60" w:line="480" w:lineRule="auto"/>
              <w:outlineLvl w:val="0"/>
              <w:rPr>
                <w:kern w:val="32"/>
              </w:rPr>
            </w:pPr>
          </w:p>
        </w:tc>
        <w:tc>
          <w:tcPr>
            <w:tcW w:w="2700" w:type="dxa"/>
            <w:noWrap/>
            <w:hideMark/>
          </w:tcPr>
          <w:p w14:paraId="60354694" w14:textId="77777777" w:rsidR="00AB3A2F" w:rsidRPr="0002739F" w:rsidRDefault="00AB3A2F" w:rsidP="00BC2BCE">
            <w:pPr>
              <w:keepNext/>
              <w:spacing w:before="240" w:after="60" w:line="480" w:lineRule="auto"/>
              <w:outlineLvl w:val="0"/>
              <w:rPr>
                <w:kern w:val="32"/>
              </w:rPr>
            </w:pPr>
            <w:r w:rsidRPr="0002739F">
              <w:rPr>
                <w:kern w:val="32"/>
              </w:rPr>
              <w:t>C. acnes FISH probe</w:t>
            </w:r>
          </w:p>
        </w:tc>
        <w:tc>
          <w:tcPr>
            <w:tcW w:w="3690" w:type="dxa"/>
            <w:noWrap/>
            <w:hideMark/>
          </w:tcPr>
          <w:p w14:paraId="76E17693" w14:textId="77777777" w:rsidR="00AB3A2F" w:rsidRPr="0002739F" w:rsidRDefault="00AB3A2F" w:rsidP="00BC2BCE">
            <w:pPr>
              <w:keepNext/>
              <w:spacing w:before="240" w:after="60" w:line="480" w:lineRule="auto"/>
              <w:outlineLvl w:val="0"/>
              <w:rPr>
                <w:kern w:val="32"/>
              </w:rPr>
            </w:pPr>
            <w:r w:rsidRPr="0002739F">
              <w:rPr>
                <w:kern w:val="32"/>
              </w:rPr>
              <w:t>GAGTGTGTGAACCGATCATGTAGTAGGCAA</w:t>
            </w:r>
          </w:p>
        </w:tc>
        <w:tc>
          <w:tcPr>
            <w:tcW w:w="1345" w:type="dxa"/>
            <w:noWrap/>
            <w:hideMark/>
          </w:tcPr>
          <w:p w14:paraId="428EEB4D" w14:textId="77777777" w:rsidR="00AB3A2F" w:rsidRPr="0002739F" w:rsidRDefault="00AB3A2F" w:rsidP="00BC2BCE">
            <w:pPr>
              <w:keepNext/>
              <w:spacing w:before="240" w:after="60" w:line="480" w:lineRule="auto"/>
              <w:outlineLvl w:val="0"/>
              <w:rPr>
                <w:kern w:val="32"/>
              </w:rPr>
            </w:pPr>
            <w:r w:rsidRPr="0002739F">
              <w:rPr>
                <w:kern w:val="32"/>
              </w:rPr>
              <w:fldChar w:fldCharType="begin" w:fldLock="1"/>
            </w:r>
            <w:r>
              <w:rPr>
                <w:kern w:val="32"/>
              </w:rPr>
              <w:instrText>ADDIN CSL_CITATION {"citationItems":[{"id":"ITEM-1","itemData":{"DOI":"10.1128/JCM.01543-07","ISSN":"00951137","PMID":"17881550","abstract":"Prostate tissues from patients with prostate cancer and benign prostatic hyperplasia (BPH) frequently contain histological inflammation, and a proportion of these patients show evidence of Propionibacterium acnes infection in the prostate gland. We developed a multicolor fluorescent in situ hybridization (FISH) assay targeting P. acnes 23S rRNA along with a 14-kb region of the P. acnes genome. This assay was used to analyze prostate tissues from patients with prostate cancer and BPH. P. acnes infection of the prostate gland was demonstrated in prostatic tissue in 5 of 10 randomly selected prostate cancer patients. FISH analysis and confocal laser microscopy imaging revealed intracellular localization and stromal biofilm-like aggregates as common forms of P. acnes infection in prostate tissues from both prostate cancer and BPH patients. A sequential analysis of prostate tissue from individual patients suggested that P. acnes can persist for up to 6 years in the prostate gland. These results indicate that P. acnes can establish a persistent infection in the prostate gland. Further study is needed to clarify the link between this bacterium and prostatic inflammation which may contribute to the development of BPH and prostate cancer. Copyright © 2007, American Society for Microbiology. All Rights Reserved.","author":[{"dropping-particle":"","family":"Alexeyev","given":"Oleg A.","non-dropping-particle":"","parse-names":false,"suffix":""},{"dropping-particle":"","family":"Marklund","given":"Ingrid","non-dropping-particle":"","parse-names":false,"suffix":""},{"dropping-particle":"","family":"Shannon","given":"Beverley","non-dropping-particle":"","parse-names":false,"suffix":""},{"dropping-particle":"","family":"Golovleva","given":"Irina","non-dropping-particle":"","parse-names":false,"suffix":""},{"dropping-particle":"","family":"Olsson","given":"Jan","non-dropping-particle":"","parse-names":false,"suffix":""},{"dropping-particle":"","family":"Andersson","given":"Charlotte","non-dropping-particle":"","parse-names":false,"suffix":""},{"dropping-particle":"","family":"Eriksson","given":"Irene","non-dropping-particle":"","parse-names":false,"suffix":""},{"dropping-particle":"","family":"Cohen","given":"Ronald","non-dropping-particle":"","parse-names":false,"suffix":""},{"dropping-particle":"","family":"Elgh","given":"Fredrik","non-dropping-particle":"","parse-names":false,"suffix":""}],"container-title":"Journal of Clinical Microbiology","id":"ITEM-1","issued":{"date-parts":[["2007"]]},"title":"Direct visualization of Propionibacterium acnes in prostate tissue by multicolor fluorescent in situ hybridization assay","type":"article-journal"},"uris":["http://www.mendeley.com/documents/?uuid=9d9ca191-5b4f-4457-bd42-3cc9948ceafa"]}],"mendeley":{"formattedCitation":"(&lt;i&gt;39&lt;/i&gt;)","plainTextFormattedCitation":"(39)","previouslyFormattedCitation":"(&lt;i&gt;39&lt;/i&gt;)"},"properties":{"noteIndex":0},"schema":"https://github.com/citation-style-language/schema/raw/master/csl-citation.json"}</w:instrText>
            </w:r>
            <w:r w:rsidRPr="0002739F">
              <w:rPr>
                <w:kern w:val="32"/>
              </w:rPr>
              <w:fldChar w:fldCharType="separate"/>
            </w:r>
            <w:r w:rsidRPr="0082106E">
              <w:rPr>
                <w:noProof/>
                <w:kern w:val="32"/>
              </w:rPr>
              <w:t>(</w:t>
            </w:r>
            <w:r w:rsidRPr="0082106E">
              <w:rPr>
                <w:i/>
                <w:noProof/>
                <w:kern w:val="32"/>
              </w:rPr>
              <w:t>39</w:t>
            </w:r>
            <w:r w:rsidRPr="0082106E">
              <w:rPr>
                <w:noProof/>
                <w:kern w:val="32"/>
              </w:rPr>
              <w:t>)</w:t>
            </w:r>
            <w:r w:rsidRPr="0002739F">
              <w:rPr>
                <w:kern w:val="32"/>
              </w:rPr>
              <w:fldChar w:fldCharType="end"/>
            </w:r>
          </w:p>
        </w:tc>
      </w:tr>
      <w:tr w:rsidR="00AB3A2F" w:rsidRPr="0002739F" w14:paraId="6D045381" w14:textId="77777777" w:rsidTr="00BC2BCE">
        <w:trPr>
          <w:trHeight w:val="520"/>
        </w:trPr>
        <w:tc>
          <w:tcPr>
            <w:tcW w:w="1615" w:type="dxa"/>
            <w:noWrap/>
            <w:hideMark/>
          </w:tcPr>
          <w:p w14:paraId="2A199223" w14:textId="77777777" w:rsidR="00AB3A2F" w:rsidRPr="0002739F" w:rsidRDefault="00AB3A2F" w:rsidP="00BC2BCE">
            <w:pPr>
              <w:keepNext/>
              <w:spacing w:before="240" w:after="60" w:line="480" w:lineRule="auto"/>
              <w:outlineLvl w:val="0"/>
              <w:rPr>
                <w:kern w:val="32"/>
              </w:rPr>
            </w:pPr>
            <w:r w:rsidRPr="0002739F">
              <w:rPr>
                <w:kern w:val="32"/>
              </w:rPr>
              <w:t>27F</w:t>
            </w:r>
          </w:p>
        </w:tc>
        <w:tc>
          <w:tcPr>
            <w:tcW w:w="2700" w:type="dxa"/>
            <w:noWrap/>
            <w:hideMark/>
          </w:tcPr>
          <w:p w14:paraId="32080914" w14:textId="77777777" w:rsidR="00AB3A2F" w:rsidRPr="0002739F" w:rsidRDefault="00AB3A2F" w:rsidP="00BC2BCE">
            <w:pPr>
              <w:keepNext/>
              <w:spacing w:before="240" w:after="60" w:line="480" w:lineRule="auto"/>
              <w:outlineLvl w:val="0"/>
              <w:rPr>
                <w:kern w:val="32"/>
              </w:rPr>
            </w:pPr>
            <w:r w:rsidRPr="0002739F">
              <w:rPr>
                <w:kern w:val="32"/>
              </w:rPr>
              <w:t>Forward 16S sequencing primer</w:t>
            </w:r>
          </w:p>
        </w:tc>
        <w:tc>
          <w:tcPr>
            <w:tcW w:w="3690" w:type="dxa"/>
            <w:noWrap/>
            <w:hideMark/>
          </w:tcPr>
          <w:p w14:paraId="79511F3A" w14:textId="77777777" w:rsidR="00AB3A2F" w:rsidRPr="0002739F" w:rsidRDefault="00AB3A2F" w:rsidP="00BC2BCE">
            <w:pPr>
              <w:keepNext/>
              <w:spacing w:before="240" w:after="60" w:line="480" w:lineRule="auto"/>
              <w:outlineLvl w:val="0"/>
              <w:rPr>
                <w:kern w:val="32"/>
              </w:rPr>
            </w:pPr>
            <w:r w:rsidRPr="0002739F">
              <w:rPr>
                <w:kern w:val="32"/>
              </w:rPr>
              <w:t>AGAGTTTGATCCTGGCTCAG</w:t>
            </w:r>
          </w:p>
        </w:tc>
        <w:tc>
          <w:tcPr>
            <w:tcW w:w="1345" w:type="dxa"/>
            <w:noWrap/>
            <w:hideMark/>
          </w:tcPr>
          <w:p w14:paraId="3827E18B" w14:textId="77777777" w:rsidR="00AB3A2F" w:rsidRPr="0002739F" w:rsidRDefault="00AB3A2F" w:rsidP="00BC2BCE">
            <w:pPr>
              <w:keepNext/>
              <w:spacing w:before="240" w:after="60" w:line="480" w:lineRule="auto"/>
              <w:outlineLvl w:val="0"/>
              <w:rPr>
                <w:kern w:val="32"/>
              </w:rPr>
            </w:pPr>
            <w:r w:rsidRPr="0002739F">
              <w:rPr>
                <w:kern w:val="32"/>
              </w:rPr>
              <w:fldChar w:fldCharType="begin" w:fldLock="1"/>
            </w:r>
            <w:r>
              <w:rPr>
                <w:kern w:val="32"/>
              </w:rPr>
              <w:instrText>ADDIN CSL_CITATION {"citationItems":[{"id":"ITEM-1","itemData":{"DOI":"10.1038/nature13786","ISSN":"14764687","PMID":"25279917","abstract":"The varied topography of human skin offers a unique opportunity to study how the body's microenvironments influence the functional and taxonomic composition of microbial communities. Phylogenetic marker gene-based studies have identified many bacteria and fungi that colonize distinct skin niches. Here metagenomic analyses of diverse body sites in healthy humans demonstrate that local biogeography and strong individuality define the skin microbiome. We developed a relational analysis of bacterial, fungal and viral communities, which showed not only site specificity but also individual signatures. We further identified strain-level variation of dominant species as heterogeneous and multiphyletic. Reference-free analyses captured the uncharacterized metagenome through the development of a multi-kingdom gene catalogue, which was used to uncover genetic signatures of species lacking reference genomes. This work is foundational for human disease studies investigating inter-kingdom interactions, metabolic changes and strain tracking, and defines the dual influence of biogeography and individuality on microbial composition and function.","author":[{"dropping-particle":"","family":"Oh","given":"Julia","non-dropping-particle":"","parse-names":false,"suffix":""},{"dropping-particle":"","family":"Byrd","given":"Allyson L.","non-dropping-particle":"","parse-names":false,"suffix":""},{"dropping-particle":"","family":"Deming","given":"Clay","non-dropping-particle":"","parse-names":false,"suffix":""},{"dropping-particle":"","family":"Conlan","given":"Sean","non-dropping-particle":"","parse-names":false,"suffix":""},{"dropping-particle":"","family":"Kong","given":"Heidi H.","non-dropping-particle":"","parse-names":false,"suffix":""},{"dropping-particle":"","family":"Segre","given":"Julia A.","non-dropping-particle":"","parse-names":false,"suffix":""},{"dropping-particle":"","family":"Barnabas","given":"Betty","non-dropping-particle":"","parse-names":false,"suffix":""},{"dropping-particle":"","family":"Blakesley","given":"Robert","non-dropping-particle":"","parse-names":false,"suffix":""},{"dropping-particle":"","family":"Bouffard","given":"Gerry","non-dropping-particle":"","parse-names":false,"suffix":""},{"dropping-particle":"","family":"Brooks","given":"Shelise","non-dropping-particle":"","parse-names":false,"suffix":""},{"dropping-particle":"","family":"Coleman","given":"Holly","non-dropping-particle":"","parse-names":false,"suffix":""},{"dropping-particle":"","family":"Dekhtyar","given":"Mila","non-dropping-particle":"","parse-names":false,"suffix":""},{"dropping-particle":"","family":"Gregory","given":"Michael","non-dropping-particle":"","parse-names":false,"suffix":""},{"dropping-particle":"","family":"Guan","given":"Xiaobin","non-dropping-particle":"","parse-names":false,"suffix":""},{"dropping-particle":"","family":"Gupta","given":"Jyoti","non-dropping-particle":"","parse-names":false,"suffix":""},{"dropping-particle":"","family":"Han","given":"Joel","non-dropping-particle":"","parse-names":false,"suffix":""},{"dropping-particle":"","family":"Ho","given":"Shi Ling","non-dropping-particle":"","parse-names":false,"suffix":""},{"dropping-particle":"","family":"Legaspi","given":"Richelle","non-dropping-particle":"","parse-names":false,"suffix":""},{"dropping-particle":"","family":"Maduro","given":"Quino","non-dropping-particle":"","parse-names":false,"suffix":""},{"dropping-particle":"","family":"Masiello","given":"Cathy","non-dropping-particle":"","parse-names":false,"suffix":""},{"dropping-particle":"","family":"Maskeri","given":"Baishali","non-dropping-particle":"","parse-names":false,"suffix":""},{"dropping-particle":"","family":"McDowell","given":"Jenny","non-dropping-particle":"","parse-names":false,"suffix":""},{"dropping-particle":"","family":"Montemayor","given":"Casandra","non-dropping-particle":"","parse-names":false,"suffix":""},{"dropping-particle":"","family":"Mullikin","given":"James","non-dropping-particle":"","parse-names":false,"suffix":""},{"dropping-particle":"","family":"Park","given":"Morgan","non-dropping-particle":"","parse-names":false,"suffix":""},{"dropping-particle":"","family":"Riebow","given":"Nancy","non-dropping-particle":"","parse-names":false,"suffix":""},{"dropping-particle":"","family":"Schandler","given":"Karen","non-dropping-particle":"","parse-names":false,"suffix":""},{"dropping-particle":"","family":"Schmidt","given":"Brian","non-dropping-particle":"","parse-names":false,"suffix":""},{"dropping-particle":"","family":"Sison","given":"Christina","non-dropping-particle":"","parse-names":false,"suffix":""},{"dropping-particle":"","family":"Stantripop","given":"Mal","non-dropping-particle":"","parse-names":false,"suffix":""},{"dropping-particle":"","family":"Thomas","given":"James","non-dropping-particle":"","parse-names":false,"suffix":""},{"dropping-particle":"","family":"Thomas","given":"Pamela","non-dropping-particle":"","parse-names":false,"suffix":""},{"dropping-particle":"","family":"Vemulapalli","given":"Meg","non-dropping-particle":"","parse-names":false,"suffix":""},{"dropping-particle":"","family":"Young","given":"Alice","non-dropping-particle":"","parse-names":false,"suffix":""}],"container-title":"Nature","id":"ITEM-1","issued":{"date-parts":[["2014"]]},"title":"Biogeography and individuality shape function in the human skin metagenome","type":"article-journal"},"uris":["http://www.mendeley.com/documents/?uuid=e41a1229-311a-4fcd-ad5f-0349c3c5792e"]}],"mendeley":{"formattedCitation":"(&lt;i&gt;40&lt;/i&gt;)","plainTextFormattedCitation":"(40)","previouslyFormattedCitation":"(&lt;i&gt;40&lt;/i&gt;)"},"properties":{"noteIndex":0},"schema":"https://github.com/citation-style-language/schema/raw/master/csl-citation.json"}</w:instrText>
            </w:r>
            <w:r w:rsidRPr="0002739F">
              <w:rPr>
                <w:kern w:val="32"/>
              </w:rPr>
              <w:fldChar w:fldCharType="separate"/>
            </w:r>
            <w:r w:rsidRPr="0082106E">
              <w:rPr>
                <w:noProof/>
                <w:kern w:val="32"/>
              </w:rPr>
              <w:t>(</w:t>
            </w:r>
            <w:r w:rsidRPr="0082106E">
              <w:rPr>
                <w:i/>
                <w:noProof/>
                <w:kern w:val="32"/>
              </w:rPr>
              <w:t>40</w:t>
            </w:r>
            <w:r w:rsidRPr="0082106E">
              <w:rPr>
                <w:noProof/>
                <w:kern w:val="32"/>
              </w:rPr>
              <w:t>)</w:t>
            </w:r>
            <w:r w:rsidRPr="0002739F">
              <w:rPr>
                <w:kern w:val="32"/>
              </w:rPr>
              <w:fldChar w:fldCharType="end"/>
            </w:r>
          </w:p>
        </w:tc>
      </w:tr>
      <w:tr w:rsidR="00AB3A2F" w:rsidRPr="0002739F" w14:paraId="64B91F1D" w14:textId="77777777" w:rsidTr="00BC2BCE">
        <w:trPr>
          <w:trHeight w:val="520"/>
        </w:trPr>
        <w:tc>
          <w:tcPr>
            <w:tcW w:w="1615" w:type="dxa"/>
            <w:noWrap/>
            <w:hideMark/>
          </w:tcPr>
          <w:p w14:paraId="5A047D0A" w14:textId="77777777" w:rsidR="00AB3A2F" w:rsidRPr="0002739F" w:rsidRDefault="00AB3A2F" w:rsidP="00BC2BCE">
            <w:pPr>
              <w:keepNext/>
              <w:spacing w:before="240" w:after="60" w:line="480" w:lineRule="auto"/>
              <w:outlineLvl w:val="0"/>
              <w:rPr>
                <w:kern w:val="32"/>
              </w:rPr>
            </w:pPr>
            <w:r w:rsidRPr="0002739F">
              <w:rPr>
                <w:kern w:val="32"/>
              </w:rPr>
              <w:t>534R</w:t>
            </w:r>
          </w:p>
        </w:tc>
        <w:tc>
          <w:tcPr>
            <w:tcW w:w="2700" w:type="dxa"/>
            <w:noWrap/>
            <w:hideMark/>
          </w:tcPr>
          <w:p w14:paraId="793DC82A" w14:textId="77777777" w:rsidR="00AB3A2F" w:rsidRPr="0002739F" w:rsidRDefault="00AB3A2F" w:rsidP="00BC2BCE">
            <w:pPr>
              <w:keepNext/>
              <w:spacing w:before="240" w:after="60" w:line="480" w:lineRule="auto"/>
              <w:outlineLvl w:val="0"/>
              <w:rPr>
                <w:kern w:val="32"/>
              </w:rPr>
            </w:pPr>
            <w:r w:rsidRPr="0002739F">
              <w:rPr>
                <w:kern w:val="32"/>
              </w:rPr>
              <w:t>Reverse 16S sequencing primer</w:t>
            </w:r>
          </w:p>
        </w:tc>
        <w:tc>
          <w:tcPr>
            <w:tcW w:w="3690" w:type="dxa"/>
            <w:noWrap/>
            <w:hideMark/>
          </w:tcPr>
          <w:p w14:paraId="5234E3CD" w14:textId="77777777" w:rsidR="00AB3A2F" w:rsidRPr="0002739F" w:rsidRDefault="00AB3A2F" w:rsidP="00BC2BCE">
            <w:pPr>
              <w:keepNext/>
              <w:spacing w:before="240" w:after="60" w:line="480" w:lineRule="auto"/>
              <w:outlineLvl w:val="0"/>
              <w:rPr>
                <w:kern w:val="32"/>
              </w:rPr>
            </w:pPr>
            <w:r w:rsidRPr="0002739F">
              <w:rPr>
                <w:kern w:val="32"/>
              </w:rPr>
              <w:t>ATTACCGCGGCTGCTGG</w:t>
            </w:r>
          </w:p>
        </w:tc>
        <w:tc>
          <w:tcPr>
            <w:tcW w:w="1345" w:type="dxa"/>
            <w:noWrap/>
            <w:hideMark/>
          </w:tcPr>
          <w:p w14:paraId="521402B8" w14:textId="77777777" w:rsidR="00AB3A2F" w:rsidRPr="0002739F" w:rsidRDefault="00AB3A2F" w:rsidP="00BC2BCE">
            <w:pPr>
              <w:keepNext/>
              <w:spacing w:before="240" w:after="60" w:line="480" w:lineRule="auto"/>
              <w:outlineLvl w:val="0"/>
              <w:rPr>
                <w:kern w:val="32"/>
              </w:rPr>
            </w:pPr>
            <w:r w:rsidRPr="0002739F">
              <w:rPr>
                <w:kern w:val="32"/>
              </w:rPr>
              <w:fldChar w:fldCharType="begin" w:fldLock="1"/>
            </w:r>
            <w:r>
              <w:rPr>
                <w:kern w:val="32"/>
              </w:rPr>
              <w:instrText>ADDIN CSL_CITATION {"citationItems":[{"id":"ITEM-1","itemData":{"DOI":"10.1038/nature13786","ISSN":"14764687","PMID":"25279917","abstract":"The varied topography of human skin offers a unique opportunity to study how the body's microenvironments influence the functional and taxonomic composition of microbial communities. Phylogenetic marker gene-based studies have identified many bacteria and fungi that colonize distinct skin niches. Here metagenomic analyses of diverse body sites in healthy humans demonstrate that local biogeography and strong individuality define the skin microbiome. We developed a relational analysis of bacterial, fungal and viral communities, which showed not only site specificity but also individual signatures. We further identified strain-level variation of dominant species as heterogeneous and multiphyletic. Reference-free analyses captured the uncharacterized metagenome through the development of a multi-kingdom gene catalogue, which was used to uncover genetic signatures of species lacking reference genomes. This work is foundational for human disease studies investigating inter-kingdom interactions, metabolic changes and strain tracking, and defines the dual influence of biogeography and individuality on microbial composition and function.","author":[{"dropping-particle":"","family":"Oh","given":"Julia","non-dropping-particle":"","parse-names":false,"suffix":""},{"dropping-particle":"","family":"Byrd","given":"Allyson L.","non-dropping-particle":"","parse-names":false,"suffix":""},{"dropping-particle":"","family":"Deming","given":"Clay","non-dropping-particle":"","parse-names":false,"suffix":""},{"dropping-particle":"","family":"Conlan","given":"Sean","non-dropping-particle":"","parse-names":false,"suffix":""},{"dropping-particle":"","family":"Kong","given":"Heidi H.","non-dropping-particle":"","parse-names":false,"suffix":""},{"dropping-particle":"","family":"Segre","given":"Julia A.","non-dropping-particle":"","parse-names":false,"suffix":""},{"dropping-particle":"","family":"Barnabas","given":"Betty","non-dropping-particle":"","parse-names":false,"suffix":""},{"dropping-particle":"","family":"Blakesley","given":"Robert","non-dropping-particle":"","parse-names":false,"suffix":""},{"dropping-particle":"","family":"Bouffard","given":"Gerry","non-dropping-particle":"","parse-names":false,"suffix":""},{"dropping-particle":"","family":"Brooks","given":"Shelise","non-dropping-particle":"","parse-names":false,"suffix":""},{"dropping-particle":"","family":"Coleman","given":"Holly","non-dropping-particle":"","parse-names":false,"suffix":""},{"dropping-particle":"","family":"Dekhtyar","given":"Mila","non-dropping-particle":"","parse-names":false,"suffix":""},{"dropping-particle":"","family":"Gregory","given":"Michael","non-dropping-particle":"","parse-names":false,"suffix":""},{"dropping-particle":"","family":"Guan","given":"Xiaobin","non-dropping-particle":"","parse-names":false,"suffix":""},{"dropping-particle":"","family":"Gupta","given":"Jyoti","non-dropping-particle":"","parse-names":false,"suffix":""},{"dropping-particle":"","family":"Han","given":"Joel","non-dropping-particle":"","parse-names":false,"suffix":""},{"dropping-particle":"","family":"Ho","given":"Shi Ling","non-dropping-particle":"","parse-names":false,"suffix":""},{"dropping-particle":"","family":"Legaspi","given":"Richelle","non-dropping-particle":"","parse-names":false,"suffix":""},{"dropping-particle":"","family":"Maduro","given":"Quino","non-dropping-particle":"","parse-names":false,"suffix":""},{"dropping-particle":"","family":"Masiello","given":"Cathy","non-dropping-particle":"","parse-names":false,"suffix":""},{"dropping-particle":"","family":"Maskeri","given":"Baishali","non-dropping-particle":"","parse-names":false,"suffix":""},{"dropping-particle":"","family":"McDowell","given":"Jenny","non-dropping-particle":"","parse-names":false,"suffix":""},{"dropping-particle":"","family":"Montemayor","given":"Casandra","non-dropping-particle":"","parse-names":false,"suffix":""},{"dropping-particle":"","family":"Mullikin","given":"James","non-dropping-particle":"","parse-names":false,"suffix":""},{"dropping-particle":"","family":"Park","given":"Morgan","non-dropping-particle":"","parse-names":false,"suffix":""},{"dropping-particle":"","family":"Riebow","given":"Nancy","non-dropping-particle":"","parse-names":false,"suffix":""},{"dropping-particle":"","family":"Schandler","given":"Karen","non-dropping-particle":"","parse-names":false,"suffix":""},{"dropping-particle":"","family":"Schmidt","given":"Brian","non-dropping-particle":"","parse-names":false,"suffix":""},{"dropping-particle":"","family":"Sison","given":"Christina","non-dropping-particle":"","parse-names":false,"suffix":""},{"dropping-particle":"","family":"Stantripop","given":"Mal","non-dropping-particle":"","parse-names":false,"suffix":""},{"dropping-particle":"","family":"Thomas","given":"James","non-dropping-particle":"","parse-names":false,"suffix":""},{"dropping-particle":"","family":"Thomas","given":"Pamela","non-dropping-particle":"","parse-names":false,"suffix":""},{"dropping-particle":"","family":"Vemulapalli","given":"Meg","non-dropping-particle":"","parse-names":false,"suffix":""},{"dropping-particle":"","family":"Young","given":"Alice","non-dropping-particle":"","parse-names":false,"suffix":""}],"container-title":"Nature","id":"ITEM-1","issued":{"date-parts":[["2014"]]},"title":"Biogeography and individuality shape function in the human skin metagenome","type":"article-journal"},"uris":["http://www.mendeley.com/documents/?uuid=e41a1229-311a-4fcd-ad5f-0349c3c5792e"]}],"mendeley":{"formattedCitation":"(&lt;i&gt;40&lt;/i&gt;)","plainTextFormattedCitation":"(40)","previouslyFormattedCitation":"(&lt;i&gt;40&lt;/i&gt;)"},"properties":{"noteIndex":0},"schema":"https://github.com/citation-style-language/schema/raw/master/csl-citation.json"}</w:instrText>
            </w:r>
            <w:r w:rsidRPr="0002739F">
              <w:rPr>
                <w:kern w:val="32"/>
              </w:rPr>
              <w:fldChar w:fldCharType="separate"/>
            </w:r>
            <w:r w:rsidRPr="0082106E">
              <w:rPr>
                <w:noProof/>
                <w:kern w:val="32"/>
              </w:rPr>
              <w:t>(</w:t>
            </w:r>
            <w:r w:rsidRPr="0082106E">
              <w:rPr>
                <w:i/>
                <w:noProof/>
                <w:kern w:val="32"/>
              </w:rPr>
              <w:t>40</w:t>
            </w:r>
            <w:r w:rsidRPr="0082106E">
              <w:rPr>
                <w:noProof/>
                <w:kern w:val="32"/>
              </w:rPr>
              <w:t>)</w:t>
            </w:r>
            <w:r w:rsidRPr="0002739F">
              <w:rPr>
                <w:kern w:val="32"/>
              </w:rPr>
              <w:fldChar w:fldCharType="end"/>
            </w:r>
          </w:p>
        </w:tc>
      </w:tr>
    </w:tbl>
    <w:p w14:paraId="2CEB864F" w14:textId="4DF01ADC" w:rsidR="00AB3A2F" w:rsidRPr="0002739F" w:rsidRDefault="00B434A5" w:rsidP="00AB3A2F">
      <w:pPr>
        <w:keepNext/>
        <w:spacing w:before="240" w:after="60" w:line="480" w:lineRule="auto"/>
        <w:outlineLvl w:val="0"/>
        <w:rPr>
          <w:rFonts w:ascii="Times New Roman" w:eastAsia="Times New Roman" w:hAnsi="Times New Roman" w:cs="Times New Roman"/>
          <w:b/>
          <w:bCs/>
          <w:kern w:val="32"/>
        </w:rPr>
      </w:pPr>
      <w:r>
        <w:rPr>
          <w:rFonts w:ascii="Times New Roman" w:eastAsia="Times New Roman" w:hAnsi="Times New Roman" w:cs="Times New Roman"/>
          <w:b/>
          <w:bCs/>
          <w:kern w:val="32"/>
        </w:rPr>
        <w:t>Supplementary file 1</w:t>
      </w:r>
      <w:r w:rsidR="00AB3A2F" w:rsidRPr="0002739F">
        <w:rPr>
          <w:rFonts w:ascii="Times New Roman" w:eastAsia="Times New Roman" w:hAnsi="Times New Roman" w:cs="Times New Roman"/>
          <w:b/>
          <w:bCs/>
          <w:kern w:val="32"/>
        </w:rPr>
        <w:t xml:space="preserve">. </w:t>
      </w:r>
      <w:r w:rsidR="00AB3A2F" w:rsidRPr="0002739F">
        <w:rPr>
          <w:rFonts w:ascii="Times New Roman" w:eastAsia="Times New Roman" w:hAnsi="Times New Roman" w:cs="Times New Roman"/>
          <w:kern w:val="32"/>
        </w:rPr>
        <w:t>Nucleotide sequences used in this study.</w:t>
      </w:r>
    </w:p>
    <w:p w14:paraId="3B91CEB4" w14:textId="77777777" w:rsidR="00C23437" w:rsidRDefault="00000000"/>
    <w:sectPr w:rsidR="00C23437" w:rsidSect="003A49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A2F"/>
    <w:rsid w:val="003A4995"/>
    <w:rsid w:val="00842AEC"/>
    <w:rsid w:val="00AB3A2F"/>
    <w:rsid w:val="00B43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7624DD"/>
  <w15:chartTrackingRefBased/>
  <w15:docId w15:val="{B45CB181-57D7-D540-B24C-C0BD95272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A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3A2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3767</Words>
  <Characters>21474</Characters>
  <Application>Microsoft Office Word</Application>
  <DocSecurity>0</DocSecurity>
  <Lines>178</Lines>
  <Paragraphs>50</Paragraphs>
  <ScaleCrop>false</ScaleCrop>
  <Company/>
  <LinksUpToDate>false</LinksUpToDate>
  <CharactersWithSpaces>25191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M. Acosta</dc:creator>
  <cp:keywords/>
  <dc:description/>
  <cp:lastModifiedBy>Ellen M. Acosta</cp:lastModifiedBy>
  <cp:revision>2</cp:revision>
  <dcterms:created xsi:type="dcterms:W3CDTF">2023-05-22T16:22:00Z</dcterms:created>
  <dcterms:modified xsi:type="dcterms:W3CDTF">2023-05-22T16:28:00Z</dcterms:modified>
</cp:coreProperties>
</file>