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C6A5B" w14:textId="77777777" w:rsidR="00680562" w:rsidRDefault="00680562">
      <w:bookmarkStart w:id="0" w:name="_GoBack"/>
      <w:bookmarkEnd w:id="0"/>
    </w:p>
    <w:tbl>
      <w:tblPr>
        <w:tblpPr w:leftFromText="180" w:rightFromText="180" w:horzAnchor="margin" w:tblpY="1215"/>
        <w:tblW w:w="9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0"/>
        <w:gridCol w:w="1380"/>
        <w:gridCol w:w="1600"/>
        <w:gridCol w:w="1680"/>
        <w:gridCol w:w="1680"/>
        <w:gridCol w:w="1740"/>
      </w:tblGrid>
      <w:tr w:rsidR="00680562" w:rsidRPr="00680562" w14:paraId="45264030" w14:textId="77777777" w:rsidTr="00680562">
        <w:trPr>
          <w:trHeight w:val="571"/>
        </w:trPr>
        <w:tc>
          <w:tcPr>
            <w:tcW w:w="18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5A8CEDE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text1"/>
                <w:kern w:val="24"/>
              </w:rPr>
              <w:t>Entry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8150220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</w:rPr>
              <w:t>A</w:t>
            </w:r>
            <w:r w:rsidRPr="00680562">
              <w:rPr>
                <w:rFonts w:ascii="Arial" w:eastAsia="Times New Roman" w:hAnsi="Arial" w:cs="Arial"/>
                <w:color w:val="000000" w:themeColor="text1"/>
                <w:kern w:val="24"/>
                <w:position w:val="-6"/>
                <w:vertAlign w:val="subscript"/>
              </w:rPr>
              <w:t>280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8FF708C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i/>
                <w:iCs/>
                <w:color w:val="000000" w:themeColor="text1"/>
                <w:kern w:val="24"/>
              </w:rPr>
              <w:t>A</w:t>
            </w:r>
            <w:r w:rsidRPr="00680562">
              <w:rPr>
                <w:rFonts w:ascii="Arial" w:eastAsia="Times New Roman" w:hAnsi="Arial" w:cs="Arial"/>
                <w:color w:val="000000" w:themeColor="text1"/>
                <w:kern w:val="24"/>
                <w:position w:val="-6"/>
                <w:vertAlign w:val="subscript"/>
              </w:rPr>
              <w:t>252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A8D8C7D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text1"/>
                <w:kern w:val="24"/>
              </w:rPr>
              <w:t>CmAb (Moles)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03538B41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text1"/>
                <w:kern w:val="24"/>
              </w:rPr>
              <w:t>CDM1(Moles)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711E90C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text1"/>
                <w:kern w:val="24"/>
              </w:rPr>
              <w:t>DAR CDM1/CmAB</w:t>
            </w:r>
          </w:p>
        </w:tc>
      </w:tr>
      <w:tr w:rsidR="00680562" w:rsidRPr="00680562" w14:paraId="1BB0F921" w14:textId="77777777" w:rsidTr="00680562">
        <w:trPr>
          <w:trHeight w:val="864"/>
        </w:trPr>
        <w:tc>
          <w:tcPr>
            <w:tcW w:w="18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7793F36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hIgGFC-DM1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17AE94A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0.51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3547A39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0.48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AE1BB57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6.92705E-06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70DCE240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1.1531E-05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4E0B5F2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1.7</w:t>
            </w:r>
          </w:p>
        </w:tc>
      </w:tr>
      <w:tr w:rsidR="00680562" w:rsidRPr="00680562" w14:paraId="39DE9E8A" w14:textId="77777777" w:rsidTr="00680562">
        <w:trPr>
          <w:trHeight w:val="571"/>
        </w:trPr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F523643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Ipilimumab-DM1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FF888EC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Theme="minorEastAsia" w:hAnsi="Arial" w:cs="Arial"/>
                <w:color w:val="000000" w:themeColor="dark1"/>
                <w:kern w:val="24"/>
              </w:rPr>
              <w:t>0.62</w:t>
            </w:r>
          </w:p>
        </w:tc>
        <w:tc>
          <w:tcPr>
            <w:tcW w:w="160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3CA9A4D2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Theme="minorEastAsia" w:hAnsi="Arial" w:cs="Arial"/>
                <w:color w:val="000000" w:themeColor="dark1"/>
                <w:kern w:val="24"/>
              </w:rPr>
              <w:t>0.42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324D305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Theme="minorEastAsia" w:hAnsi="Arial" w:cs="Arial"/>
                <w:color w:val="000000" w:themeColor="dark1"/>
                <w:kern w:val="24"/>
              </w:rPr>
              <w:t>2.30582E-06</w:t>
            </w:r>
          </w:p>
        </w:tc>
        <w:tc>
          <w:tcPr>
            <w:tcW w:w="168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46C052A3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BA40B9" wp14:editId="2951E255">
                      <wp:simplePos x="0" y="0"/>
                      <wp:positionH relativeFrom="column">
                        <wp:posOffset>-4202430</wp:posOffset>
                      </wp:positionH>
                      <wp:positionV relativeFrom="paragraph">
                        <wp:posOffset>405130</wp:posOffset>
                      </wp:positionV>
                      <wp:extent cx="6467621" cy="646331"/>
                      <wp:effectExtent l="0" t="0" r="0" b="0"/>
                      <wp:wrapNone/>
                      <wp:docPr id="19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67621" cy="64633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44FDB4" w14:textId="77777777" w:rsidR="00680562" w:rsidRDefault="00680562" w:rsidP="0068056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Drug to antibody ratio (DAR)= CDM1/ CmAB. DM1 known extinction coefficients (A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-5"/>
                                      <w:sz w:val="18"/>
                                      <w:szCs w:val="18"/>
                                      <w:vertAlign w:val="subscript"/>
                                    </w:rPr>
                                    <w:t>280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, 5700 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; 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-5"/>
                                      <w:sz w:val="18"/>
                                      <w:szCs w:val="18"/>
                                      <w:vertAlign w:val="subscript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, 28084 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).  Experimentally derived extinction coefficients for Ipilimumab (A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-5"/>
                                      <w:sz w:val="18"/>
                                      <w:szCs w:val="18"/>
                                      <w:vertAlign w:val="subscript"/>
                                    </w:rPr>
                                    <w:t>280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, 242115 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; 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-5"/>
                                      <w:sz w:val="18"/>
                                      <w:szCs w:val="18"/>
                                      <w:vertAlign w:val="subscript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, 92989 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)   and hIgGFc (A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-5"/>
                                      <w:sz w:val="18"/>
                                      <w:szCs w:val="18"/>
                                      <w:vertAlign w:val="subscript"/>
                                    </w:rPr>
                                    <w:t>280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, 64136 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; 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-5"/>
                                      <w:sz w:val="18"/>
                                      <w:szCs w:val="18"/>
                                      <w:vertAlign w:val="subscript"/>
                                    </w:rPr>
                                    <w:t>252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, 22544  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position w:val="5"/>
                                      <w:sz w:val="18"/>
                                      <w:szCs w:val="18"/>
                                      <w:vertAlign w:val="superscript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BA40B9" id="Rectangle 18" o:spid="_x0000_s1026" style="position:absolute;margin-left:-330.9pt;margin-top:31.9pt;width:509.25pt;height:5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" filled="f" stroked="f">
                      <v:textbox style="mso-fit-shape-to-text:t">
                        <w:txbxContent>
                          <w:p w14:paraId="4044FDB4" w14:textId="77777777" w:rsidR="00680562" w:rsidRDefault="00680562" w:rsidP="0068056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Drug to antibody ratio (DAR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)=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CDM1/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CmAB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 DM1 known extinction coefficients (A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5"/>
                                <w:sz w:val="18"/>
                                <w:szCs w:val="18"/>
                                <w:vertAlign w:val="subscript"/>
                              </w:rPr>
                              <w:t>280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5700 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;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5"/>
                                <w:sz w:val="18"/>
                                <w:szCs w:val="18"/>
                                <w:vertAlign w:val="subscript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28084 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).  Experimentally derived extinction coefficients for Ipilimumab (A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5"/>
                                <w:sz w:val="18"/>
                                <w:szCs w:val="18"/>
                                <w:vertAlign w:val="subscript"/>
                              </w:rPr>
                              <w:t>280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242115 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;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5"/>
                                <w:sz w:val="18"/>
                                <w:szCs w:val="18"/>
                                <w:vertAlign w:val="subscript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92989 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)   and hIgGFc (A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5"/>
                                <w:sz w:val="18"/>
                                <w:szCs w:val="18"/>
                                <w:vertAlign w:val="subscript"/>
                              </w:rPr>
                              <w:t>280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64136 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; A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-5"/>
                                <w:sz w:val="18"/>
                                <w:szCs w:val="18"/>
                                <w:vertAlign w:val="subscript"/>
                              </w:rPr>
                              <w:t>252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22544  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cm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7.32032E-06</w:t>
            </w:r>
          </w:p>
        </w:tc>
        <w:tc>
          <w:tcPr>
            <w:tcW w:w="17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5B2F1FAA" w14:textId="77777777" w:rsidR="00680562" w:rsidRPr="00680562" w:rsidRDefault="00680562" w:rsidP="0068056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680562">
              <w:rPr>
                <w:rFonts w:ascii="Arial" w:eastAsia="Times New Roman" w:hAnsi="Arial" w:cs="Arial"/>
                <w:color w:val="000000" w:themeColor="dark1"/>
                <w:kern w:val="24"/>
              </w:rPr>
              <w:t>3.2</w:t>
            </w:r>
          </w:p>
        </w:tc>
      </w:tr>
    </w:tbl>
    <w:p w14:paraId="2C74EF8C" w14:textId="77777777" w:rsidR="00295D5F" w:rsidRDefault="006805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4AAA6" wp14:editId="41F37EFE">
                <wp:simplePos x="0" y="0"/>
                <wp:positionH relativeFrom="margin">
                  <wp:posOffset>-88017</wp:posOffset>
                </wp:positionH>
                <wp:positionV relativeFrom="paragraph">
                  <wp:posOffset>213664</wp:posOffset>
                </wp:positionV>
                <wp:extent cx="6467621" cy="276999"/>
                <wp:effectExtent l="0" t="0" r="0" b="0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621" cy="2769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E7807" w14:textId="602F5F48" w:rsidR="00680562" w:rsidRDefault="00680562" w:rsidP="0068056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Table </w:t>
                            </w:r>
                            <w:r w:rsidR="00DF5E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1. Drug to antibody ratio (DAR)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4AAA6" id="Rectangle 17" o:spid="_x0000_s1027" style="position:absolute;margin-left:-6.95pt;margin-top:16.8pt;width:509.25pt;height:21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" filled="f" stroked="f">
                <v:textbox style="mso-fit-shape-to-text:t">
                  <w:txbxContent>
                    <w:p w14:paraId="64BE7807" w14:textId="602F5F48" w:rsidR="00680562" w:rsidRDefault="00680562" w:rsidP="0068056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Table </w:t>
                      </w:r>
                      <w:r w:rsidR="00DF5E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 xml:space="preserve">1. Drug to antibody ratio (DAR)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95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62"/>
    <w:rsid w:val="00295D5F"/>
    <w:rsid w:val="00680562"/>
    <w:rsid w:val="00D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AE79"/>
  <w15:chartTrackingRefBased/>
  <w15:docId w15:val="{DAD04A6D-C811-474C-A8F7-818BFDC1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5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64e9ad-13a3-4316-95bc-df37d6061d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150DDE3CC6441ACC6479416FEF024" ma:contentTypeVersion="16" ma:contentTypeDescription="Create a new document." ma:contentTypeScope="" ma:versionID="a1ff436fb7ab5be60f495c09bf25a5dc">
  <xsd:schema xmlns:xsd="http://www.w3.org/2001/XMLSchema" xmlns:xs="http://www.w3.org/2001/XMLSchema" xmlns:p="http://schemas.microsoft.com/office/2006/metadata/properties" xmlns:ns3="8264e9ad-13a3-4316-95bc-df37d6061d6b" xmlns:ns4="60193584-22c7-43f9-b0d1-150288964bc1" targetNamespace="http://schemas.microsoft.com/office/2006/metadata/properties" ma:root="true" ma:fieldsID="d101f534a605bf45b77f1e427a03d8ca" ns3:_="" ns4:_="">
    <xsd:import namespace="8264e9ad-13a3-4316-95bc-df37d6061d6b"/>
    <xsd:import namespace="60193584-22c7-43f9-b0d1-150288964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4e9ad-13a3-4316-95bc-df37d6061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3584-22c7-43f9-b0d1-150288964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B064D-89F7-42FE-AB29-BB0E0A752C95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8264e9ad-13a3-4316-95bc-df37d6061d6b"/>
    <ds:schemaRef ds:uri="http://www.w3.org/XML/1998/namespace"/>
    <ds:schemaRef ds:uri="60193584-22c7-43f9-b0d1-150288964bc1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9401F26-2D5D-4039-A5AA-3DB88F3A0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30DB1-7A77-4CAD-AB42-1E6FCDEAE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4e9ad-13a3-4316-95bc-df37d6061d6b"/>
    <ds:schemaRef ds:uri="60193584-22c7-43f9-b0d1-15028896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Muthana, Musleh</dc:creator>
  <cp:keywords/>
  <dc:description/>
  <cp:lastModifiedBy>Muthana, Musleh</cp:lastModifiedBy>
  <cp:revision>2</cp:revision>
  <dcterms:created xsi:type="dcterms:W3CDTF">2023-11-10T00:14:00Z</dcterms:created>
  <dcterms:modified xsi:type="dcterms:W3CDTF">2023-11-17T17:28:00Z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0x010100040150DDE3CC6441ACC6479416FEF024</vt:lpwstr>
  </property>
</Properties>
</file>