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2C16" w14:textId="023EC822" w:rsidR="00497B28" w:rsidRPr="00FE251E" w:rsidRDefault="00603442" w:rsidP="00497B28">
      <w:pPr>
        <w:spacing w:line="276" w:lineRule="auto"/>
        <w:jc w:val="both"/>
        <w:rPr>
          <w:color w:val="000000"/>
        </w:rPr>
      </w:pPr>
      <w:r>
        <w:rPr>
          <w:b/>
        </w:rPr>
        <w:t>Supplementary File 2</w:t>
      </w:r>
      <w:r w:rsidR="00497B28">
        <w:rPr>
          <w:b/>
        </w:rPr>
        <w:t xml:space="preserve">: </w:t>
      </w:r>
      <w:r w:rsidR="00497B28">
        <w:rPr>
          <w:color w:val="000000"/>
        </w:rPr>
        <w:t>S</w:t>
      </w:r>
      <w:r w:rsidR="00497B28" w:rsidRPr="00DA6A4E">
        <w:rPr>
          <w:color w:val="000000"/>
        </w:rPr>
        <w:t>ummar</w:t>
      </w:r>
      <w:r w:rsidR="00497B28">
        <w:rPr>
          <w:color w:val="000000"/>
        </w:rPr>
        <w:t xml:space="preserve">izing </w:t>
      </w:r>
      <w:r w:rsidR="00497B28" w:rsidRPr="00DA6A4E">
        <w:rPr>
          <w:color w:val="000000"/>
        </w:rPr>
        <w:t xml:space="preserve">the </w:t>
      </w:r>
      <w:r w:rsidR="00497B28">
        <w:rPr>
          <w:color w:val="000000"/>
        </w:rPr>
        <w:t xml:space="preserve">results and </w:t>
      </w:r>
      <w:r w:rsidR="00497B28" w:rsidRPr="00DA6A4E">
        <w:rPr>
          <w:color w:val="000000"/>
        </w:rPr>
        <w:t>functions of the validated target genes</w:t>
      </w:r>
      <w:r w:rsidR="00497B28">
        <w:rPr>
          <w:color w:val="000000"/>
        </w:rPr>
        <w:t xml:space="preserve"> (not part of sex-determination pathway)</w:t>
      </w:r>
      <w:r w:rsidR="00497B28" w:rsidRPr="00DA6A4E">
        <w:rPr>
          <w:color w:val="000000"/>
        </w:rPr>
        <w:t xml:space="preserve"> at which splicing is regulated by CLAM</w:t>
      </w:r>
      <w:r w:rsidR="00497B28">
        <w:rPr>
          <w:color w:val="000000"/>
        </w:rPr>
        <w:t>P</w:t>
      </w:r>
    </w:p>
    <w:tbl>
      <w:tblPr>
        <w:tblStyle w:val="TableGrid"/>
        <w:tblpPr w:leftFromText="180" w:rightFromText="180" w:horzAnchor="margin" w:tblpY="841"/>
        <w:tblW w:w="9445" w:type="dxa"/>
        <w:tblLook w:val="04A0" w:firstRow="1" w:lastRow="0" w:firstColumn="1" w:lastColumn="0" w:noHBand="0" w:noVBand="1"/>
      </w:tblPr>
      <w:tblGrid>
        <w:gridCol w:w="2065"/>
        <w:gridCol w:w="4230"/>
        <w:gridCol w:w="3150"/>
      </w:tblGrid>
      <w:tr w:rsidR="00497B28" w:rsidRPr="00CD5F07" w14:paraId="5B7C2EBB" w14:textId="77777777" w:rsidTr="00A44DB6">
        <w:tc>
          <w:tcPr>
            <w:tcW w:w="2065" w:type="dxa"/>
          </w:tcPr>
          <w:p w14:paraId="51CC10D2" w14:textId="77777777" w:rsidR="00497B28" w:rsidRPr="00CD5F07" w:rsidRDefault="00497B28" w:rsidP="00A44DB6">
            <w:pPr>
              <w:jc w:val="both"/>
              <w:rPr>
                <w:b/>
                <w:sz w:val="20"/>
                <w:szCs w:val="20"/>
              </w:rPr>
            </w:pPr>
            <w:r w:rsidRPr="00CD5F07">
              <w:rPr>
                <w:b/>
                <w:sz w:val="20"/>
                <w:szCs w:val="20"/>
              </w:rPr>
              <w:t>Gene name</w:t>
            </w:r>
          </w:p>
        </w:tc>
        <w:tc>
          <w:tcPr>
            <w:tcW w:w="4230" w:type="dxa"/>
          </w:tcPr>
          <w:p w14:paraId="1CAE3769" w14:textId="77777777" w:rsidR="00497B28" w:rsidRPr="00CD5F07" w:rsidRDefault="00497B28" w:rsidP="00A44DB6">
            <w:pPr>
              <w:jc w:val="both"/>
              <w:rPr>
                <w:b/>
                <w:sz w:val="20"/>
                <w:szCs w:val="20"/>
              </w:rPr>
            </w:pPr>
            <w:r w:rsidRPr="00CD5F07">
              <w:rPr>
                <w:b/>
                <w:sz w:val="20"/>
                <w:szCs w:val="20"/>
              </w:rPr>
              <w:t>Function</w:t>
            </w:r>
          </w:p>
        </w:tc>
        <w:tc>
          <w:tcPr>
            <w:tcW w:w="3150" w:type="dxa"/>
          </w:tcPr>
          <w:p w14:paraId="629078EE" w14:textId="77777777" w:rsidR="00497B28" w:rsidRPr="00CD5F07" w:rsidRDefault="00497B28" w:rsidP="00A44DB6">
            <w:pPr>
              <w:jc w:val="both"/>
              <w:rPr>
                <w:b/>
                <w:sz w:val="20"/>
                <w:szCs w:val="20"/>
              </w:rPr>
            </w:pPr>
            <w:r w:rsidRPr="00CD5F07">
              <w:rPr>
                <w:b/>
                <w:sz w:val="20"/>
                <w:szCs w:val="20"/>
              </w:rPr>
              <w:t>Effect on splicing</w:t>
            </w:r>
          </w:p>
        </w:tc>
      </w:tr>
      <w:tr w:rsidR="00497B28" w:rsidRPr="00CD5F07" w14:paraId="06B95956" w14:textId="77777777" w:rsidTr="00A44DB6">
        <w:tc>
          <w:tcPr>
            <w:tcW w:w="2065" w:type="dxa"/>
          </w:tcPr>
          <w:p w14:paraId="4619A7D5" w14:textId="77777777" w:rsidR="00497B28" w:rsidRPr="00CD5F07" w:rsidRDefault="00497B28" w:rsidP="00A44DB6">
            <w:pPr>
              <w:jc w:val="both"/>
              <w:rPr>
                <w:sz w:val="20"/>
                <w:szCs w:val="20"/>
              </w:rPr>
            </w:pPr>
            <w:proofErr w:type="spellStart"/>
            <w:r w:rsidRPr="00CD5F07">
              <w:rPr>
                <w:color w:val="000000" w:themeColor="text1"/>
                <w:sz w:val="20"/>
                <w:szCs w:val="20"/>
                <w:shd w:val="clear" w:color="auto" w:fill="FFFFFF"/>
              </w:rPr>
              <w:t>Fus</w:t>
            </w:r>
            <w:proofErr w:type="spellEnd"/>
            <w:r w:rsidRPr="00CD5F07">
              <w:rPr>
                <w:color w:val="000000" w:themeColor="text1"/>
                <w:sz w:val="20"/>
                <w:szCs w:val="20"/>
                <w:shd w:val="clear" w:color="auto" w:fill="FFFFFF"/>
              </w:rPr>
              <w:t xml:space="preserve"> (Fusilli</w:t>
            </w:r>
            <w:r>
              <w:rPr>
                <w:color w:val="000000" w:themeColor="text1"/>
                <w:sz w:val="20"/>
                <w:szCs w:val="20"/>
                <w:shd w:val="clear" w:color="auto" w:fill="FFFFFF"/>
              </w:rPr>
              <w:t>)</w:t>
            </w:r>
          </w:p>
        </w:tc>
        <w:tc>
          <w:tcPr>
            <w:tcW w:w="4230" w:type="dxa"/>
          </w:tcPr>
          <w:p w14:paraId="61485F6F" w14:textId="77777777" w:rsidR="00497B28" w:rsidRPr="00CD5F07" w:rsidRDefault="00497B28" w:rsidP="00A44DB6">
            <w:pPr>
              <w:jc w:val="both"/>
              <w:rPr>
                <w:sz w:val="20"/>
                <w:szCs w:val="20"/>
              </w:rPr>
            </w:pPr>
            <w:proofErr w:type="spellStart"/>
            <w:r w:rsidRPr="00355DC9">
              <w:rPr>
                <w:sz w:val="20"/>
                <w:szCs w:val="20"/>
              </w:rPr>
              <w:t>Fus</w:t>
            </w:r>
            <w:proofErr w:type="spellEnd"/>
            <w:r w:rsidRPr="00355DC9">
              <w:rPr>
                <w:sz w:val="20"/>
                <w:szCs w:val="20"/>
              </w:rPr>
              <w:t xml:space="preserve"> regulates alternative splicing of specific genes and plays a role in embryonic dorsoventral patterning (Wakabayashi-Ito 2001)</w:t>
            </w:r>
            <w:r w:rsidRPr="00806A9B">
              <w:rPr>
                <w:sz w:val="20"/>
                <w:szCs w:val="20"/>
                <w:vertAlign w:val="superscript"/>
              </w:rPr>
              <w:t>1</w:t>
            </w:r>
            <w:r w:rsidRPr="00355DC9">
              <w:rPr>
                <w:sz w:val="20"/>
                <w:szCs w:val="20"/>
              </w:rPr>
              <w:t>. Its human ortholog ESRP1 (Epithelial splicing regulatory protein</w:t>
            </w:r>
            <w:r>
              <w:rPr>
                <w:sz w:val="20"/>
                <w:szCs w:val="20"/>
              </w:rPr>
              <w:t>)</w:t>
            </w:r>
            <w:r w:rsidRPr="00355DC9">
              <w:rPr>
                <w:sz w:val="20"/>
                <w:szCs w:val="20"/>
              </w:rPr>
              <w:t xml:space="preserve"> regulates splicing during the epithelial to mesenchymal transition and is implicated in autosomal recessive non-syndromic deafness 109. Alternative splicing of both </w:t>
            </w:r>
            <w:proofErr w:type="spellStart"/>
            <w:r w:rsidRPr="00355DC9">
              <w:rPr>
                <w:sz w:val="20"/>
                <w:szCs w:val="20"/>
              </w:rPr>
              <w:t>Fus</w:t>
            </w:r>
            <w:proofErr w:type="spellEnd"/>
            <w:r w:rsidRPr="00355DC9">
              <w:rPr>
                <w:sz w:val="20"/>
                <w:szCs w:val="20"/>
              </w:rPr>
              <w:t xml:space="preserve"> and ESRP1 has been shown to confer distinct subcellular localization (Yang and Carstens 2017)</w:t>
            </w:r>
            <w:r w:rsidRPr="00EE1B8C">
              <w:rPr>
                <w:noProof/>
                <w:sz w:val="20"/>
                <w:szCs w:val="20"/>
                <w:vertAlign w:val="superscript"/>
              </w:rPr>
              <w:t>2</w:t>
            </w:r>
            <w:r>
              <w:rPr>
                <w:sz w:val="20"/>
                <w:szCs w:val="20"/>
              </w:rPr>
              <w:t>.</w:t>
            </w:r>
          </w:p>
        </w:tc>
        <w:tc>
          <w:tcPr>
            <w:tcW w:w="3150" w:type="dxa"/>
          </w:tcPr>
          <w:p w14:paraId="308202FC" w14:textId="3E1D61D4" w:rsidR="00497B28" w:rsidRPr="00CD5F07" w:rsidRDefault="00497B28" w:rsidP="00A44DB6">
            <w:pPr>
              <w:jc w:val="both"/>
              <w:rPr>
                <w:sz w:val="20"/>
                <w:szCs w:val="20"/>
              </w:rPr>
            </w:pPr>
            <w:r>
              <w:rPr>
                <w:sz w:val="20"/>
                <w:szCs w:val="20"/>
              </w:rPr>
              <w:t>CLAMP regulates splicing of retained intron in exon 97 of</w:t>
            </w:r>
            <w:r w:rsidRPr="003F7211">
              <w:rPr>
                <w:i/>
                <w:sz w:val="20"/>
                <w:szCs w:val="20"/>
              </w:rPr>
              <w:t xml:space="preserve"> </w:t>
            </w:r>
            <w:proofErr w:type="spellStart"/>
            <w:r w:rsidRPr="003F7211">
              <w:rPr>
                <w:i/>
                <w:sz w:val="20"/>
                <w:szCs w:val="20"/>
              </w:rPr>
              <w:t>fus</w:t>
            </w:r>
            <w:proofErr w:type="spellEnd"/>
            <w:r>
              <w:rPr>
                <w:sz w:val="20"/>
                <w:szCs w:val="20"/>
              </w:rPr>
              <w:t xml:space="preserve"> </w:t>
            </w:r>
            <w:r w:rsidRPr="00355DC9">
              <w:rPr>
                <w:sz w:val="20"/>
                <w:szCs w:val="20"/>
              </w:rPr>
              <w:t>in</w:t>
            </w:r>
            <w:r>
              <w:rPr>
                <w:sz w:val="20"/>
                <w:szCs w:val="20"/>
              </w:rPr>
              <w:t xml:space="preserve"> males </w:t>
            </w:r>
            <w:r w:rsidRPr="00355DC9">
              <w:rPr>
                <w:sz w:val="20"/>
                <w:szCs w:val="20"/>
              </w:rPr>
              <w:t>(</w:t>
            </w:r>
            <w:r w:rsidRPr="00A15A51">
              <w:rPr>
                <w:b/>
                <w:sz w:val="20"/>
                <w:szCs w:val="20"/>
              </w:rPr>
              <w:t>Fig</w:t>
            </w:r>
            <w:r>
              <w:rPr>
                <w:b/>
                <w:sz w:val="20"/>
                <w:szCs w:val="20"/>
              </w:rPr>
              <w:t>ure 2-figure supplement 3</w:t>
            </w:r>
            <w:r w:rsidRPr="00A15A51">
              <w:rPr>
                <w:b/>
                <w:sz w:val="20"/>
                <w:szCs w:val="20"/>
              </w:rPr>
              <w:t>A</w:t>
            </w:r>
            <w:r>
              <w:rPr>
                <w:b/>
                <w:sz w:val="20"/>
                <w:szCs w:val="20"/>
              </w:rPr>
              <w:t>, D, G</w:t>
            </w:r>
            <w:r w:rsidRPr="00355DC9">
              <w:rPr>
                <w:sz w:val="20"/>
                <w:szCs w:val="20"/>
              </w:rPr>
              <w:t>).</w:t>
            </w:r>
          </w:p>
        </w:tc>
      </w:tr>
      <w:tr w:rsidR="00497B28" w:rsidRPr="00CD5F07" w14:paraId="42035B1E" w14:textId="77777777" w:rsidTr="00A44DB6">
        <w:tc>
          <w:tcPr>
            <w:tcW w:w="2065" w:type="dxa"/>
          </w:tcPr>
          <w:p w14:paraId="0FA4FF47" w14:textId="77777777" w:rsidR="00497B28" w:rsidRPr="00CD5F07" w:rsidRDefault="00497B28" w:rsidP="00A44DB6">
            <w:pPr>
              <w:jc w:val="both"/>
              <w:rPr>
                <w:sz w:val="20"/>
                <w:szCs w:val="20"/>
              </w:rPr>
            </w:pPr>
            <w:proofErr w:type="spellStart"/>
            <w:r w:rsidRPr="00CD5F07">
              <w:rPr>
                <w:sz w:val="20"/>
                <w:szCs w:val="20"/>
              </w:rPr>
              <w:t>Wnd</w:t>
            </w:r>
            <w:proofErr w:type="spellEnd"/>
            <w:r w:rsidRPr="00CD5F07">
              <w:rPr>
                <w:sz w:val="20"/>
                <w:szCs w:val="20"/>
              </w:rPr>
              <w:t xml:space="preserve"> (Wallenda)</w:t>
            </w:r>
          </w:p>
        </w:tc>
        <w:tc>
          <w:tcPr>
            <w:tcW w:w="4230" w:type="dxa"/>
          </w:tcPr>
          <w:p w14:paraId="47E201C3" w14:textId="77777777" w:rsidR="00497B28" w:rsidRPr="00CD5F07" w:rsidRDefault="00497B28" w:rsidP="00A44DB6">
            <w:pPr>
              <w:jc w:val="both"/>
              <w:rPr>
                <w:sz w:val="20"/>
                <w:szCs w:val="20"/>
              </w:rPr>
            </w:pPr>
            <w:r w:rsidRPr="00CD5F07">
              <w:rPr>
                <w:sz w:val="20"/>
                <w:szCs w:val="20"/>
              </w:rPr>
              <w:t>encodes for a MAP Kinase with role</w:t>
            </w:r>
            <w:r>
              <w:rPr>
                <w:sz w:val="20"/>
                <w:szCs w:val="20"/>
              </w:rPr>
              <w:t>s</w:t>
            </w:r>
            <w:r w:rsidRPr="00CD5F07">
              <w:rPr>
                <w:sz w:val="20"/>
                <w:szCs w:val="20"/>
              </w:rPr>
              <w:t xml:space="preserve"> in axonal injury signaling and in regulation of presynaptic bouton structure (Russo et al 2019)</w:t>
            </w:r>
            <w:r w:rsidRPr="00806A9B">
              <w:rPr>
                <w:sz w:val="20"/>
                <w:szCs w:val="20"/>
                <w:vertAlign w:val="superscript"/>
              </w:rPr>
              <w:t>3</w:t>
            </w:r>
          </w:p>
        </w:tc>
        <w:tc>
          <w:tcPr>
            <w:tcW w:w="3150" w:type="dxa"/>
          </w:tcPr>
          <w:p w14:paraId="446A6DCE" w14:textId="22D61D33" w:rsidR="00497B28" w:rsidRPr="00CD5F07" w:rsidRDefault="00497B28" w:rsidP="00A44DB6">
            <w:pPr>
              <w:jc w:val="both"/>
              <w:rPr>
                <w:sz w:val="20"/>
                <w:szCs w:val="20"/>
              </w:rPr>
            </w:pPr>
            <w:r w:rsidRPr="00CD5F07">
              <w:rPr>
                <w:sz w:val="20"/>
                <w:szCs w:val="20"/>
              </w:rPr>
              <w:t>one of the isoforms</w:t>
            </w:r>
            <w:r>
              <w:rPr>
                <w:sz w:val="20"/>
                <w:szCs w:val="20"/>
              </w:rPr>
              <w:t xml:space="preserve"> </w:t>
            </w:r>
            <w:proofErr w:type="spellStart"/>
            <w:r>
              <w:rPr>
                <w:sz w:val="20"/>
                <w:szCs w:val="20"/>
              </w:rPr>
              <w:t>isoA</w:t>
            </w:r>
            <w:proofErr w:type="spellEnd"/>
            <w:r w:rsidRPr="00CD5F07">
              <w:rPr>
                <w:sz w:val="20"/>
                <w:szCs w:val="20"/>
              </w:rPr>
              <w:t xml:space="preserve"> significantly downregulated only in males (</w:t>
            </w:r>
            <w:r w:rsidRPr="00A15A51">
              <w:rPr>
                <w:b/>
                <w:sz w:val="20"/>
                <w:szCs w:val="20"/>
              </w:rPr>
              <w:t>Fig</w:t>
            </w:r>
            <w:r>
              <w:rPr>
                <w:b/>
                <w:sz w:val="20"/>
                <w:szCs w:val="20"/>
              </w:rPr>
              <w:t>ure 2-figure supplement 3B, E, H</w:t>
            </w:r>
            <w:r w:rsidRPr="00CD5F07">
              <w:rPr>
                <w:sz w:val="20"/>
                <w:szCs w:val="20"/>
              </w:rPr>
              <w:t>)</w:t>
            </w:r>
          </w:p>
        </w:tc>
      </w:tr>
      <w:tr w:rsidR="00497B28" w:rsidRPr="00CD5F07" w14:paraId="6230986E" w14:textId="77777777" w:rsidTr="00A44DB6">
        <w:tc>
          <w:tcPr>
            <w:tcW w:w="2065" w:type="dxa"/>
          </w:tcPr>
          <w:p w14:paraId="15CB5B3A" w14:textId="77777777" w:rsidR="00497B28" w:rsidRPr="00CD5F07" w:rsidRDefault="00497B28" w:rsidP="00A44DB6">
            <w:pPr>
              <w:jc w:val="both"/>
              <w:rPr>
                <w:sz w:val="20"/>
                <w:szCs w:val="20"/>
              </w:rPr>
            </w:pPr>
            <w:r w:rsidRPr="00CD5F07">
              <w:rPr>
                <w:sz w:val="20"/>
                <w:szCs w:val="20"/>
              </w:rPr>
              <w:t>PEP (Protein on ecdysone puffs)</w:t>
            </w:r>
          </w:p>
        </w:tc>
        <w:tc>
          <w:tcPr>
            <w:tcW w:w="4230" w:type="dxa"/>
          </w:tcPr>
          <w:p w14:paraId="357784EE" w14:textId="77777777" w:rsidR="00497B28" w:rsidRPr="00CD5F07" w:rsidRDefault="00497B28" w:rsidP="00A44DB6">
            <w:pPr>
              <w:jc w:val="both"/>
              <w:rPr>
                <w:sz w:val="20"/>
                <w:szCs w:val="20"/>
              </w:rPr>
            </w:pPr>
            <w:r w:rsidRPr="00355DC9">
              <w:rPr>
                <w:sz w:val="20"/>
                <w:szCs w:val="20"/>
              </w:rPr>
              <w:t>PEP is part of the catalytic step</w:t>
            </w:r>
            <w:r>
              <w:rPr>
                <w:sz w:val="20"/>
                <w:szCs w:val="20"/>
              </w:rPr>
              <w:t xml:space="preserve"> </w:t>
            </w:r>
            <w:r w:rsidRPr="00355DC9">
              <w:rPr>
                <w:sz w:val="20"/>
                <w:szCs w:val="20"/>
              </w:rPr>
              <w:t>2 spliceosome (Herold et al 2009)</w:t>
            </w:r>
            <w:r w:rsidRPr="00392DDC">
              <w:rPr>
                <w:sz w:val="20"/>
                <w:szCs w:val="20"/>
                <w:vertAlign w:val="superscript"/>
              </w:rPr>
              <w:t>4</w:t>
            </w:r>
            <w:r w:rsidRPr="00355DC9">
              <w:rPr>
                <w:sz w:val="20"/>
                <w:szCs w:val="20"/>
              </w:rPr>
              <w:t xml:space="preserve"> and physically interacts with MLE (</w:t>
            </w:r>
            <w:proofErr w:type="spellStart"/>
            <w:r w:rsidRPr="00355DC9">
              <w:rPr>
                <w:sz w:val="20"/>
                <w:szCs w:val="20"/>
              </w:rPr>
              <w:t>Cugusi</w:t>
            </w:r>
            <w:proofErr w:type="spellEnd"/>
            <w:r w:rsidRPr="00355DC9">
              <w:rPr>
                <w:sz w:val="20"/>
                <w:szCs w:val="20"/>
              </w:rPr>
              <w:t xml:space="preserve"> et al 2015)</w:t>
            </w:r>
            <w:r>
              <w:rPr>
                <w:noProof/>
                <w:sz w:val="20"/>
                <w:szCs w:val="20"/>
                <w:vertAlign w:val="superscript"/>
              </w:rPr>
              <w:t>5</w:t>
            </w:r>
            <w:r w:rsidRPr="00355DC9">
              <w:rPr>
                <w:sz w:val="20"/>
                <w:szCs w:val="20"/>
              </w:rPr>
              <w:t>, Squid (Amero et al 1993)</w:t>
            </w:r>
            <w:r w:rsidRPr="00EE1B8C">
              <w:rPr>
                <w:noProof/>
                <w:sz w:val="20"/>
                <w:szCs w:val="20"/>
                <w:vertAlign w:val="superscript"/>
              </w:rPr>
              <w:t>26</w:t>
            </w:r>
            <w:r w:rsidRPr="00355DC9">
              <w:rPr>
                <w:sz w:val="20"/>
                <w:szCs w:val="20"/>
              </w:rPr>
              <w:t xml:space="preserve">, </w:t>
            </w:r>
            <w:proofErr w:type="spellStart"/>
            <w:r w:rsidRPr="00355DC9">
              <w:rPr>
                <w:sz w:val="20"/>
                <w:szCs w:val="20"/>
              </w:rPr>
              <w:t>Ubx</w:t>
            </w:r>
            <w:proofErr w:type="spellEnd"/>
            <w:r w:rsidRPr="00355DC9">
              <w:rPr>
                <w:sz w:val="20"/>
                <w:szCs w:val="20"/>
              </w:rPr>
              <w:t xml:space="preserve"> and Abd-A (</w:t>
            </w:r>
            <w:proofErr w:type="spellStart"/>
            <w:r w:rsidRPr="00355DC9">
              <w:rPr>
                <w:sz w:val="20"/>
                <w:szCs w:val="20"/>
              </w:rPr>
              <w:t>Bischof</w:t>
            </w:r>
            <w:proofErr w:type="spellEnd"/>
            <w:r w:rsidRPr="00355DC9">
              <w:rPr>
                <w:sz w:val="20"/>
                <w:szCs w:val="20"/>
              </w:rPr>
              <w:t xml:space="preserve"> et al 2018)</w:t>
            </w:r>
            <w:r w:rsidRPr="00392DDC">
              <w:rPr>
                <w:sz w:val="20"/>
                <w:szCs w:val="20"/>
                <w:vertAlign w:val="superscript"/>
              </w:rPr>
              <w:t>6</w:t>
            </w:r>
            <w:r w:rsidRPr="00355DC9">
              <w:rPr>
                <w:sz w:val="20"/>
                <w:szCs w:val="20"/>
              </w:rPr>
              <w:t>.</w:t>
            </w:r>
          </w:p>
        </w:tc>
        <w:tc>
          <w:tcPr>
            <w:tcW w:w="3150" w:type="dxa"/>
          </w:tcPr>
          <w:p w14:paraId="45337587" w14:textId="0B2AEF18" w:rsidR="00497B28" w:rsidRPr="00CD5F07" w:rsidRDefault="00497B28" w:rsidP="00A44DB6">
            <w:pPr>
              <w:jc w:val="both"/>
              <w:rPr>
                <w:sz w:val="20"/>
                <w:szCs w:val="20"/>
              </w:rPr>
            </w:pPr>
            <w:r>
              <w:rPr>
                <w:sz w:val="20"/>
                <w:szCs w:val="20"/>
              </w:rPr>
              <w:t>S</w:t>
            </w:r>
            <w:r w:rsidRPr="00355DC9">
              <w:rPr>
                <w:sz w:val="20"/>
                <w:szCs w:val="20"/>
              </w:rPr>
              <w:t xml:space="preserve">plicing </w:t>
            </w:r>
            <w:r>
              <w:rPr>
                <w:sz w:val="20"/>
                <w:szCs w:val="20"/>
              </w:rPr>
              <w:t xml:space="preserve">of intron between exon 6-5 in </w:t>
            </w:r>
            <w:r w:rsidRPr="003F7211">
              <w:rPr>
                <w:i/>
                <w:sz w:val="20"/>
                <w:szCs w:val="20"/>
              </w:rPr>
              <w:t>pep</w:t>
            </w:r>
            <w:r>
              <w:rPr>
                <w:sz w:val="20"/>
                <w:szCs w:val="20"/>
              </w:rPr>
              <w:t xml:space="preserve"> is </w:t>
            </w:r>
            <w:r w:rsidRPr="00355DC9">
              <w:rPr>
                <w:sz w:val="20"/>
                <w:szCs w:val="20"/>
              </w:rPr>
              <w:t>regulated by CLAMP</w:t>
            </w:r>
            <w:r>
              <w:rPr>
                <w:sz w:val="20"/>
                <w:szCs w:val="20"/>
              </w:rPr>
              <w:t xml:space="preserve"> </w:t>
            </w:r>
            <w:r w:rsidRPr="00355DC9">
              <w:rPr>
                <w:sz w:val="20"/>
                <w:szCs w:val="20"/>
              </w:rPr>
              <w:t>in males (</w:t>
            </w:r>
            <w:bookmarkStart w:id="0" w:name="_GoBack"/>
            <w:bookmarkEnd w:id="0"/>
            <w:r w:rsidRPr="00A15A51">
              <w:rPr>
                <w:b/>
                <w:sz w:val="20"/>
                <w:szCs w:val="20"/>
              </w:rPr>
              <w:t>Fig</w:t>
            </w:r>
            <w:r>
              <w:rPr>
                <w:b/>
                <w:sz w:val="20"/>
                <w:szCs w:val="20"/>
              </w:rPr>
              <w:t>ure 2-figure supplement 3</w:t>
            </w:r>
            <w:r w:rsidRPr="00A15A51">
              <w:rPr>
                <w:b/>
                <w:sz w:val="20"/>
                <w:szCs w:val="20"/>
              </w:rPr>
              <w:t>E</w:t>
            </w:r>
            <w:r>
              <w:rPr>
                <w:b/>
                <w:sz w:val="20"/>
                <w:szCs w:val="20"/>
              </w:rPr>
              <w:t>, J, O</w:t>
            </w:r>
            <w:r w:rsidRPr="00355DC9">
              <w:rPr>
                <w:sz w:val="20"/>
                <w:szCs w:val="20"/>
              </w:rPr>
              <w:t>).</w:t>
            </w:r>
          </w:p>
        </w:tc>
      </w:tr>
      <w:tr w:rsidR="00497B28" w:rsidRPr="00CD5F07" w14:paraId="3FDFFBF1" w14:textId="77777777" w:rsidTr="00A44DB6">
        <w:tc>
          <w:tcPr>
            <w:tcW w:w="2065" w:type="dxa"/>
          </w:tcPr>
          <w:p w14:paraId="7D548C5F" w14:textId="77777777" w:rsidR="00497B28" w:rsidRPr="00CD5F07" w:rsidRDefault="00497B28" w:rsidP="00A44DB6">
            <w:pPr>
              <w:jc w:val="both"/>
              <w:rPr>
                <w:sz w:val="20"/>
                <w:szCs w:val="20"/>
              </w:rPr>
            </w:pPr>
            <w:proofErr w:type="spellStart"/>
            <w:r w:rsidRPr="00CD5F07">
              <w:rPr>
                <w:sz w:val="20"/>
                <w:szCs w:val="20"/>
              </w:rPr>
              <w:t>spen</w:t>
            </w:r>
            <w:proofErr w:type="spellEnd"/>
          </w:p>
        </w:tc>
        <w:tc>
          <w:tcPr>
            <w:tcW w:w="4230" w:type="dxa"/>
          </w:tcPr>
          <w:p w14:paraId="2F9A259A" w14:textId="77777777" w:rsidR="00497B28" w:rsidRPr="00CD5F07" w:rsidRDefault="00497B28" w:rsidP="00A44DB6">
            <w:pPr>
              <w:jc w:val="both"/>
              <w:rPr>
                <w:sz w:val="20"/>
                <w:szCs w:val="20"/>
              </w:rPr>
            </w:pPr>
            <w:r w:rsidRPr="00355DC9">
              <w:rPr>
                <w:sz w:val="20"/>
                <w:szCs w:val="20"/>
              </w:rPr>
              <w:t>encodes an RRM (RNA recognition motif) domain protein that interacts with</w:t>
            </w:r>
            <w:r>
              <w:rPr>
                <w:sz w:val="20"/>
                <w:szCs w:val="20"/>
              </w:rPr>
              <w:t xml:space="preserve"> the</w:t>
            </w:r>
            <w:r w:rsidRPr="00355DC9">
              <w:rPr>
                <w:sz w:val="20"/>
                <w:szCs w:val="20"/>
              </w:rPr>
              <w:t xml:space="preserve"> </w:t>
            </w:r>
            <w:proofErr w:type="spellStart"/>
            <w:r w:rsidRPr="00355DC9">
              <w:rPr>
                <w:i/>
                <w:iCs/>
                <w:sz w:val="20"/>
                <w:szCs w:val="20"/>
              </w:rPr>
              <w:t>Hox</w:t>
            </w:r>
            <w:proofErr w:type="spellEnd"/>
            <w:r w:rsidRPr="00355DC9">
              <w:rPr>
                <w:sz w:val="20"/>
                <w:szCs w:val="20"/>
              </w:rPr>
              <w:t xml:space="preserve"> pathway (Willette et al 1999)</w:t>
            </w:r>
            <w:r w:rsidRPr="00392DDC">
              <w:rPr>
                <w:sz w:val="20"/>
                <w:szCs w:val="20"/>
                <w:vertAlign w:val="superscript"/>
              </w:rPr>
              <w:t>7</w:t>
            </w:r>
            <w:r w:rsidRPr="00355DC9">
              <w:rPr>
                <w:sz w:val="20"/>
                <w:szCs w:val="20"/>
              </w:rPr>
              <w:t>. It is orthologous to human SPEN (</w:t>
            </w:r>
            <w:proofErr w:type="spellStart"/>
            <w:r w:rsidRPr="00355DC9">
              <w:rPr>
                <w:sz w:val="20"/>
                <w:szCs w:val="20"/>
              </w:rPr>
              <w:t>spen</w:t>
            </w:r>
            <w:proofErr w:type="spellEnd"/>
            <w:r w:rsidRPr="00355DC9">
              <w:rPr>
                <w:sz w:val="20"/>
                <w:szCs w:val="20"/>
              </w:rPr>
              <w:t xml:space="preserve"> family transcriptional repressors) which recruits histone deacetylases. </w:t>
            </w:r>
            <w:r w:rsidRPr="00355DC9">
              <w:rPr>
                <w:i/>
                <w:iCs/>
                <w:sz w:val="20"/>
                <w:szCs w:val="20"/>
              </w:rPr>
              <w:t>de novo</w:t>
            </w:r>
            <w:r w:rsidRPr="00355DC9">
              <w:rPr>
                <w:sz w:val="20"/>
                <w:szCs w:val="20"/>
              </w:rPr>
              <w:t xml:space="preserve"> truncating variants in </w:t>
            </w:r>
            <w:r w:rsidRPr="00355DC9">
              <w:rPr>
                <w:i/>
                <w:iCs/>
                <w:sz w:val="20"/>
                <w:szCs w:val="20"/>
              </w:rPr>
              <w:t>SPEN</w:t>
            </w:r>
            <w:r w:rsidRPr="00355DC9">
              <w:rPr>
                <w:sz w:val="20"/>
                <w:szCs w:val="20"/>
              </w:rPr>
              <w:t xml:space="preserve"> have been linked to a neurodevelopmental disorder associated with obesity and increased BMI in females who also have a distinctive </w:t>
            </w:r>
            <w:r>
              <w:rPr>
                <w:color w:val="000000" w:themeColor="text1"/>
                <w:sz w:val="20"/>
                <w:szCs w:val="20"/>
              </w:rPr>
              <w:t xml:space="preserve">X chromosome </w:t>
            </w:r>
            <w:r w:rsidRPr="00355DC9">
              <w:rPr>
                <w:sz w:val="20"/>
                <w:szCs w:val="20"/>
              </w:rPr>
              <w:t>epi-signature (Radio et al 2021)</w:t>
            </w:r>
            <w:r>
              <w:rPr>
                <w:noProof/>
                <w:sz w:val="20"/>
                <w:szCs w:val="20"/>
                <w:vertAlign w:val="superscript"/>
              </w:rPr>
              <w:t>8</w:t>
            </w:r>
            <w:r w:rsidRPr="00355DC9">
              <w:rPr>
                <w:sz w:val="20"/>
                <w:szCs w:val="20"/>
              </w:rPr>
              <w:t xml:space="preserve">. </w:t>
            </w:r>
          </w:p>
        </w:tc>
        <w:tc>
          <w:tcPr>
            <w:tcW w:w="3150" w:type="dxa"/>
          </w:tcPr>
          <w:p w14:paraId="47A15FFC" w14:textId="2CA6EE0D" w:rsidR="00497B28" w:rsidRPr="00355DC9" w:rsidRDefault="00497B28" w:rsidP="00A44DB6">
            <w:pPr>
              <w:jc w:val="both"/>
              <w:rPr>
                <w:sz w:val="20"/>
                <w:szCs w:val="20"/>
              </w:rPr>
            </w:pPr>
            <w:proofErr w:type="spellStart"/>
            <w:r w:rsidRPr="00355DC9">
              <w:rPr>
                <w:i/>
                <w:iCs/>
                <w:sz w:val="20"/>
                <w:szCs w:val="20"/>
              </w:rPr>
              <w:t>spen</w:t>
            </w:r>
            <w:proofErr w:type="spellEnd"/>
            <w:r w:rsidRPr="00355DC9">
              <w:rPr>
                <w:sz w:val="20"/>
                <w:szCs w:val="20"/>
              </w:rPr>
              <w:t xml:space="preserve"> </w:t>
            </w:r>
            <w:r>
              <w:rPr>
                <w:sz w:val="20"/>
                <w:szCs w:val="20"/>
              </w:rPr>
              <w:t>exon5 skipped</w:t>
            </w:r>
            <w:r w:rsidRPr="00355DC9">
              <w:rPr>
                <w:sz w:val="20"/>
                <w:szCs w:val="20"/>
              </w:rPr>
              <w:t xml:space="preserve"> transcript is significantly upregulated in females (</w:t>
            </w:r>
            <w:r w:rsidRPr="00A15A51">
              <w:rPr>
                <w:b/>
                <w:sz w:val="20"/>
                <w:szCs w:val="20"/>
              </w:rPr>
              <w:t>Fig</w:t>
            </w:r>
            <w:r>
              <w:rPr>
                <w:b/>
                <w:sz w:val="20"/>
                <w:szCs w:val="20"/>
              </w:rPr>
              <w:t>ure 2-figure supplement 3J, N</w:t>
            </w:r>
            <w:r w:rsidRPr="00355DC9">
              <w:rPr>
                <w:sz w:val="20"/>
                <w:szCs w:val="20"/>
              </w:rPr>
              <w:t>)</w:t>
            </w:r>
            <w:r>
              <w:rPr>
                <w:sz w:val="20"/>
                <w:szCs w:val="20"/>
              </w:rPr>
              <w:t xml:space="preserve"> and not in males</w:t>
            </w:r>
          </w:p>
          <w:p w14:paraId="14EC14A0" w14:textId="77777777" w:rsidR="00497B28" w:rsidRPr="00CD5F07" w:rsidRDefault="00497B28" w:rsidP="00A44DB6">
            <w:pPr>
              <w:jc w:val="both"/>
              <w:rPr>
                <w:sz w:val="20"/>
                <w:szCs w:val="20"/>
              </w:rPr>
            </w:pPr>
          </w:p>
        </w:tc>
      </w:tr>
      <w:tr w:rsidR="00497B28" w:rsidRPr="00CD5F07" w14:paraId="4CE7C9AA" w14:textId="77777777" w:rsidTr="00A44DB6">
        <w:tc>
          <w:tcPr>
            <w:tcW w:w="2065" w:type="dxa"/>
          </w:tcPr>
          <w:p w14:paraId="0ED120C6" w14:textId="77777777" w:rsidR="00497B28" w:rsidRPr="00CD5F07" w:rsidRDefault="00497B28" w:rsidP="00A44DB6">
            <w:pPr>
              <w:jc w:val="both"/>
              <w:rPr>
                <w:sz w:val="20"/>
                <w:szCs w:val="20"/>
              </w:rPr>
            </w:pPr>
            <w:proofErr w:type="spellStart"/>
            <w:r w:rsidRPr="00CD5F07">
              <w:rPr>
                <w:sz w:val="20"/>
                <w:szCs w:val="20"/>
              </w:rPr>
              <w:t>Ama</w:t>
            </w:r>
            <w:proofErr w:type="spellEnd"/>
            <w:r w:rsidRPr="00CD5F07">
              <w:rPr>
                <w:sz w:val="20"/>
                <w:szCs w:val="20"/>
              </w:rPr>
              <w:t xml:space="preserve"> (Amalgam)</w:t>
            </w:r>
          </w:p>
        </w:tc>
        <w:tc>
          <w:tcPr>
            <w:tcW w:w="4230" w:type="dxa"/>
          </w:tcPr>
          <w:p w14:paraId="07E305B4" w14:textId="77777777" w:rsidR="00497B28" w:rsidRPr="00355DC9" w:rsidRDefault="00497B28" w:rsidP="00A44DB6">
            <w:pPr>
              <w:jc w:val="both"/>
              <w:rPr>
                <w:sz w:val="20"/>
                <w:szCs w:val="20"/>
              </w:rPr>
            </w:pPr>
            <w:r w:rsidRPr="00CD5F07">
              <w:rPr>
                <w:sz w:val="20"/>
                <w:szCs w:val="20"/>
              </w:rPr>
              <w:t xml:space="preserve">regulates receptor ligand activity during cell-cell adhesion and positively regulates glial cell proliferation (Seeger et al. 1988, </w:t>
            </w:r>
            <w:proofErr w:type="spellStart"/>
            <w:r w:rsidRPr="00CD5F07">
              <w:rPr>
                <w:sz w:val="20"/>
                <w:szCs w:val="20"/>
              </w:rPr>
              <w:t>Fremion</w:t>
            </w:r>
            <w:proofErr w:type="spellEnd"/>
            <w:r w:rsidRPr="00CD5F07">
              <w:rPr>
                <w:sz w:val="20"/>
                <w:szCs w:val="20"/>
              </w:rPr>
              <w:t xml:space="preserve"> et al. 2000)</w:t>
            </w:r>
            <w:r w:rsidRPr="00392DDC">
              <w:rPr>
                <w:sz w:val="20"/>
                <w:szCs w:val="20"/>
                <w:vertAlign w:val="superscript"/>
              </w:rPr>
              <w:t>9</w:t>
            </w:r>
            <w:r>
              <w:rPr>
                <w:sz w:val="20"/>
                <w:szCs w:val="20"/>
              </w:rPr>
              <w:t>,</w:t>
            </w:r>
            <w:r>
              <w:rPr>
                <w:noProof/>
                <w:sz w:val="20"/>
                <w:szCs w:val="20"/>
                <w:vertAlign w:val="superscript"/>
              </w:rPr>
              <w:t>10</w:t>
            </w:r>
            <w:r w:rsidRPr="00CD5F07">
              <w:rPr>
                <w:sz w:val="20"/>
                <w:szCs w:val="20"/>
              </w:rPr>
              <w:t xml:space="preserve">. </w:t>
            </w:r>
            <w:r>
              <w:rPr>
                <w:sz w:val="20"/>
                <w:szCs w:val="20"/>
              </w:rPr>
              <w:t>H</w:t>
            </w:r>
            <w:r w:rsidRPr="00CD5F07">
              <w:rPr>
                <w:sz w:val="20"/>
                <w:szCs w:val="20"/>
              </w:rPr>
              <w:t xml:space="preserve">uman ortholog LSAMP is implicated in ovarian and prostate cancer (Spears et al 2006, </w:t>
            </w:r>
            <w:proofErr w:type="spellStart"/>
            <w:r w:rsidRPr="00CD5F07">
              <w:rPr>
                <w:sz w:val="20"/>
                <w:szCs w:val="20"/>
              </w:rPr>
              <w:t>Petrovics</w:t>
            </w:r>
            <w:proofErr w:type="spellEnd"/>
            <w:r w:rsidRPr="00CD5F07">
              <w:rPr>
                <w:sz w:val="20"/>
                <w:szCs w:val="20"/>
              </w:rPr>
              <w:t xml:space="preserve"> et al 2015)</w:t>
            </w:r>
            <w:r>
              <w:rPr>
                <w:noProof/>
                <w:sz w:val="20"/>
                <w:szCs w:val="20"/>
                <w:vertAlign w:val="superscript"/>
              </w:rPr>
              <w:t>11,12</w:t>
            </w:r>
          </w:p>
        </w:tc>
        <w:tc>
          <w:tcPr>
            <w:tcW w:w="3150" w:type="dxa"/>
          </w:tcPr>
          <w:p w14:paraId="2B5E7F97" w14:textId="412FFAC2" w:rsidR="00497B28" w:rsidRPr="00CD5F07" w:rsidRDefault="00497B28" w:rsidP="00A44DB6">
            <w:pPr>
              <w:jc w:val="both"/>
              <w:rPr>
                <w:sz w:val="20"/>
                <w:szCs w:val="20"/>
              </w:rPr>
            </w:pPr>
            <w:r w:rsidRPr="00CD5F07">
              <w:rPr>
                <w:sz w:val="20"/>
                <w:szCs w:val="20"/>
              </w:rPr>
              <w:t>Isoform</w:t>
            </w:r>
            <w:r>
              <w:rPr>
                <w:sz w:val="20"/>
                <w:szCs w:val="20"/>
              </w:rPr>
              <w:t xml:space="preserve"> B</w:t>
            </w:r>
            <w:r w:rsidRPr="00CD5F07">
              <w:rPr>
                <w:sz w:val="20"/>
                <w:szCs w:val="20"/>
              </w:rPr>
              <w:t xml:space="preserve"> show significant down-regulation in males after CLAMP RNAi (</w:t>
            </w:r>
            <w:r w:rsidRPr="00A15A51">
              <w:rPr>
                <w:b/>
                <w:sz w:val="20"/>
                <w:szCs w:val="20"/>
              </w:rPr>
              <w:t>Fig</w:t>
            </w:r>
            <w:r>
              <w:rPr>
                <w:b/>
                <w:sz w:val="20"/>
                <w:szCs w:val="20"/>
              </w:rPr>
              <w:t>ure 2-figure supplement 3K, O</w:t>
            </w:r>
            <w:r w:rsidRPr="00CD5F07">
              <w:rPr>
                <w:sz w:val="20"/>
                <w:szCs w:val="20"/>
              </w:rPr>
              <w:t>)</w:t>
            </w:r>
            <w:r>
              <w:rPr>
                <w:sz w:val="20"/>
                <w:szCs w:val="20"/>
              </w:rPr>
              <w:t xml:space="preserve"> compared to females</w:t>
            </w:r>
          </w:p>
          <w:p w14:paraId="63519C58" w14:textId="77777777" w:rsidR="00497B28" w:rsidRPr="00355DC9" w:rsidRDefault="00497B28" w:rsidP="00A44DB6">
            <w:pPr>
              <w:jc w:val="both"/>
              <w:rPr>
                <w:i/>
                <w:iCs/>
                <w:sz w:val="20"/>
                <w:szCs w:val="20"/>
              </w:rPr>
            </w:pPr>
          </w:p>
        </w:tc>
      </w:tr>
      <w:tr w:rsidR="00497B28" w:rsidRPr="00CD5F07" w14:paraId="297D5FA2" w14:textId="77777777" w:rsidTr="00A44DB6">
        <w:tc>
          <w:tcPr>
            <w:tcW w:w="2065" w:type="dxa"/>
          </w:tcPr>
          <w:p w14:paraId="73305599" w14:textId="77777777" w:rsidR="00497B28" w:rsidRPr="00CD5F07" w:rsidRDefault="00497B28" w:rsidP="00A44DB6">
            <w:pPr>
              <w:jc w:val="both"/>
              <w:rPr>
                <w:sz w:val="20"/>
                <w:szCs w:val="20"/>
              </w:rPr>
            </w:pPr>
            <w:r w:rsidRPr="00CD5F07">
              <w:rPr>
                <w:sz w:val="20"/>
                <w:szCs w:val="20"/>
              </w:rPr>
              <w:t>iab4</w:t>
            </w:r>
          </w:p>
        </w:tc>
        <w:tc>
          <w:tcPr>
            <w:tcW w:w="4230" w:type="dxa"/>
          </w:tcPr>
          <w:p w14:paraId="2050BC6E" w14:textId="77777777" w:rsidR="00497B28" w:rsidRPr="009F7DB3" w:rsidRDefault="00497B28" w:rsidP="00A44DB6">
            <w:pPr>
              <w:jc w:val="both"/>
              <w:rPr>
                <w:i/>
                <w:iCs/>
                <w:sz w:val="20"/>
                <w:szCs w:val="20"/>
              </w:rPr>
            </w:pPr>
            <w:r w:rsidRPr="00CD5F07">
              <w:rPr>
                <w:sz w:val="20"/>
                <w:szCs w:val="20"/>
              </w:rPr>
              <w:t xml:space="preserve">non-coding RNA regulating </w:t>
            </w:r>
            <w:proofErr w:type="spellStart"/>
            <w:r w:rsidRPr="00CD5F07">
              <w:rPr>
                <w:i/>
                <w:iCs/>
                <w:sz w:val="20"/>
                <w:szCs w:val="20"/>
              </w:rPr>
              <w:t>abd</w:t>
            </w:r>
            <w:proofErr w:type="spellEnd"/>
            <w:r w:rsidRPr="00CD5F07">
              <w:rPr>
                <w:i/>
                <w:iCs/>
                <w:sz w:val="20"/>
                <w:szCs w:val="20"/>
              </w:rPr>
              <w:t xml:space="preserve">-A, </w:t>
            </w:r>
            <w:r w:rsidRPr="00CD5F07">
              <w:rPr>
                <w:sz w:val="20"/>
                <w:szCs w:val="20"/>
              </w:rPr>
              <w:t xml:space="preserve">located within the essential </w:t>
            </w:r>
            <w:proofErr w:type="spellStart"/>
            <w:r w:rsidRPr="00D36E2D">
              <w:rPr>
                <w:i/>
                <w:iCs/>
                <w:sz w:val="20"/>
                <w:szCs w:val="20"/>
              </w:rPr>
              <w:t>Hox</w:t>
            </w:r>
            <w:proofErr w:type="spellEnd"/>
            <w:r w:rsidRPr="00CD5F07">
              <w:rPr>
                <w:sz w:val="20"/>
                <w:szCs w:val="20"/>
              </w:rPr>
              <w:t xml:space="preserve"> cluster that controls body plan patterning.  CLAMP directly binds and regulates chromatin accessibility at </w:t>
            </w:r>
            <w:r>
              <w:rPr>
                <w:sz w:val="20"/>
                <w:szCs w:val="20"/>
              </w:rPr>
              <w:t>this gene</w:t>
            </w:r>
            <w:r w:rsidRPr="00CD5F07">
              <w:rPr>
                <w:sz w:val="20"/>
                <w:szCs w:val="20"/>
              </w:rPr>
              <w:t xml:space="preserve"> (</w:t>
            </w:r>
            <w:proofErr w:type="spellStart"/>
            <w:r w:rsidRPr="00CD5F07">
              <w:rPr>
                <w:sz w:val="20"/>
                <w:szCs w:val="20"/>
              </w:rPr>
              <w:t>Duan</w:t>
            </w:r>
            <w:proofErr w:type="spellEnd"/>
            <w:r w:rsidRPr="00CD5F07">
              <w:rPr>
                <w:sz w:val="20"/>
                <w:szCs w:val="20"/>
              </w:rPr>
              <w:t xml:space="preserve"> et al 2021)</w:t>
            </w:r>
            <w:r>
              <w:rPr>
                <w:sz w:val="20"/>
                <w:szCs w:val="20"/>
                <w:vertAlign w:val="superscript"/>
              </w:rPr>
              <w:t>13</w:t>
            </w:r>
            <w:r w:rsidRPr="00CD5F07">
              <w:rPr>
                <w:sz w:val="20"/>
                <w:szCs w:val="20"/>
              </w:rPr>
              <w:t>.</w:t>
            </w:r>
          </w:p>
        </w:tc>
        <w:tc>
          <w:tcPr>
            <w:tcW w:w="3150" w:type="dxa"/>
          </w:tcPr>
          <w:p w14:paraId="54598686" w14:textId="1A547643" w:rsidR="00497B28" w:rsidRPr="00CD5F07" w:rsidRDefault="00497B28" w:rsidP="00A44DB6">
            <w:pPr>
              <w:jc w:val="both"/>
              <w:rPr>
                <w:sz w:val="20"/>
                <w:szCs w:val="20"/>
              </w:rPr>
            </w:pPr>
            <w:r w:rsidRPr="00CD5F07">
              <w:rPr>
                <w:sz w:val="20"/>
                <w:szCs w:val="20"/>
              </w:rPr>
              <w:t>retained intron isoform is significantly down-regulated in males in absence of CLAMP</w:t>
            </w:r>
            <w:r>
              <w:rPr>
                <w:sz w:val="20"/>
                <w:szCs w:val="20"/>
              </w:rPr>
              <w:t xml:space="preserve"> (</w:t>
            </w:r>
            <w:r w:rsidRPr="00A15A51">
              <w:rPr>
                <w:b/>
                <w:sz w:val="20"/>
                <w:szCs w:val="20"/>
              </w:rPr>
              <w:t>Fig</w:t>
            </w:r>
            <w:r>
              <w:rPr>
                <w:b/>
                <w:sz w:val="20"/>
                <w:szCs w:val="20"/>
              </w:rPr>
              <w:t>ure 2-figure supplement 3L, P</w:t>
            </w:r>
            <w:r w:rsidRPr="008350F5">
              <w:rPr>
                <w:b/>
                <w:sz w:val="20"/>
                <w:szCs w:val="20"/>
              </w:rPr>
              <w:t xml:space="preserve">). </w:t>
            </w:r>
          </w:p>
          <w:p w14:paraId="098AB639" w14:textId="77777777" w:rsidR="00497B28" w:rsidRPr="00CD5F07" w:rsidRDefault="00497B28" w:rsidP="00A44DB6">
            <w:pPr>
              <w:jc w:val="both"/>
              <w:rPr>
                <w:sz w:val="20"/>
                <w:szCs w:val="20"/>
              </w:rPr>
            </w:pPr>
          </w:p>
        </w:tc>
      </w:tr>
      <w:tr w:rsidR="00497B28" w:rsidRPr="00CD5F07" w14:paraId="260A2D32" w14:textId="77777777" w:rsidTr="00A44DB6">
        <w:tc>
          <w:tcPr>
            <w:tcW w:w="2065" w:type="dxa"/>
          </w:tcPr>
          <w:p w14:paraId="49CA82CC" w14:textId="77777777" w:rsidR="00497B28" w:rsidRPr="00CD5F07" w:rsidRDefault="00497B28" w:rsidP="00A44DB6">
            <w:pPr>
              <w:jc w:val="both"/>
              <w:rPr>
                <w:sz w:val="20"/>
                <w:szCs w:val="20"/>
              </w:rPr>
            </w:pPr>
            <w:r w:rsidRPr="00CD5F07">
              <w:rPr>
                <w:sz w:val="20"/>
                <w:szCs w:val="20"/>
              </w:rPr>
              <w:t>sc35 (SR family splicing factor)</w:t>
            </w:r>
          </w:p>
        </w:tc>
        <w:tc>
          <w:tcPr>
            <w:tcW w:w="4230" w:type="dxa"/>
          </w:tcPr>
          <w:p w14:paraId="7908A7BE" w14:textId="77777777" w:rsidR="00497B28" w:rsidRPr="00CD5F07" w:rsidRDefault="00497B28" w:rsidP="00A44DB6">
            <w:pPr>
              <w:jc w:val="both"/>
              <w:rPr>
                <w:sz w:val="20"/>
                <w:szCs w:val="20"/>
              </w:rPr>
            </w:pPr>
            <w:r w:rsidRPr="00355DC9">
              <w:rPr>
                <w:sz w:val="20"/>
                <w:szCs w:val="20"/>
              </w:rPr>
              <w:t xml:space="preserve">Sc35 regulates mRNA alternative splicing, the processing of mRNA 3’ends, and transcription start site selection. The human ortholog, SRSF2, </w:t>
            </w:r>
            <w:r>
              <w:rPr>
                <w:sz w:val="20"/>
                <w:szCs w:val="20"/>
              </w:rPr>
              <w:t>is linked to</w:t>
            </w:r>
            <w:r w:rsidRPr="00355DC9">
              <w:rPr>
                <w:sz w:val="20"/>
                <w:szCs w:val="20"/>
              </w:rPr>
              <w:t xml:space="preserve"> acute myeloid leukemia and myelodysplastic syndrome </w:t>
            </w:r>
            <w:r>
              <w:rPr>
                <w:sz w:val="20"/>
                <w:szCs w:val="20"/>
              </w:rPr>
              <w:t>in which</w:t>
            </w:r>
            <w:r w:rsidRPr="00355DC9">
              <w:rPr>
                <w:sz w:val="20"/>
                <w:szCs w:val="20"/>
              </w:rPr>
              <w:t xml:space="preserve"> females show a significant survival advantage over their male counterparts (Hossain and </w:t>
            </w:r>
            <w:proofErr w:type="spellStart"/>
            <w:r w:rsidRPr="00355DC9">
              <w:rPr>
                <w:sz w:val="20"/>
                <w:szCs w:val="20"/>
              </w:rPr>
              <w:t>Xie</w:t>
            </w:r>
            <w:proofErr w:type="spellEnd"/>
            <w:r w:rsidRPr="00355DC9">
              <w:rPr>
                <w:sz w:val="20"/>
                <w:szCs w:val="20"/>
              </w:rPr>
              <w:t xml:space="preserve"> 2015</w:t>
            </w:r>
            <w:r>
              <w:rPr>
                <w:sz w:val="20"/>
                <w:szCs w:val="20"/>
              </w:rPr>
              <w:t xml:space="preserve">, </w:t>
            </w:r>
            <w:r w:rsidRPr="00355DC9">
              <w:rPr>
                <w:sz w:val="20"/>
                <w:szCs w:val="20"/>
              </w:rPr>
              <w:t>Wang et al 201</w:t>
            </w:r>
            <w:r>
              <w:rPr>
                <w:sz w:val="20"/>
                <w:szCs w:val="20"/>
              </w:rPr>
              <w:t>9</w:t>
            </w:r>
            <w:r w:rsidRPr="00355DC9">
              <w:rPr>
                <w:sz w:val="20"/>
                <w:szCs w:val="20"/>
              </w:rPr>
              <w:t>)</w:t>
            </w:r>
            <w:r>
              <w:rPr>
                <w:noProof/>
                <w:sz w:val="20"/>
                <w:szCs w:val="20"/>
                <w:vertAlign w:val="superscript"/>
              </w:rPr>
              <w:t>14,15</w:t>
            </w:r>
            <w:r w:rsidRPr="00355DC9">
              <w:rPr>
                <w:sz w:val="20"/>
                <w:szCs w:val="20"/>
              </w:rPr>
              <w:t>.</w:t>
            </w:r>
            <w:r>
              <w:rPr>
                <w:sz w:val="20"/>
                <w:szCs w:val="20"/>
              </w:rPr>
              <w:t xml:space="preserve"> </w:t>
            </w:r>
            <w:r w:rsidRPr="00355DC9">
              <w:rPr>
                <w:sz w:val="20"/>
                <w:szCs w:val="20"/>
              </w:rPr>
              <w:t>Affected men have overall more mutations in genes involved in RNA splicing and epigenetic regulation with a higher risk of disease progression and overall poor outcome (</w:t>
            </w:r>
            <w:proofErr w:type="spellStart"/>
            <w:r w:rsidRPr="00355DC9">
              <w:rPr>
                <w:sz w:val="20"/>
                <w:szCs w:val="20"/>
              </w:rPr>
              <w:t>Karantanos</w:t>
            </w:r>
            <w:proofErr w:type="spellEnd"/>
            <w:r w:rsidRPr="00355DC9">
              <w:rPr>
                <w:sz w:val="20"/>
                <w:szCs w:val="20"/>
              </w:rPr>
              <w:t xml:space="preserve"> et al 2021)</w:t>
            </w:r>
            <w:r>
              <w:rPr>
                <w:noProof/>
                <w:sz w:val="20"/>
                <w:szCs w:val="20"/>
                <w:vertAlign w:val="superscript"/>
              </w:rPr>
              <w:t>16</w:t>
            </w:r>
            <w:r>
              <w:rPr>
                <w:sz w:val="20"/>
                <w:szCs w:val="20"/>
              </w:rPr>
              <w:t>.</w:t>
            </w:r>
          </w:p>
        </w:tc>
        <w:tc>
          <w:tcPr>
            <w:tcW w:w="3150" w:type="dxa"/>
          </w:tcPr>
          <w:p w14:paraId="5C1829D8" w14:textId="02EE7C20" w:rsidR="00497B28" w:rsidRPr="00CD5F07" w:rsidRDefault="00497B28" w:rsidP="00A44DB6">
            <w:pPr>
              <w:jc w:val="both"/>
              <w:rPr>
                <w:sz w:val="20"/>
                <w:szCs w:val="20"/>
              </w:rPr>
            </w:pPr>
            <w:r w:rsidRPr="00355DC9">
              <w:rPr>
                <w:sz w:val="20"/>
                <w:szCs w:val="20"/>
              </w:rPr>
              <w:t xml:space="preserve">Splicing of a </w:t>
            </w:r>
            <w:r w:rsidRPr="00355DC9">
              <w:rPr>
                <w:i/>
                <w:iCs/>
                <w:sz w:val="20"/>
                <w:szCs w:val="20"/>
              </w:rPr>
              <w:t>sc35</w:t>
            </w:r>
            <w:r w:rsidRPr="00355DC9">
              <w:rPr>
                <w:sz w:val="20"/>
                <w:szCs w:val="20"/>
              </w:rPr>
              <w:t xml:space="preserve"> isoform</w:t>
            </w:r>
            <w:r>
              <w:rPr>
                <w:sz w:val="20"/>
                <w:szCs w:val="20"/>
              </w:rPr>
              <w:t xml:space="preserve"> with exon7</w:t>
            </w:r>
            <w:r w:rsidRPr="00355DC9">
              <w:rPr>
                <w:sz w:val="20"/>
                <w:szCs w:val="20"/>
              </w:rPr>
              <w:t xml:space="preserve"> is significantly affected in males and not females (</w:t>
            </w:r>
            <w:r w:rsidRPr="00A15A51">
              <w:rPr>
                <w:b/>
                <w:sz w:val="20"/>
                <w:szCs w:val="20"/>
              </w:rPr>
              <w:t>Fig</w:t>
            </w:r>
            <w:r>
              <w:rPr>
                <w:b/>
                <w:sz w:val="20"/>
                <w:szCs w:val="20"/>
              </w:rPr>
              <w:t>ure 2-figure supplement 3M, Q</w:t>
            </w:r>
            <w:r w:rsidRPr="00355DC9">
              <w:rPr>
                <w:sz w:val="20"/>
                <w:szCs w:val="20"/>
              </w:rPr>
              <w:t xml:space="preserve">). </w:t>
            </w:r>
          </w:p>
        </w:tc>
      </w:tr>
      <w:tr w:rsidR="00497B28" w:rsidRPr="00CD5F07" w14:paraId="5FE6ED32" w14:textId="77777777" w:rsidTr="00A44DB6">
        <w:tc>
          <w:tcPr>
            <w:tcW w:w="2065" w:type="dxa"/>
          </w:tcPr>
          <w:p w14:paraId="6F7495F4" w14:textId="77777777" w:rsidR="00497B28" w:rsidRPr="00CD5F07" w:rsidRDefault="00497B28" w:rsidP="00A44DB6">
            <w:pPr>
              <w:jc w:val="both"/>
              <w:rPr>
                <w:sz w:val="20"/>
                <w:szCs w:val="20"/>
              </w:rPr>
            </w:pPr>
            <w:proofErr w:type="spellStart"/>
            <w:r w:rsidRPr="00CD5F07">
              <w:rPr>
                <w:sz w:val="20"/>
                <w:szCs w:val="20"/>
              </w:rPr>
              <w:lastRenderedPageBreak/>
              <w:t>Bacc</w:t>
            </w:r>
            <w:proofErr w:type="spellEnd"/>
            <w:r w:rsidRPr="00CD5F07">
              <w:rPr>
                <w:sz w:val="20"/>
                <w:szCs w:val="20"/>
              </w:rPr>
              <w:t xml:space="preserve"> (Bacchus)</w:t>
            </w:r>
          </w:p>
        </w:tc>
        <w:tc>
          <w:tcPr>
            <w:tcW w:w="4230" w:type="dxa"/>
          </w:tcPr>
          <w:p w14:paraId="66A993B8" w14:textId="77777777" w:rsidR="00497B28" w:rsidRPr="00CD5F07" w:rsidRDefault="00497B28" w:rsidP="00A44DB6">
            <w:pPr>
              <w:jc w:val="both"/>
              <w:rPr>
                <w:sz w:val="20"/>
                <w:szCs w:val="20"/>
              </w:rPr>
            </w:pPr>
            <w:r w:rsidRPr="00CD5F07">
              <w:rPr>
                <w:sz w:val="20"/>
                <w:szCs w:val="20"/>
              </w:rPr>
              <w:t>encodes for tyramine dependent nuclear regulators involved in ethanol sensitivity (Chen et al 2013)</w:t>
            </w:r>
            <w:r>
              <w:rPr>
                <w:noProof/>
                <w:sz w:val="20"/>
                <w:szCs w:val="20"/>
                <w:vertAlign w:val="superscript"/>
              </w:rPr>
              <w:t>17</w:t>
            </w:r>
            <w:r w:rsidRPr="00CD5F07">
              <w:rPr>
                <w:sz w:val="20"/>
                <w:szCs w:val="20"/>
              </w:rPr>
              <w:t>.</w:t>
            </w:r>
          </w:p>
        </w:tc>
        <w:tc>
          <w:tcPr>
            <w:tcW w:w="3150" w:type="dxa"/>
          </w:tcPr>
          <w:p w14:paraId="1294F135" w14:textId="2C8F98A0" w:rsidR="00497B28" w:rsidRPr="00CD5F07" w:rsidRDefault="00497B28" w:rsidP="00A44DB6">
            <w:pPr>
              <w:jc w:val="both"/>
              <w:rPr>
                <w:sz w:val="20"/>
                <w:szCs w:val="20"/>
              </w:rPr>
            </w:pPr>
            <w:r w:rsidRPr="00CD5F07">
              <w:rPr>
                <w:sz w:val="20"/>
                <w:szCs w:val="20"/>
              </w:rPr>
              <w:t>CLAMP-dependent splicing in both males and females (</w:t>
            </w:r>
            <w:r w:rsidRPr="00A15A51">
              <w:rPr>
                <w:b/>
                <w:sz w:val="20"/>
                <w:szCs w:val="20"/>
              </w:rPr>
              <w:t>Fig</w:t>
            </w:r>
            <w:r>
              <w:rPr>
                <w:b/>
                <w:sz w:val="20"/>
                <w:szCs w:val="20"/>
              </w:rPr>
              <w:t>ure 2-figure supplement 3M, R</w:t>
            </w:r>
            <w:r w:rsidRPr="00CD5F07">
              <w:rPr>
                <w:sz w:val="20"/>
                <w:szCs w:val="20"/>
              </w:rPr>
              <w:t>)</w:t>
            </w:r>
            <w:r>
              <w:rPr>
                <w:sz w:val="20"/>
                <w:szCs w:val="20"/>
              </w:rPr>
              <w:t>, However, isoform B with exon3 is significantly down-regulated in males compared to females in absence of CLAMP.</w:t>
            </w:r>
          </w:p>
          <w:p w14:paraId="76F63F4A" w14:textId="77777777" w:rsidR="00497B28" w:rsidRPr="00CD5F07" w:rsidRDefault="00497B28" w:rsidP="00A44DB6">
            <w:pPr>
              <w:jc w:val="both"/>
              <w:rPr>
                <w:sz w:val="20"/>
                <w:szCs w:val="20"/>
              </w:rPr>
            </w:pPr>
          </w:p>
        </w:tc>
      </w:tr>
    </w:tbl>
    <w:p w14:paraId="392685FC" w14:textId="77777777" w:rsidR="00497B28" w:rsidRDefault="00497B28" w:rsidP="00497B28">
      <w:pPr>
        <w:jc w:val="both"/>
      </w:pPr>
    </w:p>
    <w:p w14:paraId="15EEE0D4"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833D50C"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w:t>
      </w:r>
      <w:r w:rsidRPr="00507528">
        <w:rPr>
          <w:noProof/>
          <w:color w:val="000000" w:themeColor="text1"/>
          <w:sz w:val="16"/>
        </w:rPr>
        <w:t>.</w:t>
      </w:r>
      <w:r w:rsidRPr="00507528">
        <w:rPr>
          <w:noProof/>
          <w:color w:val="000000" w:themeColor="text1"/>
          <w:sz w:val="16"/>
        </w:rPr>
        <w:tab/>
        <w:t>Wakabayashi-Ito N, Belvin MP, Bluestein DA, Anderson KV. Fusilli, an essential gene with a maternal role in Drosophila embryonic dorsal–ventral patterning. Developmental Biology 229, 44-54 (2001).</w:t>
      </w:r>
    </w:p>
    <w:p w14:paraId="4780F165"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38B986D5"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sidRPr="00507528">
        <w:rPr>
          <w:noProof/>
          <w:color w:val="000000" w:themeColor="text1"/>
          <w:sz w:val="16"/>
        </w:rPr>
        <w:t>2.</w:t>
      </w:r>
      <w:r w:rsidRPr="00507528">
        <w:rPr>
          <w:noProof/>
          <w:color w:val="000000" w:themeColor="text1"/>
          <w:sz w:val="16"/>
        </w:rPr>
        <w:tab/>
        <w:t>Yang Y, Carstens RP. Alternative splicing regulates distinct subcellular localization of Epithelial splicing regulatory protein 1 (Esrp1) isoforms. Scientific reports 7, 1-10 (2017).</w:t>
      </w:r>
    </w:p>
    <w:p w14:paraId="40767CBC"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1C9C0C98"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3</w:t>
      </w:r>
      <w:r w:rsidRPr="00507528">
        <w:rPr>
          <w:noProof/>
          <w:color w:val="000000" w:themeColor="text1"/>
          <w:sz w:val="16"/>
        </w:rPr>
        <w:t>.</w:t>
      </w:r>
      <w:r w:rsidRPr="00507528">
        <w:rPr>
          <w:noProof/>
          <w:color w:val="000000" w:themeColor="text1"/>
          <w:sz w:val="16"/>
        </w:rPr>
        <w:tab/>
        <w:t>Russo A, Goel P, Brace E, Buser C, Dickman D, DiAntonio A. The E3 ligase Highwire promotes synaptic transmission by targeting the NAD</w:t>
      </w:r>
      <w:r w:rsidRPr="00507528">
        <w:rPr>
          <w:rFonts w:ascii="Cambria Math" w:hAnsi="Cambria Math" w:cs="Cambria Math"/>
          <w:noProof/>
          <w:color w:val="000000" w:themeColor="text1"/>
          <w:sz w:val="16"/>
        </w:rPr>
        <w:t>‐</w:t>
      </w:r>
      <w:r w:rsidRPr="00507528">
        <w:rPr>
          <w:noProof/>
          <w:color w:val="000000" w:themeColor="text1"/>
          <w:sz w:val="16"/>
        </w:rPr>
        <w:t>synthesizing enzyme dNmnat. EMBO reports 20, e46975 (2019).</w:t>
      </w:r>
    </w:p>
    <w:p w14:paraId="299BE3F5"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5C850572"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4</w:t>
      </w:r>
      <w:r w:rsidRPr="00507528">
        <w:rPr>
          <w:noProof/>
          <w:color w:val="000000" w:themeColor="text1"/>
          <w:sz w:val="16"/>
        </w:rPr>
        <w:t>.</w:t>
      </w:r>
      <w:r w:rsidRPr="00507528">
        <w:rPr>
          <w:noProof/>
          <w:color w:val="000000" w:themeColor="text1"/>
          <w:sz w:val="16"/>
        </w:rPr>
        <w:tab/>
        <w:t>Herold N, Will CL, Wolf E, Kastner B, Urlaub H, Lührmann R. Conservation of the protein composition and electron microscopy structure of Drosophila melanogaster and human spliceosomal complexes. Molecular and cellular biology 29, 281-301 (2009).</w:t>
      </w:r>
    </w:p>
    <w:p w14:paraId="762EBF47"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7A6CF0F7"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sidRPr="00507528">
        <w:rPr>
          <w:noProof/>
          <w:color w:val="000000" w:themeColor="text1"/>
          <w:sz w:val="16"/>
        </w:rPr>
        <w:t>5.</w:t>
      </w:r>
      <w:r w:rsidRPr="00507528">
        <w:rPr>
          <w:noProof/>
          <w:color w:val="000000" w:themeColor="text1"/>
          <w:sz w:val="16"/>
        </w:rPr>
        <w:tab/>
        <w:t>Cugusi S, Kallappagoudar S, Ling H, Lucchesi JC. The Drosophila helicase maleless (MLE) is implicated in functions distinct from its role in dosage compensation. Molecular &amp; Cellular Proteomics 14, 1478-1488 (2015).</w:t>
      </w:r>
    </w:p>
    <w:p w14:paraId="40651C68"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1FF922F"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6</w:t>
      </w:r>
      <w:r w:rsidRPr="00507528">
        <w:rPr>
          <w:noProof/>
          <w:color w:val="000000" w:themeColor="text1"/>
          <w:sz w:val="16"/>
        </w:rPr>
        <w:t>.</w:t>
      </w:r>
      <w:r w:rsidRPr="00507528">
        <w:rPr>
          <w:noProof/>
          <w:color w:val="000000" w:themeColor="text1"/>
          <w:sz w:val="16"/>
        </w:rPr>
        <w:tab/>
        <w:t>Bischof J, et al. Generation of a versatile BiFC ORFeome library for analyzing protein–protein interactions in live Drosophila. Elife 7, e38853 (2018).</w:t>
      </w:r>
    </w:p>
    <w:p w14:paraId="4497C4BB"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D63017F"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7</w:t>
      </w:r>
      <w:r w:rsidRPr="00507528">
        <w:rPr>
          <w:noProof/>
          <w:color w:val="000000" w:themeColor="text1"/>
          <w:sz w:val="16"/>
        </w:rPr>
        <w:t>.</w:t>
      </w:r>
      <w:r w:rsidRPr="00507528">
        <w:rPr>
          <w:noProof/>
          <w:color w:val="000000" w:themeColor="text1"/>
          <w:sz w:val="16"/>
        </w:rPr>
        <w:tab/>
        <w:t>Wiellette EL, Harding KW, Mace KA, Ronshaugen MR, Wang FY, McGinnis W. spen encodes an RNP motif protein that interacts with Hox pathways to repress the development of head-like sclerites in the Drosophila trunk. Development 126, 5373-5385 (1999).</w:t>
      </w:r>
    </w:p>
    <w:p w14:paraId="2A3D1B29"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0547CC50"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8</w:t>
      </w:r>
      <w:r w:rsidRPr="00507528">
        <w:rPr>
          <w:noProof/>
          <w:color w:val="000000" w:themeColor="text1"/>
          <w:sz w:val="16"/>
        </w:rPr>
        <w:t>.</w:t>
      </w:r>
      <w:r w:rsidRPr="00507528">
        <w:rPr>
          <w:noProof/>
          <w:color w:val="000000" w:themeColor="text1"/>
          <w:sz w:val="16"/>
        </w:rPr>
        <w:tab/>
        <w:t>Radio FC, et al. SPEN haploinsufficiency causes a neurodevelopmental disorder overlapping proximal 1p36 deletion syndrome with an episignature of X chromosomes in females. The American Journal of Human Genetics 108, 502-516 (2021).</w:t>
      </w:r>
    </w:p>
    <w:p w14:paraId="2E75D96D"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7A23058F"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9</w:t>
      </w:r>
      <w:r w:rsidRPr="00507528">
        <w:rPr>
          <w:noProof/>
          <w:color w:val="000000" w:themeColor="text1"/>
          <w:sz w:val="16"/>
        </w:rPr>
        <w:t>.</w:t>
      </w:r>
      <w:r w:rsidRPr="00507528">
        <w:rPr>
          <w:noProof/>
          <w:color w:val="000000" w:themeColor="text1"/>
          <w:sz w:val="16"/>
        </w:rPr>
        <w:tab/>
        <w:t>Fremion F, Darboux I, Diano M, Hipeau</w:t>
      </w:r>
      <w:r w:rsidRPr="00507528">
        <w:rPr>
          <w:rFonts w:ascii="Cambria Math" w:hAnsi="Cambria Math" w:cs="Cambria Math"/>
          <w:noProof/>
          <w:color w:val="000000" w:themeColor="text1"/>
          <w:sz w:val="16"/>
        </w:rPr>
        <w:t>‐</w:t>
      </w:r>
      <w:r w:rsidRPr="00507528">
        <w:rPr>
          <w:noProof/>
          <w:color w:val="000000" w:themeColor="text1"/>
          <w:sz w:val="16"/>
        </w:rPr>
        <w:t>Jacquotte R, Seeger M, Piovant M</w:t>
      </w:r>
      <w:r>
        <w:rPr>
          <w:noProof/>
          <w:color w:val="000000" w:themeColor="text1"/>
          <w:sz w:val="16"/>
        </w:rPr>
        <w:t xml:space="preserve">. </w:t>
      </w:r>
      <w:r w:rsidRPr="00507528">
        <w:rPr>
          <w:noProof/>
          <w:color w:val="000000" w:themeColor="text1"/>
          <w:sz w:val="16"/>
        </w:rPr>
        <w:t>Amalgam is a ligand for the transmembrane receptor neurotactin and is required for neurotactin</w:t>
      </w:r>
      <w:r w:rsidRPr="00507528">
        <w:rPr>
          <w:rFonts w:ascii="Cambria Math" w:hAnsi="Cambria Math" w:cs="Cambria Math"/>
          <w:noProof/>
          <w:color w:val="000000" w:themeColor="text1"/>
          <w:sz w:val="16"/>
        </w:rPr>
        <w:t>‐</w:t>
      </w:r>
      <w:r w:rsidRPr="00507528">
        <w:rPr>
          <w:noProof/>
          <w:color w:val="000000" w:themeColor="text1"/>
          <w:sz w:val="16"/>
        </w:rPr>
        <w:t>medated cell adhesion and axon fasciculation in Drosophila. The EMBO Journal 19, 4463-4472 (2000).</w:t>
      </w:r>
    </w:p>
    <w:p w14:paraId="2C992C6C"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0B49ED40"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10</w:t>
      </w:r>
      <w:r w:rsidRPr="00507528">
        <w:rPr>
          <w:noProof/>
          <w:color w:val="000000" w:themeColor="text1"/>
          <w:sz w:val="16"/>
        </w:rPr>
        <w:t>.</w:t>
      </w:r>
      <w:r w:rsidRPr="00507528">
        <w:rPr>
          <w:noProof/>
          <w:color w:val="000000" w:themeColor="text1"/>
          <w:sz w:val="16"/>
        </w:rPr>
        <w:tab/>
        <w:t>Seeger MA, Haffley L, Kaufman TC. Characterization of amalgam: a member of the immunoglobulin superfamily from Drosophila. Cell 55, 589-600 (1988).</w:t>
      </w:r>
    </w:p>
    <w:p w14:paraId="2E1F64B4"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5670691"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5C738C7D"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11</w:t>
      </w:r>
      <w:r w:rsidRPr="00507528">
        <w:rPr>
          <w:noProof/>
          <w:color w:val="000000" w:themeColor="text1"/>
          <w:sz w:val="16"/>
        </w:rPr>
        <w:t>.</w:t>
      </w:r>
      <w:r w:rsidRPr="00507528">
        <w:rPr>
          <w:noProof/>
          <w:color w:val="000000" w:themeColor="text1"/>
          <w:sz w:val="16"/>
        </w:rPr>
        <w:tab/>
        <w:t>Spears M, et al. The function of tumor suppressor genes in ovarian cancer: the role of LSAMP.). AACR (2006).</w:t>
      </w:r>
    </w:p>
    <w:p w14:paraId="57E190DE"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037F7F5A"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12</w:t>
      </w:r>
      <w:r w:rsidRPr="00507528">
        <w:rPr>
          <w:noProof/>
          <w:color w:val="000000" w:themeColor="text1"/>
          <w:sz w:val="16"/>
        </w:rPr>
        <w:t>.</w:t>
      </w:r>
      <w:r w:rsidRPr="00507528">
        <w:rPr>
          <w:noProof/>
          <w:color w:val="000000" w:themeColor="text1"/>
          <w:sz w:val="16"/>
        </w:rPr>
        <w:tab/>
        <w:t>Petrovics G, et al. A novel genomic alteration of LSAMP associates with aggressive prostate cancer in African American men. EBioMedicine 2, 1957-1964 (2015).</w:t>
      </w:r>
    </w:p>
    <w:p w14:paraId="4D4545FC"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759AA76A"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491589AA"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13</w:t>
      </w:r>
      <w:r w:rsidRPr="00507528">
        <w:rPr>
          <w:noProof/>
          <w:color w:val="000000" w:themeColor="text1"/>
          <w:sz w:val="16"/>
        </w:rPr>
        <w:t>.</w:t>
      </w:r>
      <w:r w:rsidRPr="00507528">
        <w:rPr>
          <w:noProof/>
          <w:color w:val="000000" w:themeColor="text1"/>
          <w:sz w:val="16"/>
        </w:rPr>
        <w:tab/>
        <w:t>Duan JE, et al. CLAMP and Zelda function together to promote Drosophila zygotic genome activation. elife 10, 2020.2007. 2015.205054 (2021).</w:t>
      </w:r>
    </w:p>
    <w:p w14:paraId="5A4F17D9"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2752B88D"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14</w:t>
      </w:r>
      <w:r w:rsidRPr="00507528">
        <w:rPr>
          <w:noProof/>
          <w:color w:val="000000" w:themeColor="text1"/>
          <w:sz w:val="16"/>
        </w:rPr>
        <w:t>.</w:t>
      </w:r>
      <w:r w:rsidRPr="00507528">
        <w:rPr>
          <w:noProof/>
          <w:color w:val="000000" w:themeColor="text1"/>
          <w:sz w:val="16"/>
        </w:rPr>
        <w:tab/>
        <w:t>Hossain MJ, Xie L. Sex disparity in childhood and young adult acute myeloid leukemia (AML) survival: Evidence from US population data. Cancer epidemiology 39, 892-900 (2015).</w:t>
      </w:r>
    </w:p>
    <w:p w14:paraId="2B7EAF19"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36101C90"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15</w:t>
      </w:r>
      <w:r w:rsidRPr="00507528">
        <w:rPr>
          <w:noProof/>
          <w:color w:val="000000" w:themeColor="text1"/>
          <w:sz w:val="16"/>
        </w:rPr>
        <w:t>.</w:t>
      </w:r>
      <w:r w:rsidRPr="00507528">
        <w:rPr>
          <w:noProof/>
          <w:color w:val="000000" w:themeColor="text1"/>
          <w:sz w:val="16"/>
        </w:rPr>
        <w:tab/>
        <w:t>Wang F, Ni J, Wu L, Wang Y, He B, Yu D. Gender disparity in the survival of patients with primary myelodysplastic syndrome. Journal of Cancer 10, 1325 (2019).</w:t>
      </w:r>
    </w:p>
    <w:p w14:paraId="232488EC" w14:textId="77777777" w:rsidR="00497B28" w:rsidRPr="00507528" w:rsidRDefault="00497B28" w:rsidP="00497B28">
      <w:pPr>
        <w:pStyle w:val="EndNoteBibliography"/>
        <w:framePr w:h="10641" w:hRule="exact" w:wrap="auto" w:vAnchor="page" w:hAnchor="page" w:x="1541" w:y="3381"/>
        <w:jc w:val="both"/>
        <w:rPr>
          <w:noProof/>
          <w:color w:val="000000" w:themeColor="text1"/>
          <w:sz w:val="16"/>
        </w:rPr>
      </w:pPr>
    </w:p>
    <w:p w14:paraId="4BA57996"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16</w:t>
      </w:r>
      <w:r w:rsidRPr="00507528">
        <w:rPr>
          <w:noProof/>
          <w:color w:val="000000" w:themeColor="text1"/>
          <w:sz w:val="16"/>
        </w:rPr>
        <w:t>.</w:t>
      </w:r>
      <w:r w:rsidRPr="00507528">
        <w:rPr>
          <w:noProof/>
          <w:color w:val="000000" w:themeColor="text1"/>
          <w:sz w:val="16"/>
        </w:rPr>
        <w:tab/>
        <w:t>Karantanos T, Jain T, Moliterno AR, Jones RJ, DeZern AE. Sex-Related Differences in Chronic Myeloid Neoplasms: From the Clinical Observation to the Underlying Biology. International journal of molecular sciences 22, 2595 (2021).</w:t>
      </w:r>
    </w:p>
    <w:p w14:paraId="26363DA5" w14:textId="77777777" w:rsidR="00497B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9E7A7BB"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r>
        <w:rPr>
          <w:noProof/>
          <w:color w:val="000000" w:themeColor="text1"/>
          <w:sz w:val="16"/>
        </w:rPr>
        <w:t>17</w:t>
      </w:r>
      <w:r w:rsidRPr="00507528">
        <w:rPr>
          <w:noProof/>
          <w:color w:val="000000" w:themeColor="text1"/>
          <w:sz w:val="16"/>
        </w:rPr>
        <w:t>.</w:t>
      </w:r>
      <w:r w:rsidRPr="00507528">
        <w:rPr>
          <w:noProof/>
          <w:color w:val="000000" w:themeColor="text1"/>
          <w:sz w:val="16"/>
        </w:rPr>
        <w:tab/>
        <w:t>Chen J, Wang Y, Zhang Y, Shen P. Mutations in Bacchus reveal a tyramine-dependent nuclear regulator for acute ethanol sensitivity in Drosophila. Neuropharmacology 67, 25-31 (2013).</w:t>
      </w:r>
    </w:p>
    <w:p w14:paraId="171A5AAC" w14:textId="77777777" w:rsidR="00497B28" w:rsidRPr="00507528" w:rsidRDefault="00497B28" w:rsidP="00497B28">
      <w:pPr>
        <w:pStyle w:val="EndNoteBibliography"/>
        <w:framePr w:h="10641" w:hRule="exact" w:wrap="auto" w:vAnchor="page" w:hAnchor="page" w:x="1541" w:y="3381"/>
        <w:ind w:left="720" w:hanging="720"/>
        <w:jc w:val="both"/>
        <w:rPr>
          <w:noProof/>
          <w:color w:val="000000" w:themeColor="text1"/>
          <w:sz w:val="16"/>
        </w:rPr>
      </w:pPr>
    </w:p>
    <w:p w14:paraId="0B62FABA" w14:textId="77777777" w:rsidR="00290877" w:rsidRDefault="00290877"/>
    <w:sectPr w:rsidR="00290877" w:rsidSect="00487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28"/>
    <w:rsid w:val="000833DA"/>
    <w:rsid w:val="000F32E3"/>
    <w:rsid w:val="00120DE0"/>
    <w:rsid w:val="00236266"/>
    <w:rsid w:val="00275260"/>
    <w:rsid w:val="0028721B"/>
    <w:rsid w:val="00290877"/>
    <w:rsid w:val="00392E79"/>
    <w:rsid w:val="004557C0"/>
    <w:rsid w:val="004876E0"/>
    <w:rsid w:val="00497B28"/>
    <w:rsid w:val="004B43B7"/>
    <w:rsid w:val="004D10E4"/>
    <w:rsid w:val="0059588D"/>
    <w:rsid w:val="005B3F98"/>
    <w:rsid w:val="00603442"/>
    <w:rsid w:val="006F15F8"/>
    <w:rsid w:val="00777E5E"/>
    <w:rsid w:val="00852C4B"/>
    <w:rsid w:val="00883CBF"/>
    <w:rsid w:val="008874BB"/>
    <w:rsid w:val="008A77F0"/>
    <w:rsid w:val="008D7D54"/>
    <w:rsid w:val="009A3E36"/>
    <w:rsid w:val="00A1747A"/>
    <w:rsid w:val="00A46847"/>
    <w:rsid w:val="00A909B6"/>
    <w:rsid w:val="00AC5318"/>
    <w:rsid w:val="00B76C11"/>
    <w:rsid w:val="00C20591"/>
    <w:rsid w:val="00D56A51"/>
    <w:rsid w:val="00E202AB"/>
    <w:rsid w:val="00E3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280CF"/>
  <w15:chartTrackingRefBased/>
  <w15:docId w15:val="{76CB9786-F1A7-5F45-9427-CE3D6E1A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B2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497B28"/>
    <w:rPr>
      <w:rFonts w:ascii="Calibri" w:hAnsi="Calibri" w:cs="Calibri"/>
    </w:rPr>
  </w:style>
  <w:style w:type="character" w:customStyle="1" w:styleId="EndNoteBibliographyChar">
    <w:name w:val="EndNote Bibliography Char"/>
    <w:basedOn w:val="DefaultParagraphFont"/>
    <w:link w:val="EndNoteBibliography"/>
    <w:rsid w:val="00497B28"/>
    <w:rPr>
      <w:rFonts w:ascii="Calibri" w:eastAsia="Times New Roman" w:hAnsi="Calibri" w:cs="Calibri"/>
    </w:rPr>
  </w:style>
  <w:style w:type="table" w:styleId="TableGrid">
    <w:name w:val="Table Grid"/>
    <w:basedOn w:val="TableNormal"/>
    <w:uiPriority w:val="39"/>
    <w:rsid w:val="0049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2023-06-29T19:57:00Z</dcterms:created>
  <dcterms:modified xsi:type="dcterms:W3CDTF">2023-06-29T19:58:00Z</dcterms:modified>
</cp:coreProperties>
</file>