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7FC7" w14:textId="241444D8" w:rsidR="00C16661" w:rsidRPr="00C16661" w:rsidRDefault="00C16661" w:rsidP="00C16661">
      <w:pPr>
        <w:rPr>
          <w:b/>
          <w:bCs/>
        </w:rPr>
      </w:pPr>
      <w:bookmarkStart w:id="0" w:name="_Toc84698830"/>
      <w:bookmarkStart w:id="1" w:name="_Toc84865048"/>
      <w:r w:rsidRPr="00C16661">
        <w:rPr>
          <w:b/>
          <w:bCs/>
        </w:rPr>
        <w:t xml:space="preserve">Supplementary File </w:t>
      </w:r>
      <w:r w:rsidR="00D31D1A">
        <w:rPr>
          <w:b/>
          <w:bCs/>
        </w:rPr>
        <w:t>1</w:t>
      </w:r>
    </w:p>
    <w:p w14:paraId="2C44EDB5" w14:textId="6B5FFD16" w:rsidR="00C16661" w:rsidRPr="00352B1A" w:rsidRDefault="00C16661" w:rsidP="00C16661">
      <w:pPr>
        <w:spacing w:line="240" w:lineRule="auto"/>
        <w:rPr>
          <w:b/>
          <w:bCs/>
        </w:rPr>
      </w:pPr>
      <w:r>
        <w:rPr>
          <w:b/>
          <w:bCs/>
        </w:rPr>
        <w:t>Operation</w:t>
      </w:r>
      <w:r w:rsidRPr="00352B1A">
        <w:rPr>
          <w:b/>
          <w:bCs/>
        </w:rPr>
        <w:t xml:space="preserve"> parameters of the three methods used for characterizing the mechanical properties of cells</w:t>
      </w:r>
      <w:bookmarkEnd w:id="0"/>
      <w:bookmarkEnd w:id="1"/>
      <w:r w:rsidRPr="00352B1A">
        <w:rPr>
          <w:b/>
          <w:bCs/>
        </w:rPr>
        <w:t xml:space="preserve">. </w:t>
      </w:r>
    </w:p>
    <w:p w14:paraId="2B28B007" w14:textId="4318066F" w:rsidR="00C16661" w:rsidRDefault="00C16661" w:rsidP="00C16661">
      <w:pPr>
        <w:spacing w:line="276" w:lineRule="auto"/>
      </w:pPr>
      <w:r>
        <w:t>The table below summarizes the main parameters characteristic for the three methods applied for characterizing the mechanical properties of cells in this study: AFM indentation, AFM microrheology, and RT-DC. For</w:t>
      </w:r>
      <w:r w:rsidRPr="007D73B1">
        <w:t xml:space="preserve"> AFM </w:t>
      </w:r>
      <w:r>
        <w:t>indentation, the setpoint of 2 nN leads to a resulting deformation on the order of 1 μm;</w:t>
      </w:r>
      <w:r w:rsidRPr="007D73B1">
        <w:t xml:space="preserve"> </w:t>
      </w:r>
      <w:r>
        <w:t>for</w:t>
      </w:r>
      <w:r w:rsidRPr="007D73B1">
        <w:t xml:space="preserve"> AFM microrheology</w:t>
      </w:r>
      <w:r>
        <w:t>,</w:t>
      </w:r>
      <w:r w:rsidRPr="007D73B1">
        <w:t xml:space="preserve"> </w:t>
      </w:r>
      <w:r>
        <w:t>the deformation corresponds to the magnitude of the cantilever oscillations</w:t>
      </w:r>
      <w:r w:rsidRPr="007D73B1">
        <w:t xml:space="preserve"> </w:t>
      </w:r>
      <w:r>
        <w:t xml:space="preserve">which was set to </w:t>
      </w:r>
      <w:r w:rsidRPr="007D73B1">
        <w:t>10 nm</w:t>
      </w:r>
      <w:r>
        <w:t>. The corresponding strains are 7% for AFM indentation and 0.07% for AFM microrheology. For RTDC, a</w:t>
      </w:r>
      <w:r w:rsidRPr="00C90624">
        <w:t xml:space="preserve"> </w:t>
      </w:r>
      <w:r>
        <w:t>mean absolute strain on the order of 17% was reported (72), this corresponds to ca 2</w:t>
      </w:r>
      <w:r>
        <w:rPr>
          <w:rFonts w:cs="Open Sans"/>
          <w:color w:val="000000"/>
          <w:sz w:val="20"/>
          <w:szCs w:val="20"/>
        </w:rPr>
        <w:t>.5</w:t>
      </w:r>
      <w:r>
        <w:t> </w:t>
      </w:r>
      <w:r w:rsidRPr="0066488E">
        <w:rPr>
          <w:rFonts w:cs="Open Sans"/>
          <w:color w:val="000000"/>
          <w:sz w:val="20"/>
          <w:szCs w:val="20"/>
        </w:rPr>
        <w:t>μ</w:t>
      </w:r>
      <w:r>
        <w:t>m deformation. For the above estimation, the cell diameter was assumed to be 15 </w:t>
      </w:r>
      <w:r w:rsidRPr="0066488E">
        <w:rPr>
          <w:rFonts w:cs="Open Sans"/>
          <w:color w:val="000000"/>
          <w:sz w:val="20"/>
          <w:szCs w:val="20"/>
        </w:rPr>
        <w:t>μ</w:t>
      </w:r>
      <w:r>
        <w:t>m (ECC4 and TGBC cells have a cross-section area within</w:t>
      </w:r>
      <w:r w:rsidR="00F74854">
        <w:t xml:space="preserve"> </w:t>
      </w:r>
      <w:r>
        <w:t>100–300 </w:t>
      </w:r>
      <w:r w:rsidRPr="0066488E">
        <w:rPr>
          <w:rFonts w:cs="Open Sans"/>
          <w:color w:val="000000"/>
          <w:sz w:val="20"/>
          <w:szCs w:val="20"/>
        </w:rPr>
        <w:t>μ</w:t>
      </w:r>
      <w:r>
        <w:t>m</w:t>
      </w:r>
      <w:r w:rsidRPr="00C61BE5">
        <w:rPr>
          <w:vertAlign w:val="superscript"/>
        </w:rPr>
        <w:t>2</w:t>
      </w:r>
      <w:r>
        <w:t xml:space="preserve"> (see </w:t>
      </w:r>
      <w:r w:rsidR="00F74854" w:rsidRPr="00F74854">
        <w:t>Figure 2—figure supplement 1</w:t>
      </w:r>
      <w:r w:rsidR="00F74854">
        <w:t>B</w:t>
      </w:r>
      <w:r>
        <w:t>), corresponding to 11.3</w:t>
      </w:r>
      <w:r w:rsidRPr="0066488E">
        <w:rPr>
          <w:rFonts w:cs="Open Sans"/>
          <w:color w:val="000000"/>
          <w:sz w:val="20"/>
          <w:szCs w:val="20"/>
        </w:rPr>
        <w:t>–</w:t>
      </w:r>
      <w:r>
        <w:t>19.5 </w:t>
      </w:r>
      <w:r w:rsidRPr="0066488E">
        <w:rPr>
          <w:rFonts w:cs="Open Sans"/>
          <w:color w:val="000000"/>
          <w:sz w:val="20"/>
          <w:szCs w:val="20"/>
        </w:rPr>
        <w:t>μ</w:t>
      </w:r>
      <w:r>
        <w:t>m diameter). For RT-DC, the probing frequency was deduced based on the time it takes to pass a 300-μm long square channel with an average velocity based on a total flow rate of 0.16 </w:t>
      </w:r>
      <w:proofErr w:type="spellStart"/>
      <w:r>
        <w:t>μl</w:t>
      </w:r>
      <w:proofErr w:type="spellEnd"/>
      <w:r>
        <w:t> s</w:t>
      </w:r>
      <w:r w:rsidRPr="00401075">
        <w:rPr>
          <w:rFonts w:cs="Open Sans"/>
          <w:sz w:val="20"/>
          <w:vertAlign w:val="superscript"/>
        </w:rPr>
        <w:t>−</w:t>
      </w:r>
      <w:r w:rsidRPr="00BB0D4E">
        <w:rPr>
          <w:rFonts w:cs="Open Sans"/>
          <w:sz w:val="20"/>
          <w:vertAlign w:val="superscript"/>
        </w:rPr>
        <w:t>1</w:t>
      </w:r>
      <w:r>
        <w:t xml:space="preserve"> and 30 μm channel width (a setting most frequently used in this study, see Table S5), For AFM microrheology, the frequency is equivalent to the oscillation frequency; and for AFM indentation, it is deduced from the extension speed of </w:t>
      </w:r>
      <w:r w:rsidRPr="00336FE5">
        <w:rPr>
          <w:rFonts w:cs="Open Sans"/>
        </w:rPr>
        <w:t>5 μm s</w:t>
      </w:r>
      <w:r w:rsidRPr="00336FE5">
        <w:rPr>
          <w:rFonts w:eastAsia="Garamond" w:cs="Open Sans"/>
          <w:vertAlign w:val="superscript"/>
        </w:rPr>
        <w:t xml:space="preserve">−1 </w:t>
      </w:r>
      <w:r>
        <w:t xml:space="preserve">and an average deformation of 1 μm. </w:t>
      </w:r>
    </w:p>
    <w:p w14:paraId="2723B1B2" w14:textId="77777777" w:rsidR="00C16661" w:rsidRPr="00AF1B4A" w:rsidRDefault="00C16661" w:rsidP="00C16661">
      <w:pPr>
        <w:pStyle w:val="SMcaption"/>
      </w:pPr>
    </w:p>
    <w:tbl>
      <w:tblPr>
        <w:tblW w:w="8915" w:type="dxa"/>
        <w:tblLayout w:type="fixed"/>
        <w:tblLook w:val="04A0" w:firstRow="1" w:lastRow="0" w:firstColumn="1" w:lastColumn="0" w:noHBand="0" w:noVBand="1"/>
      </w:tblPr>
      <w:tblGrid>
        <w:gridCol w:w="1985"/>
        <w:gridCol w:w="1999"/>
        <w:gridCol w:w="3104"/>
        <w:gridCol w:w="1827"/>
      </w:tblGrid>
      <w:tr w:rsidR="00C16661" w:rsidRPr="0066488E" w14:paraId="367DCC20" w14:textId="77777777" w:rsidTr="00C16661">
        <w:trPr>
          <w:trHeight w:val="329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4AE31" w14:textId="77777777" w:rsidR="00C16661" w:rsidRPr="00494B7D" w:rsidRDefault="00C16661" w:rsidP="00EC594F">
            <w:pPr>
              <w:pStyle w:val="TableFill"/>
              <w:keepNext/>
              <w:jc w:val="center"/>
              <w:rPr>
                <w:b/>
                <w:bCs/>
                <w:lang w:eastAsia="en-GB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B4DF0" w14:textId="77777777" w:rsidR="00C16661" w:rsidRPr="0066488E" w:rsidRDefault="00C16661" w:rsidP="00EC594F">
            <w:pPr>
              <w:pStyle w:val="TableFill"/>
              <w:keepNext/>
              <w:jc w:val="center"/>
              <w:rPr>
                <w:rFonts w:ascii="Open Sans" w:hAnsi="Open Sans" w:cs="Open Sans"/>
                <w:b/>
                <w:bCs/>
                <w:color w:val="000000"/>
                <w:lang w:eastAsia="en-GB"/>
              </w:rPr>
            </w:pPr>
            <w:r w:rsidRPr="0066488E">
              <w:rPr>
                <w:rFonts w:ascii="Open Sans" w:hAnsi="Open Sans" w:cs="Open Sans"/>
                <w:b/>
                <w:bCs/>
                <w:color w:val="000000"/>
                <w:lang w:eastAsia="en-GB"/>
              </w:rPr>
              <w:t>AFM indentation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69DC9C" w14:textId="77777777" w:rsidR="00C16661" w:rsidRPr="0066488E" w:rsidRDefault="00C16661" w:rsidP="00EC594F">
            <w:pPr>
              <w:pStyle w:val="TableFill"/>
              <w:keepNext/>
              <w:jc w:val="center"/>
              <w:rPr>
                <w:rFonts w:ascii="Open Sans" w:hAnsi="Open Sans" w:cs="Open Sans"/>
                <w:b/>
                <w:bCs/>
                <w:color w:val="000000"/>
                <w:lang w:eastAsia="en-GB"/>
              </w:rPr>
            </w:pPr>
            <w:r w:rsidRPr="0066488E">
              <w:rPr>
                <w:rFonts w:ascii="Open Sans" w:hAnsi="Open Sans" w:cs="Open Sans"/>
                <w:b/>
                <w:bCs/>
                <w:color w:val="000000"/>
                <w:lang w:eastAsia="en-GB"/>
              </w:rPr>
              <w:t>AFM microrheology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12038" w14:textId="77777777" w:rsidR="00C16661" w:rsidRPr="0066488E" w:rsidRDefault="00C16661" w:rsidP="00EC594F">
            <w:pPr>
              <w:pStyle w:val="TableFill"/>
              <w:keepNext/>
              <w:jc w:val="center"/>
              <w:rPr>
                <w:rFonts w:ascii="Open Sans" w:hAnsi="Open Sans" w:cs="Open Sans"/>
                <w:b/>
                <w:bCs/>
                <w:color w:val="000000"/>
                <w:lang w:eastAsia="en-GB"/>
              </w:rPr>
            </w:pPr>
            <w:r w:rsidRPr="0066488E">
              <w:rPr>
                <w:rFonts w:ascii="Open Sans" w:hAnsi="Open Sans" w:cs="Open Sans"/>
                <w:b/>
                <w:bCs/>
                <w:color w:val="000000"/>
                <w:lang w:eastAsia="en-GB"/>
              </w:rPr>
              <w:t>RT-DC</w:t>
            </w:r>
          </w:p>
        </w:tc>
      </w:tr>
      <w:tr w:rsidR="00C16661" w:rsidRPr="0066488E" w14:paraId="09BD0E03" w14:textId="77777777" w:rsidTr="00C16661">
        <w:trPr>
          <w:trHeight w:val="329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C1EB" w14:textId="77777777" w:rsidR="00C16661" w:rsidRPr="00E935F0" w:rsidRDefault="00C16661" w:rsidP="00EC594F">
            <w:pPr>
              <w:keepNext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935F0">
              <w:rPr>
                <w:b/>
                <w:bCs/>
                <w:sz w:val="20"/>
                <w:szCs w:val="20"/>
              </w:rPr>
              <w:t>cell state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80320" w14:textId="77777777" w:rsidR="00C16661" w:rsidRPr="0066488E" w:rsidRDefault="00C16661" w:rsidP="00EC594F">
            <w:pPr>
              <w:keepNext/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r w:rsidRPr="0066488E">
              <w:rPr>
                <w:rFonts w:cs="Open Sans"/>
                <w:color w:val="000000"/>
                <w:sz w:val="20"/>
                <w:szCs w:val="20"/>
              </w:rPr>
              <w:t>adherent 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CC9A6" w14:textId="77777777" w:rsidR="00C16661" w:rsidRPr="0066488E" w:rsidRDefault="00C16661" w:rsidP="00EC594F">
            <w:pPr>
              <w:keepNext/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r w:rsidRPr="0066488E">
              <w:rPr>
                <w:rFonts w:cs="Open Sans"/>
                <w:color w:val="000000"/>
                <w:sz w:val="20"/>
                <w:szCs w:val="20"/>
              </w:rPr>
              <w:t>adherent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0DC37" w14:textId="77777777" w:rsidR="00C16661" w:rsidRPr="0066488E" w:rsidRDefault="00C16661" w:rsidP="00EC594F">
            <w:pPr>
              <w:keepNext/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r w:rsidRPr="0066488E">
              <w:rPr>
                <w:rFonts w:cs="Open Sans"/>
                <w:color w:val="000000"/>
                <w:sz w:val="20"/>
                <w:szCs w:val="20"/>
              </w:rPr>
              <w:t>suspended</w:t>
            </w:r>
          </w:p>
        </w:tc>
      </w:tr>
      <w:tr w:rsidR="00C16661" w:rsidRPr="0066488E" w14:paraId="113641C6" w14:textId="77777777" w:rsidTr="00C16661">
        <w:trPr>
          <w:trHeight w:val="806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F4F60" w14:textId="77777777" w:rsidR="00C16661" w:rsidRPr="00E935F0" w:rsidRDefault="00C16661" w:rsidP="00EC594F">
            <w:pPr>
              <w:keepNext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probing lengthscale</w:t>
            </w:r>
          </w:p>
        </w:tc>
        <w:tc>
          <w:tcPr>
            <w:tcW w:w="1999" w:type="dxa"/>
            <w:tcBorders>
              <w:left w:val="nil"/>
              <w:bottom w:val="nil"/>
              <w:right w:val="nil"/>
            </w:tcBorders>
            <w:vAlign w:val="center"/>
          </w:tcPr>
          <w:p w14:paraId="1024D7E4" w14:textId="77777777" w:rsidR="00C16661" w:rsidRPr="0066488E" w:rsidRDefault="00C16661" w:rsidP="00EC594F">
            <w:pPr>
              <w:keepNext/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r w:rsidRPr="0066488E">
              <w:rPr>
                <w:rFonts w:cs="Open Sans"/>
                <w:color w:val="000000"/>
                <w:sz w:val="20"/>
                <w:szCs w:val="20"/>
              </w:rPr>
              <w:t>local (5</w:t>
            </w:r>
            <w:r>
              <w:rPr>
                <w:rFonts w:cs="Open Sans"/>
                <w:color w:val="000000"/>
                <w:sz w:val="20"/>
                <w:szCs w:val="20"/>
              </w:rPr>
              <w:t>-</w:t>
            </w:r>
            <w:r w:rsidRPr="0066488E">
              <w:rPr>
                <w:rFonts w:cs="Open Sans"/>
                <w:color w:val="000000"/>
                <w:sz w:val="20"/>
                <w:szCs w:val="20"/>
              </w:rPr>
              <w:t>μm bead)</w:t>
            </w:r>
          </w:p>
        </w:tc>
        <w:tc>
          <w:tcPr>
            <w:tcW w:w="31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AFA46" w14:textId="77777777" w:rsidR="00C16661" w:rsidRPr="0066488E" w:rsidRDefault="00C16661" w:rsidP="00EC594F">
            <w:pPr>
              <w:keepNext/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r w:rsidRPr="0066488E">
              <w:rPr>
                <w:rFonts w:cs="Open Sans"/>
                <w:color w:val="000000"/>
                <w:sz w:val="20"/>
                <w:szCs w:val="20"/>
              </w:rPr>
              <w:t>local (5</w:t>
            </w:r>
            <w:r>
              <w:rPr>
                <w:rFonts w:cs="Open Sans"/>
                <w:color w:val="000000"/>
                <w:sz w:val="20"/>
                <w:szCs w:val="20"/>
              </w:rPr>
              <w:t>-</w:t>
            </w:r>
            <w:r w:rsidRPr="0066488E">
              <w:rPr>
                <w:rFonts w:cs="Open Sans"/>
                <w:color w:val="000000"/>
                <w:sz w:val="20"/>
                <w:szCs w:val="20"/>
              </w:rPr>
              <w:t>μm bead)</w:t>
            </w:r>
          </w:p>
        </w:tc>
        <w:tc>
          <w:tcPr>
            <w:tcW w:w="1827" w:type="dxa"/>
            <w:tcBorders>
              <w:left w:val="nil"/>
              <w:bottom w:val="nil"/>
              <w:right w:val="nil"/>
            </w:tcBorders>
            <w:vAlign w:val="center"/>
          </w:tcPr>
          <w:p w14:paraId="38E05554" w14:textId="77777777" w:rsidR="00C16661" w:rsidRPr="0066488E" w:rsidRDefault="00C16661" w:rsidP="00EC594F">
            <w:pPr>
              <w:keepNext/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proofErr w:type="gramStart"/>
            <w:r w:rsidRPr="0066488E">
              <w:rPr>
                <w:rFonts w:cs="Open Sans"/>
                <w:color w:val="000000"/>
                <w:sz w:val="20"/>
                <w:szCs w:val="20"/>
              </w:rPr>
              <w:t>whole-cell</w:t>
            </w:r>
            <w:proofErr w:type="gramEnd"/>
          </w:p>
        </w:tc>
      </w:tr>
      <w:tr w:rsidR="00C16661" w:rsidRPr="0066488E" w14:paraId="4427BDB6" w14:textId="77777777" w:rsidTr="00C16661">
        <w:trPr>
          <w:trHeight w:val="1002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FCA1" w14:textId="77777777" w:rsidR="00C16661" w:rsidRPr="00E935F0" w:rsidRDefault="00C16661" w:rsidP="00EC594F">
            <w:pPr>
              <w:keepNext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frequency (probing timescale)</w:t>
            </w:r>
          </w:p>
        </w:tc>
        <w:tc>
          <w:tcPr>
            <w:tcW w:w="1999" w:type="dxa"/>
            <w:tcBorders>
              <w:left w:val="nil"/>
              <w:bottom w:val="nil"/>
              <w:right w:val="nil"/>
            </w:tcBorders>
            <w:vAlign w:val="center"/>
          </w:tcPr>
          <w:p w14:paraId="54399310" w14:textId="77777777" w:rsidR="00C16661" w:rsidRDefault="00C16661" w:rsidP="00EC594F">
            <w:pPr>
              <w:keepNext/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r>
              <w:rPr>
                <w:rFonts w:cs="Open Sans"/>
                <w:color w:val="000000"/>
                <w:sz w:val="20"/>
                <w:szCs w:val="20"/>
              </w:rPr>
              <w:t>5 Hz (200 ms)</w:t>
            </w:r>
          </w:p>
        </w:tc>
        <w:tc>
          <w:tcPr>
            <w:tcW w:w="31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BC034" w14:textId="77777777" w:rsidR="00C16661" w:rsidRPr="0066488E" w:rsidRDefault="00C16661" w:rsidP="00EC594F">
            <w:pPr>
              <w:keepNext/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r>
              <w:rPr>
                <w:rFonts w:cs="Open Sans"/>
                <w:color w:val="000000"/>
                <w:sz w:val="20"/>
                <w:szCs w:val="20"/>
              </w:rPr>
              <w:t>3</w:t>
            </w:r>
            <w:r w:rsidRPr="0066488E">
              <w:rPr>
                <w:rFonts w:cs="Open Sans"/>
                <w:color w:val="000000"/>
                <w:sz w:val="20"/>
                <w:szCs w:val="20"/>
              </w:rPr>
              <w:t> Hz</w:t>
            </w:r>
            <w:r>
              <w:rPr>
                <w:rFonts w:cs="Open Sans"/>
                <w:color w:val="000000"/>
                <w:sz w:val="20"/>
                <w:szCs w:val="20"/>
              </w:rPr>
              <w:t xml:space="preserve"> (300 ms</w:t>
            </w:r>
            <w:r w:rsidRPr="0066488E">
              <w:rPr>
                <w:rFonts w:cs="Open Sans"/>
                <w:color w:val="000000"/>
                <w:sz w:val="20"/>
                <w:szCs w:val="20"/>
              </w:rPr>
              <w:t>)</w:t>
            </w:r>
            <w:r>
              <w:rPr>
                <w:rFonts w:cs="Open Sans"/>
                <w:color w:val="000000"/>
                <w:sz w:val="20"/>
                <w:szCs w:val="20"/>
              </w:rPr>
              <w:t xml:space="preserve"> </w:t>
            </w:r>
            <w:r w:rsidRPr="0066488E">
              <w:rPr>
                <w:rFonts w:cs="Open Sans"/>
                <w:color w:val="000000"/>
                <w:sz w:val="20"/>
                <w:szCs w:val="20"/>
              </w:rPr>
              <w:t>–</w:t>
            </w:r>
            <w:r>
              <w:rPr>
                <w:rFonts w:cs="Open Sans"/>
                <w:color w:val="000000"/>
                <w:sz w:val="20"/>
                <w:szCs w:val="20"/>
              </w:rPr>
              <w:t xml:space="preserve"> 200</w:t>
            </w:r>
            <w:r w:rsidRPr="0066488E">
              <w:rPr>
                <w:rFonts w:cs="Open Sans"/>
                <w:color w:val="000000"/>
                <w:sz w:val="20"/>
                <w:szCs w:val="20"/>
              </w:rPr>
              <w:t> Hz</w:t>
            </w:r>
            <w:r>
              <w:rPr>
                <w:rFonts w:cs="Open Sans"/>
                <w:color w:val="000000"/>
                <w:sz w:val="20"/>
                <w:szCs w:val="20"/>
              </w:rPr>
              <w:t xml:space="preserve"> (5 ms)</w:t>
            </w:r>
          </w:p>
        </w:tc>
        <w:tc>
          <w:tcPr>
            <w:tcW w:w="1827" w:type="dxa"/>
            <w:tcBorders>
              <w:left w:val="nil"/>
              <w:bottom w:val="nil"/>
              <w:right w:val="nil"/>
            </w:tcBorders>
            <w:vAlign w:val="center"/>
          </w:tcPr>
          <w:p w14:paraId="06995A3E" w14:textId="77777777" w:rsidR="00C16661" w:rsidRDefault="00C16661" w:rsidP="00EC594F">
            <w:pPr>
              <w:keepNext/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r>
              <w:rPr>
                <w:rFonts w:cs="Open Sans"/>
                <w:color w:val="000000"/>
                <w:sz w:val="20"/>
                <w:szCs w:val="20"/>
              </w:rPr>
              <w:t>~ 600 Hz (1.67 ms)</w:t>
            </w:r>
          </w:p>
        </w:tc>
      </w:tr>
      <w:tr w:rsidR="00C16661" w:rsidRPr="0066488E" w14:paraId="7C73B8E1" w14:textId="77777777" w:rsidTr="00C16661">
        <w:trPr>
          <w:trHeight w:val="722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A5CA01" w14:textId="77777777" w:rsidR="00C16661" w:rsidRPr="00E935F0" w:rsidRDefault="00C16661" w:rsidP="00EC594F">
            <w:pPr>
              <w:keepNext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induced deformation</w:t>
            </w:r>
          </w:p>
        </w:tc>
        <w:tc>
          <w:tcPr>
            <w:tcW w:w="1999" w:type="dxa"/>
            <w:tcBorders>
              <w:left w:val="nil"/>
              <w:right w:val="nil"/>
            </w:tcBorders>
            <w:vAlign w:val="center"/>
          </w:tcPr>
          <w:p w14:paraId="4A436EDD" w14:textId="77777777" w:rsidR="00C16661" w:rsidRPr="0066488E" w:rsidRDefault="00C16661" w:rsidP="00EC594F">
            <w:pPr>
              <w:keepNext/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r w:rsidRPr="0066488E">
              <w:rPr>
                <w:rFonts w:cs="Open Sans"/>
                <w:color w:val="000000"/>
                <w:sz w:val="20"/>
                <w:szCs w:val="20"/>
              </w:rPr>
              <w:t>1 μm</w:t>
            </w:r>
          </w:p>
        </w:tc>
        <w:tc>
          <w:tcPr>
            <w:tcW w:w="31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0100B6" w14:textId="77777777" w:rsidR="00C16661" w:rsidRPr="0066488E" w:rsidRDefault="00C16661" w:rsidP="00EC594F">
            <w:pPr>
              <w:keepNext/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r w:rsidRPr="0066488E">
              <w:rPr>
                <w:rFonts w:cs="Open Sans"/>
                <w:color w:val="000000"/>
                <w:sz w:val="20"/>
                <w:szCs w:val="20"/>
              </w:rPr>
              <w:t>10 nm</w:t>
            </w:r>
          </w:p>
        </w:tc>
        <w:tc>
          <w:tcPr>
            <w:tcW w:w="1827" w:type="dxa"/>
            <w:tcBorders>
              <w:left w:val="nil"/>
              <w:right w:val="nil"/>
            </w:tcBorders>
            <w:vAlign w:val="center"/>
          </w:tcPr>
          <w:p w14:paraId="7984F339" w14:textId="77777777" w:rsidR="00C16661" w:rsidRPr="0066488E" w:rsidRDefault="00C16661" w:rsidP="00EC594F">
            <w:pPr>
              <w:keepNext/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r w:rsidRPr="0066488E">
              <w:rPr>
                <w:rFonts w:cs="Open Sans"/>
                <w:color w:val="000000"/>
                <w:sz w:val="20"/>
                <w:szCs w:val="20"/>
              </w:rPr>
              <w:t>2</w:t>
            </w:r>
            <w:r>
              <w:rPr>
                <w:rFonts w:cs="Open Sans"/>
                <w:color w:val="000000"/>
                <w:sz w:val="20"/>
                <w:szCs w:val="20"/>
              </w:rPr>
              <w:t>.5</w:t>
            </w:r>
            <w:r w:rsidRPr="0066488E">
              <w:rPr>
                <w:rFonts w:cs="Open Sans"/>
                <w:color w:val="000000"/>
                <w:sz w:val="20"/>
                <w:szCs w:val="20"/>
              </w:rPr>
              <w:t> μm</w:t>
            </w:r>
          </w:p>
        </w:tc>
      </w:tr>
      <w:tr w:rsidR="00C16661" w:rsidRPr="0066488E" w14:paraId="7AE2AC6B" w14:textId="77777777" w:rsidTr="00C16661">
        <w:trPr>
          <w:trHeight w:val="722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889495" w14:textId="77777777" w:rsidR="00C16661" w:rsidRDefault="00C16661" w:rsidP="00EC594F">
            <w:pPr>
              <w:keepNext/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strain</w:t>
            </w:r>
          </w:p>
        </w:tc>
        <w:tc>
          <w:tcPr>
            <w:tcW w:w="1999" w:type="dxa"/>
            <w:tcBorders>
              <w:left w:val="nil"/>
              <w:right w:val="nil"/>
            </w:tcBorders>
            <w:vAlign w:val="center"/>
          </w:tcPr>
          <w:p w14:paraId="58B91A47" w14:textId="77777777" w:rsidR="00C16661" w:rsidRPr="00352B1A" w:rsidRDefault="00C16661" w:rsidP="00EC594F">
            <w:pPr>
              <w:keepNext/>
              <w:spacing w:before="60" w:after="60" w:line="240" w:lineRule="auto"/>
              <w:jc w:val="center"/>
              <w:rPr>
                <w:sz w:val="21"/>
              </w:rPr>
            </w:pPr>
            <w:r w:rsidRPr="00352B1A">
              <w:rPr>
                <w:sz w:val="21"/>
              </w:rPr>
              <w:t>7</w:t>
            </w:r>
            <w:r>
              <w:rPr>
                <w:sz w:val="21"/>
              </w:rPr>
              <w:t> </w:t>
            </w:r>
            <w:r w:rsidRPr="00352B1A">
              <w:rPr>
                <w:sz w:val="21"/>
              </w:rPr>
              <w:t>%</w:t>
            </w:r>
          </w:p>
        </w:tc>
        <w:tc>
          <w:tcPr>
            <w:tcW w:w="31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320343" w14:textId="77777777" w:rsidR="00C16661" w:rsidRPr="00352B1A" w:rsidRDefault="00C16661" w:rsidP="00EC594F">
            <w:pPr>
              <w:keepNext/>
              <w:spacing w:before="60" w:after="60" w:line="240" w:lineRule="auto"/>
              <w:jc w:val="center"/>
              <w:rPr>
                <w:sz w:val="21"/>
              </w:rPr>
            </w:pPr>
            <w:r w:rsidRPr="00352B1A">
              <w:rPr>
                <w:sz w:val="21"/>
              </w:rPr>
              <w:t>0.07</w:t>
            </w:r>
            <w:r>
              <w:rPr>
                <w:sz w:val="21"/>
              </w:rPr>
              <w:t> </w:t>
            </w:r>
            <w:r w:rsidRPr="00352B1A">
              <w:rPr>
                <w:sz w:val="21"/>
              </w:rPr>
              <w:t>%</w:t>
            </w:r>
          </w:p>
        </w:tc>
        <w:tc>
          <w:tcPr>
            <w:tcW w:w="1827" w:type="dxa"/>
            <w:tcBorders>
              <w:left w:val="nil"/>
              <w:right w:val="nil"/>
            </w:tcBorders>
            <w:vAlign w:val="center"/>
          </w:tcPr>
          <w:p w14:paraId="29B409A4" w14:textId="77777777" w:rsidR="00C16661" w:rsidRPr="00352B1A" w:rsidRDefault="00C16661" w:rsidP="00EC594F">
            <w:pPr>
              <w:keepNext/>
              <w:spacing w:before="60" w:after="6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17 </w:t>
            </w:r>
            <w:r w:rsidRPr="00352B1A">
              <w:rPr>
                <w:sz w:val="21"/>
              </w:rPr>
              <w:t>%</w:t>
            </w:r>
          </w:p>
        </w:tc>
      </w:tr>
      <w:tr w:rsidR="00C16661" w:rsidRPr="0066488E" w14:paraId="6C06CD8C" w14:textId="77777777" w:rsidTr="00C16661">
        <w:trPr>
          <w:trHeight w:val="329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FD8EE3" w14:textId="77777777" w:rsidR="00C16661" w:rsidRPr="00E935F0" w:rsidRDefault="00C16661" w:rsidP="00EC594F">
            <w:pPr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deformation</w:t>
            </w:r>
            <w:r w:rsidRPr="00E935F0">
              <w:rPr>
                <w:b/>
                <w:bCs/>
                <w:sz w:val="20"/>
                <w:szCs w:val="20"/>
              </w:rPr>
              <w:t xml:space="preserve"> rate</w:t>
            </w:r>
          </w:p>
        </w:tc>
        <w:tc>
          <w:tcPr>
            <w:tcW w:w="1999" w:type="dxa"/>
            <w:tcBorders>
              <w:left w:val="nil"/>
              <w:right w:val="nil"/>
            </w:tcBorders>
          </w:tcPr>
          <w:p w14:paraId="6E5F8AA1" w14:textId="77777777" w:rsidR="00C16661" w:rsidRPr="0066488E" w:rsidRDefault="00C16661" w:rsidP="00EC594F">
            <w:pPr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r w:rsidRPr="0066488E">
              <w:rPr>
                <w:rFonts w:cs="Open Sans"/>
                <w:color w:val="000000"/>
                <w:sz w:val="20"/>
                <w:szCs w:val="20"/>
              </w:rPr>
              <w:t>5 μm</w:t>
            </w:r>
            <w:r>
              <w:rPr>
                <w:rFonts w:cs="Open Sans"/>
                <w:color w:val="000000"/>
                <w:sz w:val="20"/>
                <w:szCs w:val="20"/>
              </w:rPr>
              <w:t> </w:t>
            </w:r>
            <w:r w:rsidRPr="0066488E">
              <w:rPr>
                <w:rFonts w:cs="Open Sans"/>
                <w:color w:val="000000"/>
                <w:sz w:val="20"/>
                <w:szCs w:val="20"/>
              </w:rPr>
              <w:t>s</w:t>
            </w:r>
            <w:r w:rsidRPr="0066488E">
              <w:rPr>
                <w:rFonts w:cs="Open Sans"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3104" w:type="dxa"/>
            <w:tcBorders>
              <w:left w:val="nil"/>
              <w:right w:val="nil"/>
            </w:tcBorders>
            <w:shd w:val="clear" w:color="auto" w:fill="auto"/>
          </w:tcPr>
          <w:p w14:paraId="62563F78" w14:textId="77777777" w:rsidR="00C16661" w:rsidRPr="0066488E" w:rsidRDefault="00C16661" w:rsidP="00EC594F">
            <w:pPr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r w:rsidRPr="0066488E">
              <w:rPr>
                <w:rFonts w:cs="Open Sans"/>
                <w:color w:val="000000"/>
                <w:sz w:val="20"/>
                <w:szCs w:val="20"/>
              </w:rPr>
              <w:t>0.03–2 μm</w:t>
            </w:r>
            <w:r>
              <w:rPr>
                <w:rFonts w:cs="Open Sans"/>
                <w:color w:val="000000"/>
                <w:sz w:val="20"/>
                <w:szCs w:val="20"/>
              </w:rPr>
              <w:t> </w:t>
            </w:r>
            <w:r w:rsidRPr="0066488E">
              <w:rPr>
                <w:rFonts w:cs="Open Sans"/>
                <w:color w:val="000000"/>
                <w:sz w:val="20"/>
                <w:szCs w:val="20"/>
              </w:rPr>
              <w:t>s</w:t>
            </w:r>
            <w:r w:rsidRPr="0066488E">
              <w:rPr>
                <w:rFonts w:cs="Open Sans"/>
                <w:color w:val="000000"/>
                <w:sz w:val="20"/>
                <w:szCs w:val="20"/>
                <w:vertAlign w:val="superscript"/>
              </w:rPr>
              <w:t>−1</w:t>
            </w:r>
          </w:p>
        </w:tc>
        <w:tc>
          <w:tcPr>
            <w:tcW w:w="1827" w:type="dxa"/>
            <w:tcBorders>
              <w:left w:val="nil"/>
              <w:right w:val="nil"/>
            </w:tcBorders>
          </w:tcPr>
          <w:p w14:paraId="21CDB789" w14:textId="77777777" w:rsidR="00C16661" w:rsidRPr="0066488E" w:rsidRDefault="00C16661" w:rsidP="00EC594F">
            <w:pPr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r>
              <w:rPr>
                <w:rFonts w:cs="Open Sans"/>
                <w:color w:val="000000"/>
                <w:sz w:val="20"/>
                <w:szCs w:val="20"/>
              </w:rPr>
              <w:t>1.5</w:t>
            </w:r>
            <w:r w:rsidRPr="0066488E">
              <w:rPr>
                <w:rFonts w:cs="Open Sans"/>
                <w:color w:val="000000"/>
                <w:sz w:val="20"/>
                <w:szCs w:val="20"/>
              </w:rPr>
              <w:t> </w:t>
            </w:r>
            <w:r>
              <w:rPr>
                <w:rFonts w:cs="Open Sans"/>
                <w:color w:val="000000"/>
                <w:sz w:val="20"/>
                <w:szCs w:val="20"/>
              </w:rPr>
              <w:t>mm</w:t>
            </w:r>
            <w:r w:rsidRPr="0066488E">
              <w:rPr>
                <w:rFonts w:cs="Open Sans"/>
                <w:color w:val="000000"/>
                <w:sz w:val="20"/>
                <w:szCs w:val="20"/>
              </w:rPr>
              <w:t> s</w:t>
            </w:r>
            <w:r w:rsidRPr="0066488E">
              <w:rPr>
                <w:rFonts w:cs="Open Sans"/>
                <w:color w:val="000000"/>
                <w:sz w:val="20"/>
                <w:szCs w:val="20"/>
                <w:vertAlign w:val="superscript"/>
              </w:rPr>
              <w:t>−1</w:t>
            </w:r>
          </w:p>
        </w:tc>
      </w:tr>
      <w:tr w:rsidR="00C16661" w:rsidRPr="0066488E" w14:paraId="22C28970" w14:textId="77777777" w:rsidTr="00C16661">
        <w:trPr>
          <w:trHeight w:val="70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085856" w14:textId="77777777" w:rsidR="00C16661" w:rsidRDefault="00C16661" w:rsidP="00EC594F">
            <w:pPr>
              <w:spacing w:before="6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strain rate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31CB69" w14:textId="77777777" w:rsidR="00C16661" w:rsidRPr="0066488E" w:rsidRDefault="00C16661" w:rsidP="00EC594F">
            <w:pPr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r>
              <w:rPr>
                <w:rFonts w:cs="Open Sans"/>
                <w:color w:val="000000"/>
                <w:sz w:val="20"/>
                <w:szCs w:val="20"/>
              </w:rPr>
              <w:t>0.35 Hz</w:t>
            </w:r>
          </w:p>
        </w:tc>
        <w:tc>
          <w:tcPr>
            <w:tcW w:w="31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551C3" w14:textId="77777777" w:rsidR="00C16661" w:rsidRPr="0066488E" w:rsidRDefault="00C16661" w:rsidP="00EC594F">
            <w:pPr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r>
              <w:rPr>
                <w:rFonts w:cs="Open Sans"/>
                <w:color w:val="000000"/>
                <w:sz w:val="20"/>
                <w:szCs w:val="20"/>
              </w:rPr>
              <w:t>0.002</w:t>
            </w:r>
            <w:r w:rsidRPr="0066488E">
              <w:rPr>
                <w:rFonts w:cs="Open Sans"/>
                <w:color w:val="000000"/>
                <w:sz w:val="20"/>
                <w:szCs w:val="20"/>
              </w:rPr>
              <w:t>–</w:t>
            </w:r>
            <w:r>
              <w:rPr>
                <w:rFonts w:cs="Open Sans"/>
                <w:color w:val="000000"/>
                <w:sz w:val="20"/>
                <w:szCs w:val="20"/>
              </w:rPr>
              <w:t>0.140 Hz</w:t>
            </w:r>
          </w:p>
        </w:tc>
        <w:tc>
          <w:tcPr>
            <w:tcW w:w="18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2E7EC7" w14:textId="77777777" w:rsidR="00C16661" w:rsidRDefault="00C16661" w:rsidP="00EC594F">
            <w:pPr>
              <w:spacing w:before="60" w:after="60" w:line="240" w:lineRule="auto"/>
              <w:jc w:val="center"/>
              <w:rPr>
                <w:rFonts w:cs="Open Sans"/>
                <w:color w:val="000000"/>
                <w:sz w:val="20"/>
                <w:szCs w:val="20"/>
              </w:rPr>
            </w:pPr>
            <w:r>
              <w:rPr>
                <w:rFonts w:cs="Open Sans"/>
                <w:color w:val="000000"/>
                <w:sz w:val="20"/>
                <w:szCs w:val="20"/>
              </w:rPr>
              <w:t>102 Hz</w:t>
            </w:r>
          </w:p>
        </w:tc>
      </w:tr>
    </w:tbl>
    <w:p w14:paraId="1C1F4BCE" w14:textId="65B1A77E" w:rsidR="00C16661" w:rsidRDefault="00C16661" w:rsidP="00C166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line="240" w:lineRule="auto"/>
        <w:jc w:val="left"/>
        <w:rPr>
          <w:rFonts w:ascii="Times New Roman" w:hAnsi="Times New Roman"/>
          <w:b/>
          <w:bCs/>
          <w:sz w:val="20"/>
        </w:rPr>
      </w:pPr>
      <w:bookmarkStart w:id="2" w:name="_Ref84863098"/>
      <w:bookmarkStart w:id="3" w:name="_Toc84698846"/>
      <w:bookmarkStart w:id="4" w:name="_Toc84865064"/>
      <w:bookmarkEnd w:id="2"/>
      <w:bookmarkEnd w:id="3"/>
      <w:bookmarkEnd w:id="4"/>
    </w:p>
    <w:sectPr w:rsidR="00C16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61"/>
    <w:rsid w:val="00264542"/>
    <w:rsid w:val="00530DBD"/>
    <w:rsid w:val="00685D1C"/>
    <w:rsid w:val="007C3DB6"/>
    <w:rsid w:val="00AA2005"/>
    <w:rsid w:val="00C16661"/>
    <w:rsid w:val="00CC077A"/>
    <w:rsid w:val="00D31D1A"/>
    <w:rsid w:val="00F7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FDE7FA"/>
  <w15:chartTrackingRefBased/>
  <w15:docId w15:val="{FA4284E4-2A8D-C247-A52A-6B975CE8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661"/>
    <w:pPr>
      <w:spacing w:before="120" w:line="360" w:lineRule="auto"/>
      <w:jc w:val="both"/>
    </w:pPr>
    <w:rPr>
      <w:rFonts w:ascii="Open Sans" w:eastAsia="Times New Roman" w:hAnsi="Open Sans" w:cs="Times New Roman"/>
      <w:kern w:val="0"/>
      <w:sz w:val="22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661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661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661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661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661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661"/>
    <w:pPr>
      <w:keepNext/>
      <w:keepLines/>
      <w:spacing w:before="4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661"/>
    <w:pPr>
      <w:keepNext/>
      <w:keepLines/>
      <w:spacing w:before="4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661"/>
    <w:pPr>
      <w:keepNext/>
      <w:keepLines/>
      <w:spacing w:before="0"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661"/>
    <w:pPr>
      <w:keepNext/>
      <w:keepLines/>
      <w:spacing w:before="0"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661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6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661"/>
    <w:pPr>
      <w:numPr>
        <w:ilvl w:val="1"/>
      </w:numPr>
      <w:spacing w:before="0"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6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661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6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661"/>
    <w:pPr>
      <w:spacing w:before="0" w:line="240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6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661"/>
    <w:rPr>
      <w:b/>
      <w:bCs/>
      <w:smallCaps/>
      <w:color w:val="0F4761" w:themeColor="accent1" w:themeShade="BF"/>
      <w:spacing w:val="5"/>
    </w:rPr>
  </w:style>
  <w:style w:type="paragraph" w:customStyle="1" w:styleId="SMHeading">
    <w:name w:val="SM Heading"/>
    <w:basedOn w:val="Heading1"/>
    <w:qFormat/>
    <w:rsid w:val="00C16661"/>
    <w:pPr>
      <w:keepLines w:val="0"/>
      <w:spacing w:before="0" w:after="60"/>
    </w:pPr>
    <w:rPr>
      <w:rFonts w:ascii="Open Sans" w:eastAsia="Times New Roman" w:hAnsi="Open Sans" w:cs="Times New Roman"/>
      <w:b/>
      <w:bCs/>
      <w:color w:val="auto"/>
      <w:kern w:val="32"/>
      <w:sz w:val="21"/>
      <w:szCs w:val="24"/>
      <w:lang w:val="en-US" w:eastAsia="en-GB"/>
      <w14:ligatures w14:val="none"/>
    </w:rPr>
  </w:style>
  <w:style w:type="paragraph" w:customStyle="1" w:styleId="SMcaption">
    <w:name w:val="SM caption"/>
    <w:basedOn w:val="Normal"/>
    <w:qFormat/>
    <w:rsid w:val="00C16661"/>
    <w:pPr>
      <w:spacing w:before="0" w:line="240" w:lineRule="auto"/>
    </w:pPr>
    <w:rPr>
      <w:sz w:val="21"/>
    </w:rPr>
  </w:style>
  <w:style w:type="paragraph" w:customStyle="1" w:styleId="TableFill">
    <w:name w:val="Table Fill"/>
    <w:basedOn w:val="Normal"/>
    <w:qFormat/>
    <w:rsid w:val="00C16661"/>
    <w:pPr>
      <w:keepLines/>
      <w:adjustRightInd w:val="0"/>
      <w:spacing w:before="60" w:after="60" w:line="240" w:lineRule="auto"/>
    </w:pPr>
    <w:rPr>
      <w:rFonts w:ascii="Garamond" w:eastAsiaTheme="minorHAnsi" w:hAnsi="Garamond" w:cstheme="min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Urbanska</dc:creator>
  <cp:keywords/>
  <dc:description/>
  <cp:lastModifiedBy>Marta Urbanska</cp:lastModifiedBy>
  <cp:revision>2</cp:revision>
  <dcterms:created xsi:type="dcterms:W3CDTF">2025-01-29T23:46:00Z</dcterms:created>
  <dcterms:modified xsi:type="dcterms:W3CDTF">2025-01-29T23:46:00Z</dcterms:modified>
</cp:coreProperties>
</file>