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Y="111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2180"/>
        <w:gridCol w:w="1558"/>
        <w:gridCol w:w="1869"/>
        <w:gridCol w:w="1869"/>
      </w:tblGrid>
      <w:tr w:rsidR="006D79D0" w:rsidRPr="006619BA" w14:paraId="049B8A49" w14:textId="77777777" w:rsidTr="00DC5F99">
        <w:trPr>
          <w:trHeight w:val="247"/>
        </w:trPr>
        <w:tc>
          <w:tcPr>
            <w:tcW w:w="9265" w:type="dxa"/>
            <w:gridSpan w:val="5"/>
            <w:tcBorders>
              <w:bottom w:val="single" w:sz="8" w:space="0" w:color="auto"/>
            </w:tcBorders>
            <w:vAlign w:val="center"/>
          </w:tcPr>
          <w:p w14:paraId="76F087ED" w14:textId="77777777" w:rsidR="006D79D0" w:rsidRPr="00A96788" w:rsidRDefault="006D79D0" w:rsidP="00DC5F99">
            <w:pPr>
              <w:spacing w:line="360" w:lineRule="auto"/>
              <w:contextualSpacing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6D79D0" w:rsidRPr="006619BA" w14:paraId="593DB765" w14:textId="77777777" w:rsidTr="00DC5F99">
        <w:trPr>
          <w:trHeight w:val="247"/>
        </w:trPr>
        <w:tc>
          <w:tcPr>
            <w:tcW w:w="1789" w:type="dxa"/>
            <w:tcBorders>
              <w:bottom w:val="single" w:sz="8" w:space="0" w:color="auto"/>
            </w:tcBorders>
            <w:vAlign w:val="center"/>
          </w:tcPr>
          <w:p w14:paraId="5E14B74F" w14:textId="77777777" w:rsidR="006D79D0" w:rsidRPr="00A96788" w:rsidRDefault="006D79D0" w:rsidP="00DC5F99">
            <w:pPr>
              <w:spacing w:line="360" w:lineRule="auto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A96788">
              <w:rPr>
                <w:rFonts w:ascii="Arial" w:hAnsi="Arial" w:cs="Arial"/>
                <w:b/>
                <w:color w:val="000000" w:themeColor="text1"/>
              </w:rPr>
              <w:t>Intra-vesicular [K</w:t>
            </w:r>
            <w:r w:rsidRPr="00A96788">
              <w:rPr>
                <w:rFonts w:ascii="Arial" w:hAnsi="Arial" w:cs="Arial"/>
                <w:b/>
                <w:color w:val="000000" w:themeColor="text1"/>
                <w:vertAlign w:val="superscript"/>
              </w:rPr>
              <w:t>+</w:t>
            </w:r>
            <w:r w:rsidRPr="00A96788">
              <w:rPr>
                <w:rFonts w:ascii="Arial" w:hAnsi="Arial" w:cs="Arial"/>
                <w:b/>
                <w:color w:val="000000" w:themeColor="text1"/>
              </w:rPr>
              <w:t>]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vAlign w:val="center"/>
          </w:tcPr>
          <w:p w14:paraId="5BC932A8" w14:textId="77777777" w:rsidR="006D79D0" w:rsidRPr="00A96788" w:rsidRDefault="006D79D0" w:rsidP="00DC5F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96788">
              <w:rPr>
                <w:rFonts w:ascii="Arial" w:hAnsi="Arial" w:cs="Arial"/>
                <w:b/>
                <w:i/>
              </w:rPr>
              <w:t>V</w:t>
            </w:r>
            <w:r w:rsidRPr="00A96788">
              <w:rPr>
                <w:rFonts w:ascii="Arial" w:hAnsi="Arial" w:cs="Arial"/>
                <w:b/>
                <w:vertAlign w:val="subscript"/>
              </w:rPr>
              <w:t>max</w:t>
            </w:r>
            <w:r w:rsidRPr="00A96788">
              <w:rPr>
                <w:rFonts w:ascii="Arial" w:hAnsi="Arial" w:cs="Arial"/>
                <w:b/>
              </w:rPr>
              <w:t xml:space="preserve"> ± </w:t>
            </w:r>
            <w:proofErr w:type="spellStart"/>
            <w:r w:rsidRPr="00A96788">
              <w:rPr>
                <w:rFonts w:ascii="Arial" w:hAnsi="Arial" w:cs="Arial"/>
                <w:b/>
              </w:rPr>
              <w:t>s.e.m.</w:t>
            </w:r>
            <w:proofErr w:type="spellEnd"/>
          </w:p>
          <w:p w14:paraId="50A93285" w14:textId="77777777" w:rsidR="006D79D0" w:rsidRPr="00A96788" w:rsidRDefault="006D79D0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6788">
              <w:rPr>
                <w:rFonts w:ascii="Arial" w:hAnsi="Arial" w:cs="Arial"/>
                <w:b/>
              </w:rPr>
              <w:t xml:space="preserve">(% of </w:t>
            </w:r>
            <w:r w:rsidRPr="00A96788">
              <w:rPr>
                <w:rFonts w:ascii="Arial" w:hAnsi="Arial" w:cs="Arial"/>
                <w:b/>
                <w:i/>
              </w:rPr>
              <w:t>V</w:t>
            </w:r>
            <w:r w:rsidRPr="00A96788">
              <w:rPr>
                <w:rFonts w:ascii="Arial" w:hAnsi="Arial" w:cs="Arial"/>
                <w:b/>
                <w:vertAlign w:val="subscript"/>
              </w:rPr>
              <w:t>max</w:t>
            </w:r>
            <w:r w:rsidRPr="00A96788">
              <w:rPr>
                <w:rFonts w:ascii="Arial" w:hAnsi="Arial" w:cs="Arial"/>
                <w:b/>
              </w:rPr>
              <w:t xml:space="preserve"> in intra-vesicular NMDG</w:t>
            </w:r>
            <w:r w:rsidRPr="00A96788">
              <w:rPr>
                <w:rFonts w:ascii="Arial" w:hAnsi="Arial" w:cs="Arial"/>
                <w:b/>
                <w:vertAlign w:val="superscript"/>
              </w:rPr>
              <w:t>+</w:t>
            </w:r>
            <w:r w:rsidRPr="00A9678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vAlign w:val="center"/>
          </w:tcPr>
          <w:p w14:paraId="0603E9D8" w14:textId="77777777" w:rsidR="006D79D0" w:rsidRPr="00A96788" w:rsidRDefault="006D79D0" w:rsidP="00DC5F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96788">
              <w:rPr>
                <w:rFonts w:ascii="Arial" w:hAnsi="Arial" w:cs="Arial"/>
                <w:b/>
                <w:i/>
              </w:rPr>
              <w:t>K</w:t>
            </w:r>
            <w:r w:rsidRPr="00A96788">
              <w:rPr>
                <w:rFonts w:ascii="Arial" w:hAnsi="Arial" w:cs="Arial"/>
                <w:b/>
                <w:vertAlign w:val="subscript"/>
              </w:rPr>
              <w:t>m</w:t>
            </w:r>
            <w:r w:rsidRPr="00A96788">
              <w:rPr>
                <w:rFonts w:ascii="Arial" w:hAnsi="Arial" w:cs="Arial"/>
                <w:b/>
              </w:rPr>
              <w:t xml:space="preserve"> ± </w:t>
            </w:r>
            <w:proofErr w:type="spellStart"/>
            <w:r w:rsidRPr="00A96788">
              <w:rPr>
                <w:rFonts w:ascii="Arial" w:hAnsi="Arial" w:cs="Arial"/>
                <w:b/>
              </w:rPr>
              <w:t>s.e.m.</w:t>
            </w:r>
            <w:proofErr w:type="spellEnd"/>
          </w:p>
          <w:p w14:paraId="5F2EA88F" w14:textId="77777777" w:rsidR="006D79D0" w:rsidRPr="00A96788" w:rsidRDefault="006D79D0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6788">
              <w:rPr>
                <w:rFonts w:ascii="Arial" w:hAnsi="Arial" w:cs="Arial"/>
                <w:b/>
              </w:rPr>
              <w:t>(mM)</w:t>
            </w:r>
          </w:p>
        </w:tc>
        <w:tc>
          <w:tcPr>
            <w:tcW w:w="18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C054C6B" w14:textId="77777777" w:rsidR="006D79D0" w:rsidRPr="00A96788" w:rsidRDefault="006D79D0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6788">
              <w:rPr>
                <w:rFonts w:ascii="Arial" w:hAnsi="Arial" w:cs="Arial"/>
                <w:b/>
                <w:color w:val="000000" w:themeColor="text1"/>
              </w:rPr>
              <w:t>R</w:t>
            </w:r>
            <w:r w:rsidRPr="00A96788">
              <w:rPr>
                <w:rFonts w:ascii="Arial" w:hAnsi="Arial" w:cs="Arial"/>
                <w:b/>
                <w:color w:val="000000" w:themeColor="text1"/>
                <w:vertAlign w:val="superscript"/>
              </w:rPr>
              <w:t>2</w:t>
            </w:r>
          </w:p>
        </w:tc>
        <w:tc>
          <w:tcPr>
            <w:tcW w:w="18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2516FE1" w14:textId="77777777" w:rsidR="006D79D0" w:rsidRPr="00A96788" w:rsidRDefault="006D79D0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6788">
              <w:rPr>
                <w:rFonts w:ascii="Arial" w:hAnsi="Arial" w:cs="Arial"/>
                <w:b/>
                <w:color w:val="000000" w:themeColor="text1"/>
              </w:rPr>
              <w:t>N</w:t>
            </w:r>
          </w:p>
        </w:tc>
      </w:tr>
      <w:tr w:rsidR="006D79D0" w:rsidRPr="006619BA" w14:paraId="739A0BEF" w14:textId="77777777" w:rsidTr="00DC5F99">
        <w:trPr>
          <w:trHeight w:val="247"/>
        </w:trPr>
        <w:tc>
          <w:tcPr>
            <w:tcW w:w="1789" w:type="dxa"/>
            <w:tcBorders>
              <w:top w:val="single" w:sz="4" w:space="0" w:color="auto"/>
            </w:tcBorders>
            <w:vAlign w:val="center"/>
          </w:tcPr>
          <w:p w14:paraId="2FB1816C" w14:textId="77777777" w:rsidR="006D79D0" w:rsidRPr="00A96788" w:rsidRDefault="006D79D0" w:rsidP="00DC5F99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14:paraId="47BEDD02" w14:textId="77777777" w:rsidR="006D79D0" w:rsidRPr="00A96788" w:rsidRDefault="006D79D0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 xml:space="preserve">93 </w:t>
            </w:r>
            <w:r w:rsidRPr="00A96788">
              <w:rPr>
                <w:rFonts w:ascii="Arial" w:hAnsi="Arial" w:cs="Arial"/>
                <w:color w:val="000000" w:themeColor="text1"/>
              </w:rPr>
              <w:t>± 20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0031683A" w14:textId="77777777" w:rsidR="006D79D0" w:rsidRPr="00A96788" w:rsidRDefault="006D79D0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4.07 ± 1.85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14:paraId="02782C07" w14:textId="77777777" w:rsidR="006D79D0" w:rsidRPr="00A96788" w:rsidRDefault="006D79D0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>0.87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14:paraId="573DA970" w14:textId="77777777" w:rsidR="006D79D0" w:rsidRPr="00A96788" w:rsidRDefault="006D79D0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6D79D0" w:rsidRPr="006619BA" w14:paraId="58900486" w14:textId="77777777" w:rsidTr="00DC5F99">
        <w:trPr>
          <w:trHeight w:val="247"/>
        </w:trPr>
        <w:tc>
          <w:tcPr>
            <w:tcW w:w="1789" w:type="dxa"/>
            <w:vAlign w:val="center"/>
          </w:tcPr>
          <w:p w14:paraId="77C8BD11" w14:textId="77777777" w:rsidR="006D79D0" w:rsidRPr="00A96788" w:rsidRDefault="006D79D0" w:rsidP="00DC5F99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50</w:t>
            </w:r>
          </w:p>
        </w:tc>
        <w:tc>
          <w:tcPr>
            <w:tcW w:w="2180" w:type="dxa"/>
            <w:vAlign w:val="center"/>
          </w:tcPr>
          <w:p w14:paraId="6B0A2F15" w14:textId="77777777" w:rsidR="006D79D0" w:rsidRPr="00A96788" w:rsidRDefault="006D79D0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 xml:space="preserve">118 </w:t>
            </w:r>
            <w:r w:rsidRPr="00A96788">
              <w:rPr>
                <w:rFonts w:ascii="Arial" w:hAnsi="Arial" w:cs="Arial"/>
                <w:color w:val="000000" w:themeColor="text1"/>
              </w:rPr>
              <w:t>± 27</w:t>
            </w:r>
          </w:p>
        </w:tc>
        <w:tc>
          <w:tcPr>
            <w:tcW w:w="1558" w:type="dxa"/>
            <w:vAlign w:val="center"/>
          </w:tcPr>
          <w:p w14:paraId="00BD26DA" w14:textId="77777777" w:rsidR="006D79D0" w:rsidRPr="00A96788" w:rsidRDefault="006D79D0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3.55 ± 1.85</w:t>
            </w:r>
          </w:p>
        </w:tc>
        <w:tc>
          <w:tcPr>
            <w:tcW w:w="1869" w:type="dxa"/>
            <w:vAlign w:val="center"/>
          </w:tcPr>
          <w:p w14:paraId="73883429" w14:textId="77777777" w:rsidR="006D79D0" w:rsidRPr="00A96788" w:rsidRDefault="006D79D0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>0.83</w:t>
            </w:r>
          </w:p>
        </w:tc>
        <w:tc>
          <w:tcPr>
            <w:tcW w:w="1869" w:type="dxa"/>
            <w:vAlign w:val="center"/>
          </w:tcPr>
          <w:p w14:paraId="4B460739" w14:textId="77777777" w:rsidR="006D79D0" w:rsidRPr="00A96788" w:rsidRDefault="006D79D0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6D79D0" w:rsidRPr="006619BA" w14:paraId="66F15850" w14:textId="77777777" w:rsidTr="00DC5F99">
        <w:trPr>
          <w:trHeight w:val="247"/>
        </w:trPr>
        <w:tc>
          <w:tcPr>
            <w:tcW w:w="1789" w:type="dxa"/>
            <w:vAlign w:val="center"/>
          </w:tcPr>
          <w:p w14:paraId="280A7B52" w14:textId="77777777" w:rsidR="006D79D0" w:rsidRPr="00A96788" w:rsidRDefault="006D79D0" w:rsidP="00DC5F99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2180" w:type="dxa"/>
            <w:vAlign w:val="center"/>
          </w:tcPr>
          <w:p w14:paraId="3529CF2F" w14:textId="77777777" w:rsidR="006D79D0" w:rsidRPr="00A96788" w:rsidRDefault="006D79D0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 xml:space="preserve">120 </w:t>
            </w:r>
            <w:r w:rsidRPr="00A96788">
              <w:rPr>
                <w:rFonts w:ascii="Arial" w:hAnsi="Arial" w:cs="Arial"/>
                <w:color w:val="000000" w:themeColor="text1"/>
              </w:rPr>
              <w:t>± 18</w:t>
            </w:r>
            <w:r w:rsidRPr="00A9678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14:paraId="1FFE021D" w14:textId="77777777" w:rsidR="006D79D0" w:rsidRPr="00A96788" w:rsidRDefault="006D79D0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2.71 ± 1.06</w:t>
            </w:r>
          </w:p>
        </w:tc>
        <w:tc>
          <w:tcPr>
            <w:tcW w:w="1869" w:type="dxa"/>
            <w:vAlign w:val="center"/>
          </w:tcPr>
          <w:p w14:paraId="6EA3C350" w14:textId="77777777" w:rsidR="006D79D0" w:rsidRPr="00A96788" w:rsidRDefault="006D79D0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>0.89</w:t>
            </w:r>
          </w:p>
        </w:tc>
        <w:tc>
          <w:tcPr>
            <w:tcW w:w="1869" w:type="dxa"/>
            <w:vAlign w:val="center"/>
          </w:tcPr>
          <w:p w14:paraId="1B88B76C" w14:textId="77777777" w:rsidR="006D79D0" w:rsidRPr="00A96788" w:rsidRDefault="006D79D0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6D79D0" w:rsidRPr="006619BA" w14:paraId="6F4103E5" w14:textId="77777777" w:rsidTr="00DC5F99">
        <w:trPr>
          <w:trHeight w:val="247"/>
        </w:trPr>
        <w:tc>
          <w:tcPr>
            <w:tcW w:w="1789" w:type="dxa"/>
            <w:vAlign w:val="center"/>
          </w:tcPr>
          <w:p w14:paraId="53D5EA19" w14:textId="77777777" w:rsidR="006D79D0" w:rsidRPr="00A96788" w:rsidRDefault="006D79D0" w:rsidP="00DC5F99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150</w:t>
            </w:r>
          </w:p>
        </w:tc>
        <w:tc>
          <w:tcPr>
            <w:tcW w:w="2180" w:type="dxa"/>
            <w:vAlign w:val="center"/>
          </w:tcPr>
          <w:p w14:paraId="5082B6A5" w14:textId="77777777" w:rsidR="006D79D0" w:rsidRPr="00A96788" w:rsidRDefault="006D79D0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 xml:space="preserve">134 </w:t>
            </w:r>
            <w:r w:rsidRPr="00A96788">
              <w:rPr>
                <w:rFonts w:ascii="Arial" w:hAnsi="Arial" w:cs="Arial"/>
                <w:color w:val="000000" w:themeColor="text1"/>
              </w:rPr>
              <w:t>± 12</w:t>
            </w:r>
          </w:p>
        </w:tc>
        <w:tc>
          <w:tcPr>
            <w:tcW w:w="1558" w:type="dxa"/>
            <w:vAlign w:val="center"/>
          </w:tcPr>
          <w:p w14:paraId="41A5B18E" w14:textId="77777777" w:rsidR="006D79D0" w:rsidRPr="00A96788" w:rsidRDefault="006D79D0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2.64 ± 0.61</w:t>
            </w:r>
          </w:p>
        </w:tc>
        <w:tc>
          <w:tcPr>
            <w:tcW w:w="1869" w:type="dxa"/>
            <w:vAlign w:val="center"/>
          </w:tcPr>
          <w:p w14:paraId="0C9977B8" w14:textId="77777777" w:rsidR="006D79D0" w:rsidRPr="00A96788" w:rsidRDefault="006D79D0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>0.96</w:t>
            </w:r>
          </w:p>
        </w:tc>
        <w:tc>
          <w:tcPr>
            <w:tcW w:w="1869" w:type="dxa"/>
            <w:vAlign w:val="center"/>
          </w:tcPr>
          <w:p w14:paraId="76928D3B" w14:textId="77777777" w:rsidR="006D79D0" w:rsidRPr="00A96788" w:rsidRDefault="006D79D0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6D79D0" w:rsidRPr="006619BA" w14:paraId="02A3780E" w14:textId="77777777" w:rsidTr="00DC5F99">
        <w:trPr>
          <w:trHeight w:val="247"/>
        </w:trPr>
        <w:tc>
          <w:tcPr>
            <w:tcW w:w="1789" w:type="dxa"/>
            <w:vAlign w:val="center"/>
          </w:tcPr>
          <w:p w14:paraId="2C3F64F3" w14:textId="77777777" w:rsidR="006D79D0" w:rsidRPr="00A96788" w:rsidRDefault="006D79D0" w:rsidP="00DC5F99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2180" w:type="dxa"/>
            <w:vAlign w:val="center"/>
          </w:tcPr>
          <w:p w14:paraId="17108264" w14:textId="77777777" w:rsidR="006D79D0" w:rsidRPr="00A96788" w:rsidRDefault="006D79D0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 xml:space="preserve">179 </w:t>
            </w:r>
            <w:r w:rsidRPr="00A96788">
              <w:rPr>
                <w:rFonts w:ascii="Arial" w:hAnsi="Arial" w:cs="Arial"/>
                <w:color w:val="000000" w:themeColor="text1"/>
              </w:rPr>
              <w:t>± 13</w:t>
            </w:r>
          </w:p>
        </w:tc>
        <w:tc>
          <w:tcPr>
            <w:tcW w:w="1558" w:type="dxa"/>
            <w:vAlign w:val="center"/>
          </w:tcPr>
          <w:p w14:paraId="6F66EE12" w14:textId="77777777" w:rsidR="006D79D0" w:rsidRPr="00A96788" w:rsidRDefault="006D79D0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1.84 ± 0.40</w:t>
            </w:r>
          </w:p>
        </w:tc>
        <w:tc>
          <w:tcPr>
            <w:tcW w:w="1869" w:type="dxa"/>
            <w:vAlign w:val="center"/>
          </w:tcPr>
          <w:p w14:paraId="5AC82E23" w14:textId="77777777" w:rsidR="006D79D0" w:rsidRPr="00A96788" w:rsidRDefault="006D79D0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>0.96</w:t>
            </w:r>
          </w:p>
        </w:tc>
        <w:tc>
          <w:tcPr>
            <w:tcW w:w="1869" w:type="dxa"/>
            <w:vAlign w:val="center"/>
          </w:tcPr>
          <w:p w14:paraId="4C9EC975" w14:textId="77777777" w:rsidR="006D79D0" w:rsidRPr="00A96788" w:rsidRDefault="006D79D0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6D79D0" w:rsidRPr="006619BA" w14:paraId="6D6AE696" w14:textId="77777777" w:rsidTr="00DC5F99">
        <w:trPr>
          <w:trHeight w:val="294"/>
        </w:trPr>
        <w:tc>
          <w:tcPr>
            <w:tcW w:w="9265" w:type="dxa"/>
            <w:gridSpan w:val="5"/>
            <w:tcBorders>
              <w:top w:val="single" w:sz="4" w:space="0" w:color="auto"/>
            </w:tcBorders>
            <w:vAlign w:val="center"/>
          </w:tcPr>
          <w:p w14:paraId="54416FCD" w14:textId="77777777" w:rsidR="006D79D0" w:rsidRPr="00A96788" w:rsidRDefault="006D79D0" w:rsidP="00DC5F99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b/>
                <w:color w:val="000000" w:themeColor="text1"/>
              </w:rPr>
              <w:t xml:space="preserve">Figure 3 - Supplementary table 3. </w:t>
            </w:r>
            <w:r w:rsidRPr="00A96788">
              <w:rPr>
                <w:rFonts w:ascii="Arial" w:hAnsi="Arial" w:cs="Arial"/>
              </w:rPr>
              <w:t xml:space="preserve"> </w:t>
            </w:r>
            <w:r w:rsidRPr="00A96788">
              <w:rPr>
                <w:rFonts w:ascii="Arial" w:hAnsi="Arial" w:cs="Arial"/>
                <w:b/>
              </w:rPr>
              <w:t>[</w:t>
            </w:r>
            <w:r w:rsidRPr="00A96788">
              <w:rPr>
                <w:rFonts w:ascii="Arial" w:hAnsi="Arial" w:cs="Arial"/>
                <w:b/>
                <w:vertAlign w:val="superscript"/>
              </w:rPr>
              <w:t>3</w:t>
            </w:r>
            <w:proofErr w:type="gramStart"/>
            <w:r w:rsidRPr="00A96788">
              <w:rPr>
                <w:rFonts w:ascii="Arial" w:hAnsi="Arial" w:cs="Arial"/>
                <w:b/>
              </w:rPr>
              <w:t>H]alanine</w:t>
            </w:r>
            <w:proofErr w:type="gramEnd"/>
            <w:r w:rsidRPr="00A96788">
              <w:rPr>
                <w:rFonts w:ascii="Arial" w:hAnsi="Arial" w:cs="Arial"/>
                <w:b/>
              </w:rPr>
              <w:t xml:space="preserve"> uptake by LeuT into proteoliposomes with increasing intra-vesicular [K</w:t>
            </w:r>
            <w:r w:rsidRPr="00A96788">
              <w:rPr>
                <w:rFonts w:ascii="Arial" w:hAnsi="Arial" w:cs="Arial"/>
                <w:b/>
                <w:vertAlign w:val="superscript"/>
              </w:rPr>
              <w:t>+</w:t>
            </w:r>
            <w:r w:rsidRPr="00A96788">
              <w:rPr>
                <w:rFonts w:ascii="Arial" w:hAnsi="Arial" w:cs="Arial"/>
                <w:b/>
              </w:rPr>
              <w:t>]</w:t>
            </w:r>
            <w:r w:rsidRPr="00A96788">
              <w:rPr>
                <w:rFonts w:ascii="Arial" w:hAnsi="Arial" w:cs="Arial"/>
                <w:color w:val="000000" w:themeColor="text1"/>
              </w:rPr>
              <w:t xml:space="preserve"> Constants from [</w:t>
            </w:r>
            <w:r w:rsidRPr="00A96788">
              <w:rPr>
                <w:rFonts w:ascii="Arial" w:hAnsi="Arial" w:cs="Arial"/>
                <w:color w:val="000000" w:themeColor="text1"/>
                <w:vertAlign w:val="superscript"/>
              </w:rPr>
              <w:t>3</w:t>
            </w:r>
            <w:r w:rsidRPr="00A96788">
              <w:rPr>
                <w:rFonts w:ascii="Arial" w:hAnsi="Arial" w:cs="Arial"/>
                <w:color w:val="000000" w:themeColor="text1"/>
              </w:rPr>
              <w:t>H]alanine-dependent u</w:t>
            </w:r>
            <w:r w:rsidRPr="00A96788">
              <w:rPr>
                <w:rFonts w:ascii="Arial" w:hAnsi="Arial" w:cs="Arial"/>
              </w:rPr>
              <w:t>ptake into proteoliposomes with LeuT containing increasing intra-vesicular [K</w:t>
            </w:r>
            <w:r w:rsidRPr="00A96788">
              <w:rPr>
                <w:rFonts w:ascii="Arial" w:hAnsi="Arial" w:cs="Arial"/>
                <w:vertAlign w:val="superscript"/>
              </w:rPr>
              <w:t>+</w:t>
            </w:r>
            <w:r w:rsidRPr="00A96788">
              <w:rPr>
                <w:rFonts w:ascii="Arial" w:hAnsi="Arial" w:cs="Arial"/>
              </w:rPr>
              <w:t>] fitted to Michaelis-Menten kinetics in GraphPad Prism 9.0 (see Figure 3 – Figure supplement 1B).</w:t>
            </w:r>
          </w:p>
        </w:tc>
      </w:tr>
    </w:tbl>
    <w:p w14:paraId="72E982A1" w14:textId="77777777" w:rsidR="009A5057" w:rsidRDefault="009A5057"/>
    <w:sectPr w:rsidR="009A5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D0"/>
    <w:rsid w:val="00093BCE"/>
    <w:rsid w:val="000D3A67"/>
    <w:rsid w:val="0055168E"/>
    <w:rsid w:val="006D79D0"/>
    <w:rsid w:val="009A5057"/>
    <w:rsid w:val="00C369B4"/>
    <w:rsid w:val="00D9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6300"/>
  <w15:chartTrackingRefBased/>
  <w15:docId w15:val="{F761DA6C-8C10-4538-9ABC-85769F37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D0"/>
    <w:pPr>
      <w:spacing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9D0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505</Characters>
  <Application>Microsoft Office Word</Application>
  <DocSecurity>0</DocSecurity>
  <Lines>9</Lines>
  <Paragraphs>3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Juul Løland</dc:creator>
  <cp:keywords/>
  <dc:description/>
  <cp:lastModifiedBy>Claus Juul Løland</cp:lastModifiedBy>
  <cp:revision>1</cp:revision>
  <dcterms:created xsi:type="dcterms:W3CDTF">2023-12-11T11:52:00Z</dcterms:created>
  <dcterms:modified xsi:type="dcterms:W3CDTF">2023-12-11T11:53:00Z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