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2892" w14:textId="060F6499" w:rsidR="009A5057" w:rsidRDefault="006F4188">
      <w:r>
        <w:rPr>
          <w:noProof/>
        </w:rPr>
        <mc:AlternateContent>
          <mc:Choice Requires="wps">
            <w:drawing>
              <wp:anchor distT="45720" distB="45720" distL="114300" distR="114300" simplePos="0" relativeHeight="251659264" behindDoc="0" locked="0" layoutInCell="1" allowOverlap="1" wp14:anchorId="1792EE51" wp14:editId="578AB63A">
                <wp:simplePos x="0" y="0"/>
                <wp:positionH relativeFrom="margin">
                  <wp:posOffset>19050</wp:posOffset>
                </wp:positionH>
                <wp:positionV relativeFrom="paragraph">
                  <wp:posOffset>6353175</wp:posOffset>
                </wp:positionV>
                <wp:extent cx="6076950" cy="1828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828800"/>
                        </a:xfrm>
                        <a:prstGeom prst="rect">
                          <a:avLst/>
                        </a:prstGeom>
                        <a:solidFill>
                          <a:srgbClr val="FFFFFF"/>
                        </a:solidFill>
                        <a:ln w="9525">
                          <a:noFill/>
                          <a:miter lim="800000"/>
                          <a:headEnd/>
                          <a:tailEnd/>
                        </a:ln>
                      </wps:spPr>
                      <wps:txbx>
                        <w:txbxContent>
                          <w:p w14:paraId="101803EC" w14:textId="62841B63" w:rsidR="006F4188" w:rsidRPr="006F4188" w:rsidRDefault="006F4188" w:rsidP="006F4188">
                            <w:pPr>
                              <w:spacing w:line="360" w:lineRule="auto"/>
                              <w:contextualSpacing/>
                              <w:jc w:val="both"/>
                              <w:rPr>
                                <w:rFonts w:ascii="Helvetica" w:hAnsi="Helvetica" w:cs="Helvetica"/>
                                <w:color w:val="000000" w:themeColor="text1"/>
                                <w:sz w:val="20"/>
                                <w:szCs w:val="20"/>
                                <w:lang w:val="en-US"/>
                              </w:rPr>
                            </w:pPr>
                            <w:r w:rsidRPr="006F4188">
                              <w:rPr>
                                <w:rFonts w:ascii="Arial" w:hAnsi="Arial" w:cs="Arial"/>
                                <w:b/>
                                <w:color w:val="000000" w:themeColor="text1"/>
                                <w:lang w:val="en-US"/>
                              </w:rPr>
                              <w:t xml:space="preserve">Table 1 – </w:t>
                            </w:r>
                            <w:r>
                              <w:rPr>
                                <w:rFonts w:ascii="Arial" w:hAnsi="Arial" w:cs="Arial"/>
                                <w:b/>
                                <w:color w:val="000000" w:themeColor="text1"/>
                                <w:lang w:val="en-US"/>
                              </w:rPr>
                              <w:t>Source data</w:t>
                            </w:r>
                            <w:r w:rsidRPr="006F4188">
                              <w:rPr>
                                <w:rFonts w:ascii="Arial" w:hAnsi="Arial" w:cs="Arial"/>
                                <w:b/>
                                <w:color w:val="000000" w:themeColor="text1"/>
                                <w:lang w:val="en-US"/>
                              </w:rPr>
                              <w:t xml:space="preserve"> 1. </w:t>
                            </w:r>
                            <w:r>
                              <w:rPr>
                                <w:rFonts w:ascii="Arial" w:hAnsi="Arial" w:cs="Arial"/>
                                <w:b/>
                                <w:color w:val="000000" w:themeColor="text1"/>
                                <w:lang w:val="en-US"/>
                              </w:rPr>
                              <w:t>Affinity curves for l</w:t>
                            </w:r>
                            <w:r w:rsidRPr="006F4188">
                              <w:rPr>
                                <w:rFonts w:ascii="Arial" w:hAnsi="Arial" w:cs="Arial"/>
                                <w:b/>
                                <w:color w:val="000000" w:themeColor="text1"/>
                                <w:lang w:val="en-US"/>
                              </w:rPr>
                              <w:t xml:space="preserve">eucine and alanine binding to </w:t>
                            </w:r>
                            <w:r>
                              <w:rPr>
                                <w:rFonts w:ascii="Arial" w:hAnsi="Arial" w:cs="Arial"/>
                                <w:b/>
                                <w:color w:val="000000" w:themeColor="text1"/>
                                <w:lang w:val="en-US"/>
                              </w:rPr>
                              <w:t xml:space="preserve">LeuT and </w:t>
                            </w:r>
                            <w:r w:rsidRPr="006F4188">
                              <w:rPr>
                                <w:rFonts w:ascii="Arial" w:hAnsi="Arial" w:cs="Arial"/>
                                <w:b/>
                                <w:color w:val="000000" w:themeColor="text1"/>
                                <w:lang w:val="en-US"/>
                              </w:rPr>
                              <w:t>mutants. (</w:t>
                            </w:r>
                            <w:proofErr w:type="gramStart"/>
                            <w:r w:rsidRPr="006F4188">
                              <w:rPr>
                                <w:rFonts w:ascii="Arial" w:hAnsi="Arial" w:cs="Arial"/>
                                <w:b/>
                                <w:color w:val="000000" w:themeColor="text1"/>
                                <w:lang w:val="en-US"/>
                              </w:rPr>
                              <w:t>A</w:t>
                            </w:r>
                            <w:r w:rsidRPr="006F4188">
                              <w:rPr>
                                <w:rFonts w:ascii="Arial" w:hAnsi="Arial" w:cs="Arial"/>
                                <w:color w:val="000000" w:themeColor="text1"/>
                                <w:lang w:val="en-US"/>
                              </w:rPr>
                              <w:t>,</w:t>
                            </w:r>
                            <w:r w:rsidRPr="006F4188">
                              <w:rPr>
                                <w:rFonts w:ascii="Arial" w:hAnsi="Arial" w:cs="Arial"/>
                                <w:b/>
                                <w:color w:val="000000" w:themeColor="text1"/>
                                <w:lang w:val="en-US"/>
                              </w:rPr>
                              <w:t>C</w:t>
                            </w:r>
                            <w:proofErr w:type="gramEnd"/>
                            <w:r w:rsidRPr="006F4188">
                              <w:rPr>
                                <w:rFonts w:ascii="Arial" w:hAnsi="Arial" w:cs="Arial"/>
                                <w:color w:val="000000" w:themeColor="text1"/>
                                <w:lang w:val="en-US"/>
                              </w:rPr>
                              <w:t>,</w:t>
                            </w:r>
                            <w:r w:rsidRPr="006F4188">
                              <w:rPr>
                                <w:rFonts w:ascii="Arial" w:hAnsi="Arial" w:cs="Arial"/>
                                <w:b/>
                                <w:color w:val="000000" w:themeColor="text1"/>
                                <w:lang w:val="en-US"/>
                              </w:rPr>
                              <w:t>E</w:t>
                            </w:r>
                            <w:r w:rsidRPr="006F4188">
                              <w:rPr>
                                <w:rFonts w:ascii="Arial" w:hAnsi="Arial" w:cs="Arial"/>
                                <w:color w:val="000000" w:themeColor="text1"/>
                                <w:lang w:val="en-US"/>
                              </w:rPr>
                              <w:t>,</w:t>
                            </w:r>
                            <w:r w:rsidRPr="006F4188">
                              <w:rPr>
                                <w:rFonts w:ascii="Arial" w:hAnsi="Arial" w:cs="Arial"/>
                                <w:b/>
                                <w:color w:val="000000" w:themeColor="text1"/>
                                <w:lang w:val="en-US"/>
                              </w:rPr>
                              <w:t xml:space="preserve">I) </w:t>
                            </w:r>
                            <w:r w:rsidRPr="006F4188">
                              <w:rPr>
                                <w:rFonts w:ascii="Arial" w:hAnsi="Arial" w:cs="Arial"/>
                                <w:color w:val="000000" w:themeColor="text1"/>
                                <w:lang w:val="en-US"/>
                              </w:rPr>
                              <w:t>[</w:t>
                            </w:r>
                            <w:r w:rsidRPr="006F4188">
                              <w:rPr>
                                <w:rFonts w:ascii="Arial" w:hAnsi="Arial" w:cs="Arial"/>
                                <w:color w:val="000000" w:themeColor="text1"/>
                                <w:vertAlign w:val="superscript"/>
                                <w:lang w:val="en-US"/>
                              </w:rPr>
                              <w:t>3</w:t>
                            </w:r>
                            <w:r w:rsidRPr="006F4188">
                              <w:rPr>
                                <w:rFonts w:ascii="Arial" w:hAnsi="Arial" w:cs="Arial"/>
                                <w:color w:val="000000" w:themeColor="text1"/>
                                <w:lang w:val="en-US"/>
                              </w:rPr>
                              <w:t>H]leucine saturation binding for WT (A), A22V (C), A22S (E) and T254S (I). (</w:t>
                            </w:r>
                            <w:proofErr w:type="gramStart"/>
                            <w:r w:rsidRPr="006F4188">
                              <w:rPr>
                                <w:rFonts w:ascii="Arial" w:hAnsi="Arial" w:cs="Arial"/>
                                <w:b/>
                                <w:color w:val="000000" w:themeColor="text1"/>
                                <w:lang w:val="en-US"/>
                              </w:rPr>
                              <w:t>B</w:t>
                            </w:r>
                            <w:r w:rsidRPr="006F4188">
                              <w:rPr>
                                <w:rFonts w:ascii="Arial" w:hAnsi="Arial" w:cs="Arial"/>
                                <w:color w:val="000000" w:themeColor="text1"/>
                                <w:lang w:val="en-US"/>
                              </w:rPr>
                              <w:t>,</w:t>
                            </w:r>
                            <w:r w:rsidRPr="006F4188">
                              <w:rPr>
                                <w:rFonts w:ascii="Arial" w:hAnsi="Arial" w:cs="Arial"/>
                                <w:b/>
                                <w:color w:val="000000" w:themeColor="text1"/>
                                <w:lang w:val="en-US"/>
                              </w:rPr>
                              <w:t>D</w:t>
                            </w:r>
                            <w:proofErr w:type="gramEnd"/>
                            <w:r w:rsidRPr="006F4188">
                              <w:rPr>
                                <w:rFonts w:ascii="Arial" w:hAnsi="Arial" w:cs="Arial"/>
                                <w:color w:val="000000" w:themeColor="text1"/>
                                <w:lang w:val="en-US"/>
                              </w:rPr>
                              <w:t>,</w:t>
                            </w:r>
                            <w:r w:rsidRPr="006F4188">
                              <w:rPr>
                                <w:rFonts w:ascii="Arial" w:hAnsi="Arial" w:cs="Arial"/>
                                <w:b/>
                                <w:color w:val="000000" w:themeColor="text1"/>
                                <w:lang w:val="en-US"/>
                              </w:rPr>
                              <w:t>F-H,J-N</w:t>
                            </w:r>
                            <w:r w:rsidRPr="006F4188">
                              <w:rPr>
                                <w:rFonts w:ascii="Arial" w:hAnsi="Arial" w:cs="Arial"/>
                                <w:color w:val="000000" w:themeColor="text1"/>
                                <w:lang w:val="en-US"/>
                              </w:rPr>
                              <w:t>) Displacement of [</w:t>
                            </w:r>
                            <w:r w:rsidRPr="006F4188">
                              <w:rPr>
                                <w:rFonts w:ascii="Arial" w:hAnsi="Arial" w:cs="Arial"/>
                                <w:color w:val="000000" w:themeColor="text1"/>
                                <w:vertAlign w:val="superscript"/>
                                <w:lang w:val="en-US"/>
                              </w:rPr>
                              <w:t>3</w:t>
                            </w:r>
                            <w:r w:rsidRPr="006F4188">
                              <w:rPr>
                                <w:rFonts w:ascii="Arial" w:hAnsi="Arial" w:cs="Arial"/>
                                <w:color w:val="000000" w:themeColor="text1"/>
                                <w:lang w:val="en-US"/>
                              </w:rPr>
                              <w:t>Hleucine by leucine for N27Q (G), N286Q (K) and E290Q (M), or by alanine for WT (B), A22V (D), A22S (F), N27Q (H), T254S (J), N286Q (L) and E290Q (N). Binding was assayed in 200 mM Na</w:t>
                            </w:r>
                            <w:r w:rsidRPr="006F4188">
                              <w:rPr>
                                <w:rFonts w:ascii="Arial" w:hAnsi="Arial" w:cs="Arial"/>
                                <w:color w:val="000000" w:themeColor="text1"/>
                                <w:vertAlign w:val="superscript"/>
                                <w:lang w:val="en-US"/>
                              </w:rPr>
                              <w:t>+</w:t>
                            </w:r>
                            <w:r w:rsidRPr="006F4188">
                              <w:rPr>
                                <w:rFonts w:ascii="Arial" w:hAnsi="Arial" w:cs="Arial"/>
                                <w:color w:val="000000" w:themeColor="text1"/>
                                <w:lang w:val="en-US"/>
                              </w:rPr>
                              <w:t xml:space="preserve">. All data points are mean ± </w:t>
                            </w:r>
                            <w:proofErr w:type="spellStart"/>
                            <w:r w:rsidRPr="006F4188">
                              <w:rPr>
                                <w:rFonts w:ascii="Arial" w:hAnsi="Arial" w:cs="Arial"/>
                                <w:color w:val="000000" w:themeColor="text1"/>
                                <w:lang w:val="en-US"/>
                              </w:rPr>
                              <w:t>s.e.m.</w:t>
                            </w:r>
                            <w:proofErr w:type="spellEnd"/>
                            <w:r w:rsidRPr="006F4188">
                              <w:rPr>
                                <w:rFonts w:ascii="Arial" w:hAnsi="Arial" w:cs="Arial"/>
                                <w:color w:val="000000" w:themeColor="text1"/>
                                <w:lang w:val="en-US"/>
                              </w:rPr>
                              <w:t xml:space="preserve">, n = 3-4, and fitted to a one-site binding model (A, C, E, I) or non-linear regression fit. </w:t>
                            </w:r>
                            <w:proofErr w:type="spellStart"/>
                            <w:r w:rsidRPr="006F4188">
                              <w:rPr>
                                <w:rFonts w:ascii="Arial" w:hAnsi="Arial" w:cs="Arial"/>
                                <w:i/>
                                <w:color w:val="000000" w:themeColor="text1"/>
                                <w:lang w:val="en-US"/>
                              </w:rPr>
                              <w:t>K</w:t>
                            </w:r>
                            <w:r w:rsidRPr="006F4188">
                              <w:rPr>
                                <w:rFonts w:ascii="Arial" w:hAnsi="Arial" w:cs="Arial"/>
                                <w:color w:val="000000" w:themeColor="text1"/>
                                <w:vertAlign w:val="subscript"/>
                                <w:lang w:val="en-US"/>
                              </w:rPr>
                              <w:t>d</w:t>
                            </w:r>
                            <w:proofErr w:type="spellEnd"/>
                            <w:r w:rsidRPr="006F4188">
                              <w:rPr>
                                <w:rFonts w:ascii="Arial" w:hAnsi="Arial" w:cs="Arial"/>
                                <w:color w:val="000000" w:themeColor="text1"/>
                                <w:lang w:val="en-US"/>
                              </w:rPr>
                              <w:t xml:space="preserve"> and </w:t>
                            </w:r>
                            <w:r w:rsidRPr="006F4188">
                              <w:rPr>
                                <w:rFonts w:ascii="Arial" w:hAnsi="Arial" w:cs="Arial"/>
                                <w:i/>
                                <w:color w:val="000000" w:themeColor="text1"/>
                                <w:lang w:val="en-US"/>
                              </w:rPr>
                              <w:t>K</w:t>
                            </w:r>
                            <w:r w:rsidRPr="006F4188">
                              <w:rPr>
                                <w:rFonts w:ascii="Arial" w:hAnsi="Arial" w:cs="Arial"/>
                                <w:color w:val="000000" w:themeColor="text1"/>
                                <w:vertAlign w:val="subscript"/>
                                <w:lang w:val="en-US"/>
                              </w:rPr>
                              <w:t>i</w:t>
                            </w:r>
                            <w:r w:rsidRPr="006F4188">
                              <w:rPr>
                                <w:rFonts w:ascii="Arial" w:hAnsi="Arial" w:cs="Arial"/>
                                <w:color w:val="000000" w:themeColor="text1"/>
                                <w:lang w:val="en-US"/>
                              </w:rPr>
                              <w:t xml:space="preserve"> values are summarized in Table 1. All data is provided in the source data file.</w:t>
                            </w:r>
                          </w:p>
                          <w:p w14:paraId="2CA480FE" w14:textId="74742701" w:rsidR="006F4188" w:rsidRPr="006F4188" w:rsidRDefault="006F418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2EE51" id="_x0000_t202" coordsize="21600,21600" o:spt="202" path="m,l,21600r21600,l21600,xe">
                <v:stroke joinstyle="miter"/>
                <v:path gradientshapeok="t" o:connecttype="rect"/>
              </v:shapetype>
              <v:shape id="Text Box 2" o:spid="_x0000_s1026" type="#_x0000_t202" style="position:absolute;margin-left:1.5pt;margin-top:500.25pt;width:478.5pt;height:2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" stroked="f">
                <v:textbox>
                  <w:txbxContent>
                    <w:p w14:paraId="101803EC" w14:textId="62841B63" w:rsidR="006F4188" w:rsidRPr="006F4188" w:rsidRDefault="006F4188" w:rsidP="006F4188">
                      <w:pPr>
                        <w:spacing w:line="360" w:lineRule="auto"/>
                        <w:contextualSpacing/>
                        <w:jc w:val="both"/>
                        <w:rPr>
                          <w:rFonts w:ascii="Helvetica" w:hAnsi="Helvetica" w:cs="Helvetica"/>
                          <w:color w:val="000000" w:themeColor="text1"/>
                          <w:sz w:val="20"/>
                          <w:szCs w:val="20"/>
                          <w:lang w:val="en-US"/>
                        </w:rPr>
                      </w:pPr>
                      <w:r w:rsidRPr="006F4188">
                        <w:rPr>
                          <w:rFonts w:ascii="Arial" w:hAnsi="Arial" w:cs="Arial"/>
                          <w:b/>
                          <w:color w:val="000000" w:themeColor="text1"/>
                          <w:lang w:val="en-US"/>
                        </w:rPr>
                        <w:t xml:space="preserve">Table 1 – </w:t>
                      </w:r>
                      <w:r>
                        <w:rPr>
                          <w:rFonts w:ascii="Arial" w:hAnsi="Arial" w:cs="Arial"/>
                          <w:b/>
                          <w:color w:val="000000" w:themeColor="text1"/>
                          <w:lang w:val="en-US"/>
                        </w:rPr>
                        <w:t>Source data</w:t>
                      </w:r>
                      <w:r w:rsidRPr="006F4188">
                        <w:rPr>
                          <w:rFonts w:ascii="Arial" w:hAnsi="Arial" w:cs="Arial"/>
                          <w:b/>
                          <w:color w:val="000000" w:themeColor="text1"/>
                          <w:lang w:val="en-US"/>
                        </w:rPr>
                        <w:t xml:space="preserve"> 1. </w:t>
                      </w:r>
                      <w:r>
                        <w:rPr>
                          <w:rFonts w:ascii="Arial" w:hAnsi="Arial" w:cs="Arial"/>
                          <w:b/>
                          <w:color w:val="000000" w:themeColor="text1"/>
                          <w:lang w:val="en-US"/>
                        </w:rPr>
                        <w:t>Affinity curves for l</w:t>
                      </w:r>
                      <w:r w:rsidRPr="006F4188">
                        <w:rPr>
                          <w:rFonts w:ascii="Arial" w:hAnsi="Arial" w:cs="Arial"/>
                          <w:b/>
                          <w:color w:val="000000" w:themeColor="text1"/>
                          <w:lang w:val="en-US"/>
                        </w:rPr>
                        <w:t xml:space="preserve">eucine and alanine binding to </w:t>
                      </w:r>
                      <w:r>
                        <w:rPr>
                          <w:rFonts w:ascii="Arial" w:hAnsi="Arial" w:cs="Arial"/>
                          <w:b/>
                          <w:color w:val="000000" w:themeColor="text1"/>
                          <w:lang w:val="en-US"/>
                        </w:rPr>
                        <w:t xml:space="preserve">LeuT and </w:t>
                      </w:r>
                      <w:r w:rsidRPr="006F4188">
                        <w:rPr>
                          <w:rFonts w:ascii="Arial" w:hAnsi="Arial" w:cs="Arial"/>
                          <w:b/>
                          <w:color w:val="000000" w:themeColor="text1"/>
                          <w:lang w:val="en-US"/>
                        </w:rPr>
                        <w:t>mutants. (</w:t>
                      </w:r>
                      <w:proofErr w:type="gramStart"/>
                      <w:r w:rsidRPr="006F4188">
                        <w:rPr>
                          <w:rFonts w:ascii="Arial" w:hAnsi="Arial" w:cs="Arial"/>
                          <w:b/>
                          <w:color w:val="000000" w:themeColor="text1"/>
                          <w:lang w:val="en-US"/>
                        </w:rPr>
                        <w:t>A</w:t>
                      </w:r>
                      <w:r w:rsidRPr="006F4188">
                        <w:rPr>
                          <w:rFonts w:ascii="Arial" w:hAnsi="Arial" w:cs="Arial"/>
                          <w:color w:val="000000" w:themeColor="text1"/>
                          <w:lang w:val="en-US"/>
                        </w:rPr>
                        <w:t>,</w:t>
                      </w:r>
                      <w:r w:rsidRPr="006F4188">
                        <w:rPr>
                          <w:rFonts w:ascii="Arial" w:hAnsi="Arial" w:cs="Arial"/>
                          <w:b/>
                          <w:color w:val="000000" w:themeColor="text1"/>
                          <w:lang w:val="en-US"/>
                        </w:rPr>
                        <w:t>C</w:t>
                      </w:r>
                      <w:proofErr w:type="gramEnd"/>
                      <w:r w:rsidRPr="006F4188">
                        <w:rPr>
                          <w:rFonts w:ascii="Arial" w:hAnsi="Arial" w:cs="Arial"/>
                          <w:color w:val="000000" w:themeColor="text1"/>
                          <w:lang w:val="en-US"/>
                        </w:rPr>
                        <w:t>,</w:t>
                      </w:r>
                      <w:r w:rsidRPr="006F4188">
                        <w:rPr>
                          <w:rFonts w:ascii="Arial" w:hAnsi="Arial" w:cs="Arial"/>
                          <w:b/>
                          <w:color w:val="000000" w:themeColor="text1"/>
                          <w:lang w:val="en-US"/>
                        </w:rPr>
                        <w:t>E</w:t>
                      </w:r>
                      <w:r w:rsidRPr="006F4188">
                        <w:rPr>
                          <w:rFonts w:ascii="Arial" w:hAnsi="Arial" w:cs="Arial"/>
                          <w:color w:val="000000" w:themeColor="text1"/>
                          <w:lang w:val="en-US"/>
                        </w:rPr>
                        <w:t>,</w:t>
                      </w:r>
                      <w:r w:rsidRPr="006F4188">
                        <w:rPr>
                          <w:rFonts w:ascii="Arial" w:hAnsi="Arial" w:cs="Arial"/>
                          <w:b/>
                          <w:color w:val="000000" w:themeColor="text1"/>
                          <w:lang w:val="en-US"/>
                        </w:rPr>
                        <w:t xml:space="preserve">I) </w:t>
                      </w:r>
                      <w:r w:rsidRPr="006F4188">
                        <w:rPr>
                          <w:rFonts w:ascii="Arial" w:hAnsi="Arial" w:cs="Arial"/>
                          <w:color w:val="000000" w:themeColor="text1"/>
                          <w:lang w:val="en-US"/>
                        </w:rPr>
                        <w:t>[</w:t>
                      </w:r>
                      <w:r w:rsidRPr="006F4188">
                        <w:rPr>
                          <w:rFonts w:ascii="Arial" w:hAnsi="Arial" w:cs="Arial"/>
                          <w:color w:val="000000" w:themeColor="text1"/>
                          <w:vertAlign w:val="superscript"/>
                          <w:lang w:val="en-US"/>
                        </w:rPr>
                        <w:t>3</w:t>
                      </w:r>
                      <w:r w:rsidRPr="006F4188">
                        <w:rPr>
                          <w:rFonts w:ascii="Arial" w:hAnsi="Arial" w:cs="Arial"/>
                          <w:color w:val="000000" w:themeColor="text1"/>
                          <w:lang w:val="en-US"/>
                        </w:rPr>
                        <w:t>H]leucine saturation binding for WT (A), A22V (C), A22S (E) and T254S (I). (</w:t>
                      </w:r>
                      <w:proofErr w:type="gramStart"/>
                      <w:r w:rsidRPr="006F4188">
                        <w:rPr>
                          <w:rFonts w:ascii="Arial" w:hAnsi="Arial" w:cs="Arial"/>
                          <w:b/>
                          <w:color w:val="000000" w:themeColor="text1"/>
                          <w:lang w:val="en-US"/>
                        </w:rPr>
                        <w:t>B</w:t>
                      </w:r>
                      <w:r w:rsidRPr="006F4188">
                        <w:rPr>
                          <w:rFonts w:ascii="Arial" w:hAnsi="Arial" w:cs="Arial"/>
                          <w:color w:val="000000" w:themeColor="text1"/>
                          <w:lang w:val="en-US"/>
                        </w:rPr>
                        <w:t>,</w:t>
                      </w:r>
                      <w:r w:rsidRPr="006F4188">
                        <w:rPr>
                          <w:rFonts w:ascii="Arial" w:hAnsi="Arial" w:cs="Arial"/>
                          <w:b/>
                          <w:color w:val="000000" w:themeColor="text1"/>
                          <w:lang w:val="en-US"/>
                        </w:rPr>
                        <w:t>D</w:t>
                      </w:r>
                      <w:proofErr w:type="gramEnd"/>
                      <w:r w:rsidRPr="006F4188">
                        <w:rPr>
                          <w:rFonts w:ascii="Arial" w:hAnsi="Arial" w:cs="Arial"/>
                          <w:color w:val="000000" w:themeColor="text1"/>
                          <w:lang w:val="en-US"/>
                        </w:rPr>
                        <w:t>,</w:t>
                      </w:r>
                      <w:r w:rsidRPr="006F4188">
                        <w:rPr>
                          <w:rFonts w:ascii="Arial" w:hAnsi="Arial" w:cs="Arial"/>
                          <w:b/>
                          <w:color w:val="000000" w:themeColor="text1"/>
                          <w:lang w:val="en-US"/>
                        </w:rPr>
                        <w:t>F-H,J-N</w:t>
                      </w:r>
                      <w:r w:rsidRPr="006F4188">
                        <w:rPr>
                          <w:rFonts w:ascii="Arial" w:hAnsi="Arial" w:cs="Arial"/>
                          <w:color w:val="000000" w:themeColor="text1"/>
                          <w:lang w:val="en-US"/>
                        </w:rPr>
                        <w:t>) Displacement of [</w:t>
                      </w:r>
                      <w:r w:rsidRPr="006F4188">
                        <w:rPr>
                          <w:rFonts w:ascii="Arial" w:hAnsi="Arial" w:cs="Arial"/>
                          <w:color w:val="000000" w:themeColor="text1"/>
                          <w:vertAlign w:val="superscript"/>
                          <w:lang w:val="en-US"/>
                        </w:rPr>
                        <w:t>3</w:t>
                      </w:r>
                      <w:r w:rsidRPr="006F4188">
                        <w:rPr>
                          <w:rFonts w:ascii="Arial" w:hAnsi="Arial" w:cs="Arial"/>
                          <w:color w:val="000000" w:themeColor="text1"/>
                          <w:lang w:val="en-US"/>
                        </w:rPr>
                        <w:t>Hleucine by leucine for N27Q (G), N286Q (K) and E290Q (M), or by alanine for WT (B), A22V (D), A22S (F), N27Q (H), T254S (J), N286Q (L) and E290Q (N). Binding was assayed in 200 mM Na</w:t>
                      </w:r>
                      <w:r w:rsidRPr="006F4188">
                        <w:rPr>
                          <w:rFonts w:ascii="Arial" w:hAnsi="Arial" w:cs="Arial"/>
                          <w:color w:val="000000" w:themeColor="text1"/>
                          <w:vertAlign w:val="superscript"/>
                          <w:lang w:val="en-US"/>
                        </w:rPr>
                        <w:t>+</w:t>
                      </w:r>
                      <w:r w:rsidRPr="006F4188">
                        <w:rPr>
                          <w:rFonts w:ascii="Arial" w:hAnsi="Arial" w:cs="Arial"/>
                          <w:color w:val="000000" w:themeColor="text1"/>
                          <w:lang w:val="en-US"/>
                        </w:rPr>
                        <w:t xml:space="preserve">. All data points are mean ± </w:t>
                      </w:r>
                      <w:proofErr w:type="spellStart"/>
                      <w:r w:rsidRPr="006F4188">
                        <w:rPr>
                          <w:rFonts w:ascii="Arial" w:hAnsi="Arial" w:cs="Arial"/>
                          <w:color w:val="000000" w:themeColor="text1"/>
                          <w:lang w:val="en-US"/>
                        </w:rPr>
                        <w:t>s.e.m.</w:t>
                      </w:r>
                      <w:proofErr w:type="spellEnd"/>
                      <w:r w:rsidRPr="006F4188">
                        <w:rPr>
                          <w:rFonts w:ascii="Arial" w:hAnsi="Arial" w:cs="Arial"/>
                          <w:color w:val="000000" w:themeColor="text1"/>
                          <w:lang w:val="en-US"/>
                        </w:rPr>
                        <w:t xml:space="preserve">, n = 3-4, and fitted to a one-site binding model (A, C, E, I) or non-linear regression fit. </w:t>
                      </w:r>
                      <w:proofErr w:type="spellStart"/>
                      <w:r w:rsidRPr="006F4188">
                        <w:rPr>
                          <w:rFonts w:ascii="Arial" w:hAnsi="Arial" w:cs="Arial"/>
                          <w:i/>
                          <w:color w:val="000000" w:themeColor="text1"/>
                          <w:lang w:val="en-US"/>
                        </w:rPr>
                        <w:t>K</w:t>
                      </w:r>
                      <w:r w:rsidRPr="006F4188">
                        <w:rPr>
                          <w:rFonts w:ascii="Arial" w:hAnsi="Arial" w:cs="Arial"/>
                          <w:color w:val="000000" w:themeColor="text1"/>
                          <w:vertAlign w:val="subscript"/>
                          <w:lang w:val="en-US"/>
                        </w:rPr>
                        <w:t>d</w:t>
                      </w:r>
                      <w:proofErr w:type="spellEnd"/>
                      <w:r w:rsidRPr="006F4188">
                        <w:rPr>
                          <w:rFonts w:ascii="Arial" w:hAnsi="Arial" w:cs="Arial"/>
                          <w:color w:val="000000" w:themeColor="text1"/>
                          <w:lang w:val="en-US"/>
                        </w:rPr>
                        <w:t xml:space="preserve"> and </w:t>
                      </w:r>
                      <w:r w:rsidRPr="006F4188">
                        <w:rPr>
                          <w:rFonts w:ascii="Arial" w:hAnsi="Arial" w:cs="Arial"/>
                          <w:i/>
                          <w:color w:val="000000" w:themeColor="text1"/>
                          <w:lang w:val="en-US"/>
                        </w:rPr>
                        <w:t>K</w:t>
                      </w:r>
                      <w:r w:rsidRPr="006F4188">
                        <w:rPr>
                          <w:rFonts w:ascii="Arial" w:hAnsi="Arial" w:cs="Arial"/>
                          <w:color w:val="000000" w:themeColor="text1"/>
                          <w:vertAlign w:val="subscript"/>
                          <w:lang w:val="en-US"/>
                        </w:rPr>
                        <w:t>i</w:t>
                      </w:r>
                      <w:r w:rsidRPr="006F4188">
                        <w:rPr>
                          <w:rFonts w:ascii="Arial" w:hAnsi="Arial" w:cs="Arial"/>
                          <w:color w:val="000000" w:themeColor="text1"/>
                          <w:lang w:val="en-US"/>
                        </w:rPr>
                        <w:t xml:space="preserve"> values are summarized in Table 1. All data is provided in the source data file.</w:t>
                      </w:r>
                    </w:p>
                    <w:p w14:paraId="2CA480FE" w14:textId="74742701" w:rsidR="006F4188" w:rsidRPr="006F4188" w:rsidRDefault="006F4188">
                      <w:pPr>
                        <w:rPr>
                          <w:lang w:val="en-US"/>
                        </w:rPr>
                      </w:pPr>
                    </w:p>
                  </w:txbxContent>
                </v:textbox>
                <w10:wrap anchorx="margin"/>
              </v:shape>
            </w:pict>
          </mc:Fallback>
        </mc:AlternateContent>
      </w:r>
      <w:r>
        <w:rPr>
          <w:rFonts w:ascii="Arial" w:hAnsi="Arial" w:cs="Arial"/>
          <w:noProof/>
          <w:color w:val="000000" w:themeColor="text1"/>
          <w:sz w:val="20"/>
          <w:szCs w:val="20"/>
        </w:rPr>
        <w:drawing>
          <wp:inline distT="0" distB="0" distL="0" distR="0" wp14:anchorId="698DBCD1" wp14:editId="7F7DB20C">
            <wp:extent cx="5731510" cy="6149503"/>
            <wp:effectExtent l="0" t="0" r="2540" b="3810"/>
            <wp:docPr id="21" name="Picture 2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Background patter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6149503"/>
                    </a:xfrm>
                    <a:prstGeom prst="rect">
                      <a:avLst/>
                    </a:prstGeom>
                  </pic:spPr>
                </pic:pic>
              </a:graphicData>
            </a:graphic>
          </wp:inline>
        </w:drawing>
      </w:r>
    </w:p>
    <w:sectPr w:rsidR="009A5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88"/>
    <w:rsid w:val="00093BCE"/>
    <w:rsid w:val="000D3A67"/>
    <w:rsid w:val="0055168E"/>
    <w:rsid w:val="006F4188"/>
    <w:rsid w:val="009A5057"/>
    <w:rsid w:val="00C369B4"/>
    <w:rsid w:val="00D94C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09A1"/>
  <w15:chartTrackingRefBased/>
  <w15:docId w15:val="{EA28D5D6-2344-4DA0-AAEE-0D4D4226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188"/>
    <w:rPr>
      <w:rFonts w:eastAsiaTheme="majorEastAsia" w:cstheme="majorBidi"/>
      <w:color w:val="272727" w:themeColor="text1" w:themeTint="D8"/>
    </w:rPr>
  </w:style>
  <w:style w:type="paragraph" w:styleId="Title">
    <w:name w:val="Title"/>
    <w:basedOn w:val="Normal"/>
    <w:next w:val="Normal"/>
    <w:link w:val="TitleChar"/>
    <w:uiPriority w:val="10"/>
    <w:qFormat/>
    <w:rsid w:val="006F4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188"/>
    <w:pPr>
      <w:spacing w:before="160"/>
      <w:jc w:val="center"/>
    </w:pPr>
    <w:rPr>
      <w:i/>
      <w:iCs/>
      <w:color w:val="404040" w:themeColor="text1" w:themeTint="BF"/>
    </w:rPr>
  </w:style>
  <w:style w:type="character" w:customStyle="1" w:styleId="QuoteChar">
    <w:name w:val="Quote Char"/>
    <w:basedOn w:val="DefaultParagraphFont"/>
    <w:link w:val="Quote"/>
    <w:uiPriority w:val="29"/>
    <w:rsid w:val="006F4188"/>
    <w:rPr>
      <w:i/>
      <w:iCs/>
      <w:color w:val="404040" w:themeColor="text1" w:themeTint="BF"/>
    </w:rPr>
  </w:style>
  <w:style w:type="paragraph" w:styleId="ListParagraph">
    <w:name w:val="List Paragraph"/>
    <w:basedOn w:val="Normal"/>
    <w:uiPriority w:val="34"/>
    <w:qFormat/>
    <w:rsid w:val="006F4188"/>
    <w:pPr>
      <w:ind w:left="720"/>
      <w:contextualSpacing/>
    </w:pPr>
  </w:style>
  <w:style w:type="character" w:styleId="IntenseEmphasis">
    <w:name w:val="Intense Emphasis"/>
    <w:basedOn w:val="DefaultParagraphFont"/>
    <w:uiPriority w:val="21"/>
    <w:qFormat/>
    <w:rsid w:val="006F4188"/>
    <w:rPr>
      <w:i/>
      <w:iCs/>
      <w:color w:val="0F4761" w:themeColor="accent1" w:themeShade="BF"/>
    </w:rPr>
  </w:style>
  <w:style w:type="paragraph" w:styleId="IntenseQuote">
    <w:name w:val="Intense Quote"/>
    <w:basedOn w:val="Normal"/>
    <w:next w:val="Normal"/>
    <w:link w:val="IntenseQuoteChar"/>
    <w:uiPriority w:val="30"/>
    <w:qFormat/>
    <w:rsid w:val="006F4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188"/>
    <w:rPr>
      <w:i/>
      <w:iCs/>
      <w:color w:val="0F4761" w:themeColor="accent1" w:themeShade="BF"/>
    </w:rPr>
  </w:style>
  <w:style w:type="character" w:styleId="IntenseReference">
    <w:name w:val="Intense Reference"/>
    <w:basedOn w:val="DefaultParagraphFont"/>
    <w:uiPriority w:val="32"/>
    <w:qFormat/>
    <w:rsid w:val="006F41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Juul Løland</dc:creator>
  <cp:keywords/>
  <dc:description/>
  <cp:lastModifiedBy>Claus Juul Løland</cp:lastModifiedBy>
  <cp:revision>1</cp:revision>
  <dcterms:created xsi:type="dcterms:W3CDTF">2023-12-14T16:12:00Z</dcterms:created>
  <dcterms:modified xsi:type="dcterms:W3CDTF">2023-12-14T16:17:00Z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