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3114"/>
        <w:gridCol w:w="5103"/>
        <w:gridCol w:w="799"/>
      </w:tblGrid>
      <w:tr w:rsidR="00D17B3D" w:rsidRPr="00D17B3D" w14:paraId="50F2CDF1" w14:textId="590247F7" w:rsidTr="00D17B3D">
        <w:tc>
          <w:tcPr>
            <w:tcW w:w="3114" w:type="dxa"/>
          </w:tcPr>
          <w:p w14:paraId="168F3159" w14:textId="74697E6A" w:rsidR="00D17B3D" w:rsidRPr="00D17B3D" w:rsidRDefault="00D17B3D" w:rsidP="00CF7B59">
            <w:pPr>
              <w:rPr>
                <w:b/>
                <w:bCs/>
                <w:sz w:val="20"/>
                <w:szCs w:val="20"/>
              </w:rPr>
            </w:pPr>
            <w:r>
              <w:rPr>
                <w:b/>
                <w:bCs/>
                <w:sz w:val="20"/>
                <w:szCs w:val="20"/>
              </w:rPr>
              <w:t>Newly created materials</w:t>
            </w:r>
          </w:p>
        </w:tc>
        <w:tc>
          <w:tcPr>
            <w:tcW w:w="5103" w:type="dxa"/>
          </w:tcPr>
          <w:p w14:paraId="0E64ED5D" w14:textId="2DD83BB9" w:rsidR="00D17B3D" w:rsidRPr="00D17B3D" w:rsidRDefault="00D17B3D" w:rsidP="00CF7B59">
            <w:pPr>
              <w:rPr>
                <w:b/>
                <w:bCs/>
                <w:sz w:val="20"/>
                <w:szCs w:val="20"/>
              </w:rPr>
            </w:pPr>
            <w:r w:rsidRPr="00D17B3D">
              <w:rPr>
                <w:b/>
                <w:bCs/>
                <w:sz w:val="20"/>
                <w:szCs w:val="20"/>
              </w:rPr>
              <w:t>Indicate where provided: section/figure legend</w:t>
            </w:r>
          </w:p>
        </w:tc>
        <w:tc>
          <w:tcPr>
            <w:tcW w:w="799" w:type="dxa"/>
          </w:tcPr>
          <w:p w14:paraId="478FBCE0" w14:textId="643CF786" w:rsidR="00D17B3D" w:rsidRPr="00D17B3D" w:rsidRDefault="00D17B3D" w:rsidP="00CF7B59">
            <w:pPr>
              <w:rPr>
                <w:b/>
                <w:bCs/>
                <w:sz w:val="20"/>
                <w:szCs w:val="20"/>
              </w:rPr>
            </w:pPr>
            <w:r>
              <w:rPr>
                <w:b/>
                <w:bCs/>
                <w:sz w:val="20"/>
                <w:szCs w:val="20"/>
              </w:rPr>
              <w:t>N/A</w:t>
            </w:r>
          </w:p>
        </w:tc>
      </w:tr>
      <w:tr w:rsidR="00D17B3D" w:rsidRPr="00D17B3D" w14:paraId="714D83E1" w14:textId="77777777" w:rsidTr="00D17B3D">
        <w:tc>
          <w:tcPr>
            <w:tcW w:w="3114" w:type="dxa"/>
          </w:tcPr>
          <w:p w14:paraId="575A1BDC" w14:textId="093C41F5" w:rsidR="00D17B3D" w:rsidRPr="00D17B3D" w:rsidRDefault="00D17B3D" w:rsidP="00CF7B59">
            <w:pPr>
              <w:rPr>
                <w:sz w:val="20"/>
                <w:szCs w:val="20"/>
              </w:rPr>
            </w:pPr>
            <w:r w:rsidRPr="00D17B3D">
              <w:rPr>
                <w:sz w:val="20"/>
                <w:szCs w:val="20"/>
              </w:rPr>
              <w:t>The manuscript includes a dedicated "materials availability statement" providing transparent disclosure about availability of newly created materials including details on how materials can be accessed and describing any restrictions on access.</w:t>
            </w:r>
          </w:p>
        </w:tc>
        <w:tc>
          <w:tcPr>
            <w:tcW w:w="5103" w:type="dxa"/>
          </w:tcPr>
          <w:p w14:paraId="36EBB8D0" w14:textId="50B44934" w:rsidR="00D17B3D" w:rsidRPr="00D17B3D" w:rsidRDefault="00D17B3D" w:rsidP="00CF7B59">
            <w:pPr>
              <w:rPr>
                <w:sz w:val="20"/>
                <w:szCs w:val="20"/>
              </w:rPr>
            </w:pPr>
            <w:r>
              <w:rPr>
                <w:sz w:val="20"/>
                <w:szCs w:val="20"/>
              </w:rPr>
              <w:t>Data Availability section</w:t>
            </w:r>
          </w:p>
        </w:tc>
        <w:tc>
          <w:tcPr>
            <w:tcW w:w="799" w:type="dxa"/>
          </w:tcPr>
          <w:p w14:paraId="0C1DE100" w14:textId="77777777" w:rsidR="00D17B3D" w:rsidRPr="00D17B3D" w:rsidRDefault="00D17B3D" w:rsidP="00CF7B59">
            <w:pPr>
              <w:rPr>
                <w:sz w:val="20"/>
                <w:szCs w:val="20"/>
              </w:rPr>
            </w:pPr>
          </w:p>
        </w:tc>
      </w:tr>
      <w:tr w:rsidR="00D17B3D" w:rsidRPr="00D17B3D" w14:paraId="46BF65DB" w14:textId="77777777" w:rsidTr="00D17B3D">
        <w:tc>
          <w:tcPr>
            <w:tcW w:w="3114" w:type="dxa"/>
          </w:tcPr>
          <w:p w14:paraId="5E9CBBBA" w14:textId="3E57C9B6" w:rsidR="00D17B3D" w:rsidRPr="00D17B3D" w:rsidRDefault="00D17B3D" w:rsidP="00CF7B59">
            <w:pPr>
              <w:rPr>
                <w:b/>
                <w:bCs/>
                <w:sz w:val="20"/>
                <w:szCs w:val="20"/>
              </w:rPr>
            </w:pPr>
            <w:r w:rsidRPr="00D17B3D">
              <w:rPr>
                <w:b/>
                <w:bCs/>
                <w:sz w:val="20"/>
                <w:szCs w:val="20"/>
              </w:rPr>
              <w:t>Antibodies</w:t>
            </w:r>
          </w:p>
        </w:tc>
        <w:tc>
          <w:tcPr>
            <w:tcW w:w="5103" w:type="dxa"/>
          </w:tcPr>
          <w:p w14:paraId="3DDABA8B" w14:textId="77777777" w:rsidR="00D17B3D" w:rsidRPr="00D17B3D" w:rsidRDefault="00D17B3D" w:rsidP="00CF7B59">
            <w:pPr>
              <w:rPr>
                <w:b/>
                <w:bCs/>
                <w:sz w:val="20"/>
                <w:szCs w:val="20"/>
              </w:rPr>
            </w:pPr>
            <w:r w:rsidRPr="00D17B3D">
              <w:rPr>
                <w:b/>
                <w:bCs/>
                <w:sz w:val="20"/>
                <w:szCs w:val="20"/>
              </w:rPr>
              <w:t>Indicate where provided: section/figure legend</w:t>
            </w:r>
          </w:p>
        </w:tc>
        <w:tc>
          <w:tcPr>
            <w:tcW w:w="799" w:type="dxa"/>
          </w:tcPr>
          <w:p w14:paraId="0B333686" w14:textId="77777777" w:rsidR="00D17B3D" w:rsidRPr="00D17B3D" w:rsidRDefault="00D17B3D" w:rsidP="00CF7B59">
            <w:pPr>
              <w:rPr>
                <w:b/>
                <w:bCs/>
                <w:sz w:val="20"/>
                <w:szCs w:val="20"/>
              </w:rPr>
            </w:pPr>
            <w:r>
              <w:rPr>
                <w:b/>
                <w:bCs/>
                <w:sz w:val="20"/>
                <w:szCs w:val="20"/>
              </w:rPr>
              <w:t>N/A</w:t>
            </w:r>
          </w:p>
        </w:tc>
      </w:tr>
      <w:tr w:rsidR="00D17B3D" w:rsidRPr="00D17B3D" w14:paraId="632D6FE0" w14:textId="77777777" w:rsidTr="00D17B3D">
        <w:tc>
          <w:tcPr>
            <w:tcW w:w="3114" w:type="dxa"/>
          </w:tcPr>
          <w:p w14:paraId="37B35EB9" w14:textId="5D02EAE1" w:rsidR="00D17B3D" w:rsidRPr="00D17B3D" w:rsidRDefault="00D17B3D" w:rsidP="00CF7B59">
            <w:pPr>
              <w:rPr>
                <w:sz w:val="20"/>
                <w:szCs w:val="20"/>
              </w:rPr>
            </w:pPr>
            <w:r w:rsidRPr="00D17B3D">
              <w:rPr>
                <w:sz w:val="20"/>
                <w:szCs w:val="20"/>
              </w:rPr>
              <w:t>For commercial reagents, provide supplier name, catalogue number and RRID, if available.</w:t>
            </w:r>
          </w:p>
        </w:tc>
        <w:tc>
          <w:tcPr>
            <w:tcW w:w="5103" w:type="dxa"/>
          </w:tcPr>
          <w:p w14:paraId="7745A2B7" w14:textId="1B74B07F" w:rsidR="00D17B3D" w:rsidRPr="00D17B3D" w:rsidRDefault="00D17B3D" w:rsidP="00CF7B59">
            <w:pPr>
              <w:rPr>
                <w:sz w:val="20"/>
                <w:szCs w:val="20"/>
              </w:rPr>
            </w:pPr>
          </w:p>
        </w:tc>
        <w:tc>
          <w:tcPr>
            <w:tcW w:w="799" w:type="dxa"/>
          </w:tcPr>
          <w:p w14:paraId="45803992" w14:textId="4A6E75CF" w:rsidR="00D17B3D" w:rsidRPr="00D17B3D" w:rsidRDefault="00D17B3D" w:rsidP="00CF7B59">
            <w:pPr>
              <w:rPr>
                <w:sz w:val="20"/>
                <w:szCs w:val="20"/>
              </w:rPr>
            </w:pPr>
            <w:r>
              <w:rPr>
                <w:sz w:val="20"/>
                <w:szCs w:val="20"/>
              </w:rPr>
              <w:t>N/A</w:t>
            </w:r>
          </w:p>
        </w:tc>
      </w:tr>
      <w:tr w:rsidR="00D17B3D" w:rsidRPr="00D17B3D" w14:paraId="18383C54" w14:textId="77777777" w:rsidTr="00D17B3D">
        <w:tc>
          <w:tcPr>
            <w:tcW w:w="3114" w:type="dxa"/>
          </w:tcPr>
          <w:p w14:paraId="7F4190D8" w14:textId="17B7CEBB" w:rsidR="00D17B3D" w:rsidRPr="00D17B3D" w:rsidRDefault="00D17B3D" w:rsidP="00D17B3D">
            <w:pPr>
              <w:rPr>
                <w:sz w:val="20"/>
                <w:szCs w:val="20"/>
              </w:rPr>
            </w:pPr>
            <w:r w:rsidRPr="00D17B3D">
              <w:rPr>
                <w:b/>
                <w:bCs/>
                <w:sz w:val="20"/>
                <w:szCs w:val="20"/>
              </w:rPr>
              <w:t>DNA and RNA sequences</w:t>
            </w:r>
          </w:p>
        </w:tc>
        <w:tc>
          <w:tcPr>
            <w:tcW w:w="5103" w:type="dxa"/>
          </w:tcPr>
          <w:p w14:paraId="115EB26C" w14:textId="67FB6240" w:rsidR="00D17B3D" w:rsidRPr="00D17B3D" w:rsidRDefault="00D17B3D" w:rsidP="00D17B3D">
            <w:pPr>
              <w:rPr>
                <w:sz w:val="20"/>
                <w:szCs w:val="20"/>
              </w:rPr>
            </w:pPr>
            <w:r w:rsidRPr="00D17B3D">
              <w:rPr>
                <w:b/>
                <w:bCs/>
                <w:sz w:val="20"/>
                <w:szCs w:val="20"/>
              </w:rPr>
              <w:t>Indicate where provided: section/figure legend</w:t>
            </w:r>
          </w:p>
        </w:tc>
        <w:tc>
          <w:tcPr>
            <w:tcW w:w="799" w:type="dxa"/>
          </w:tcPr>
          <w:p w14:paraId="78EF87C3" w14:textId="31F51821" w:rsidR="00D17B3D" w:rsidRPr="00D17B3D" w:rsidRDefault="00D17B3D" w:rsidP="00D17B3D">
            <w:pPr>
              <w:rPr>
                <w:sz w:val="20"/>
                <w:szCs w:val="20"/>
              </w:rPr>
            </w:pPr>
            <w:r>
              <w:rPr>
                <w:b/>
                <w:bCs/>
                <w:sz w:val="20"/>
                <w:szCs w:val="20"/>
              </w:rPr>
              <w:t>N/A</w:t>
            </w:r>
          </w:p>
        </w:tc>
      </w:tr>
      <w:tr w:rsidR="00D17B3D" w:rsidRPr="00D17B3D" w14:paraId="509DB7E9" w14:textId="77777777" w:rsidTr="00D17B3D">
        <w:tc>
          <w:tcPr>
            <w:tcW w:w="3114" w:type="dxa"/>
          </w:tcPr>
          <w:p w14:paraId="188AFFAF" w14:textId="10BA2C31" w:rsidR="00D17B3D" w:rsidRPr="00D17B3D" w:rsidRDefault="00D17B3D" w:rsidP="00D17B3D">
            <w:pPr>
              <w:rPr>
                <w:sz w:val="20"/>
                <w:szCs w:val="20"/>
              </w:rPr>
            </w:pPr>
            <w:r w:rsidRPr="00D17B3D">
              <w:rPr>
                <w:sz w:val="20"/>
                <w:szCs w:val="20"/>
              </w:rPr>
              <w:t>Short novel DNA or RNA including primers, probes: Sequences should be included or deposited in a public repository.</w:t>
            </w:r>
          </w:p>
        </w:tc>
        <w:tc>
          <w:tcPr>
            <w:tcW w:w="5103" w:type="dxa"/>
          </w:tcPr>
          <w:p w14:paraId="277F9705" w14:textId="77777777" w:rsidR="00D17B3D" w:rsidRPr="00D17B3D" w:rsidRDefault="00D17B3D" w:rsidP="00D17B3D">
            <w:pPr>
              <w:rPr>
                <w:b/>
                <w:bCs/>
                <w:sz w:val="20"/>
                <w:szCs w:val="20"/>
              </w:rPr>
            </w:pPr>
          </w:p>
        </w:tc>
        <w:tc>
          <w:tcPr>
            <w:tcW w:w="799" w:type="dxa"/>
          </w:tcPr>
          <w:p w14:paraId="64D1685E" w14:textId="458B1D27" w:rsidR="00D17B3D" w:rsidRDefault="00694F46" w:rsidP="00D17B3D">
            <w:pPr>
              <w:rPr>
                <w:b/>
                <w:bCs/>
                <w:sz w:val="20"/>
                <w:szCs w:val="20"/>
              </w:rPr>
            </w:pPr>
            <w:r>
              <w:rPr>
                <w:sz w:val="20"/>
                <w:szCs w:val="20"/>
              </w:rPr>
              <w:t>N/A</w:t>
            </w:r>
          </w:p>
        </w:tc>
      </w:tr>
      <w:tr w:rsidR="00D17B3D" w:rsidRPr="00D17B3D" w14:paraId="28A16CA1" w14:textId="77777777" w:rsidTr="00D17B3D">
        <w:tc>
          <w:tcPr>
            <w:tcW w:w="3114" w:type="dxa"/>
          </w:tcPr>
          <w:p w14:paraId="472296BC" w14:textId="415A4DA4" w:rsidR="00D17B3D" w:rsidRPr="00D17B3D" w:rsidRDefault="00D17B3D" w:rsidP="00D17B3D">
            <w:pPr>
              <w:rPr>
                <w:b/>
                <w:bCs/>
                <w:sz w:val="20"/>
                <w:szCs w:val="20"/>
              </w:rPr>
            </w:pPr>
            <w:r w:rsidRPr="00D17B3D">
              <w:rPr>
                <w:b/>
                <w:bCs/>
                <w:sz w:val="20"/>
                <w:szCs w:val="20"/>
              </w:rPr>
              <w:t>Cell materials</w:t>
            </w:r>
          </w:p>
        </w:tc>
        <w:tc>
          <w:tcPr>
            <w:tcW w:w="5103" w:type="dxa"/>
          </w:tcPr>
          <w:p w14:paraId="14FD8F9A" w14:textId="5207AA49" w:rsidR="00D17B3D" w:rsidRPr="00D17B3D" w:rsidRDefault="00D17B3D" w:rsidP="00D17B3D">
            <w:pPr>
              <w:rPr>
                <w:b/>
                <w:bCs/>
                <w:sz w:val="20"/>
                <w:szCs w:val="20"/>
              </w:rPr>
            </w:pPr>
            <w:r w:rsidRPr="00D17B3D">
              <w:rPr>
                <w:b/>
                <w:bCs/>
                <w:sz w:val="20"/>
                <w:szCs w:val="20"/>
              </w:rPr>
              <w:t>Indicate where provided: section/figure legend</w:t>
            </w:r>
          </w:p>
        </w:tc>
        <w:tc>
          <w:tcPr>
            <w:tcW w:w="799" w:type="dxa"/>
          </w:tcPr>
          <w:p w14:paraId="5E7AD099" w14:textId="0B1C888A" w:rsidR="00D17B3D" w:rsidRDefault="00D17B3D" w:rsidP="00D17B3D">
            <w:pPr>
              <w:rPr>
                <w:b/>
                <w:bCs/>
                <w:sz w:val="20"/>
                <w:szCs w:val="20"/>
              </w:rPr>
            </w:pPr>
            <w:r>
              <w:rPr>
                <w:b/>
                <w:bCs/>
                <w:sz w:val="20"/>
                <w:szCs w:val="20"/>
              </w:rPr>
              <w:t>N/A</w:t>
            </w:r>
          </w:p>
        </w:tc>
      </w:tr>
      <w:tr w:rsidR="00D17B3D" w:rsidRPr="00D17B3D" w14:paraId="0878A207" w14:textId="77777777" w:rsidTr="00D17B3D">
        <w:tc>
          <w:tcPr>
            <w:tcW w:w="3114" w:type="dxa"/>
          </w:tcPr>
          <w:p w14:paraId="369101FD" w14:textId="2CC1F40F" w:rsidR="00D17B3D" w:rsidRPr="00D17B3D" w:rsidRDefault="00D17B3D" w:rsidP="00D17B3D">
            <w:pPr>
              <w:rPr>
                <w:sz w:val="20"/>
                <w:szCs w:val="20"/>
              </w:rPr>
            </w:pPr>
            <w:r w:rsidRPr="00D17B3D">
              <w:rPr>
                <w:sz w:val="20"/>
                <w:szCs w:val="20"/>
              </w:rPr>
              <w:t xml:space="preserve">Cell lines: Provide species information, strain. Provide accession number in repository OR supplier name, </w:t>
            </w:r>
            <w:proofErr w:type="spellStart"/>
            <w:r w:rsidRPr="00D17B3D">
              <w:rPr>
                <w:sz w:val="20"/>
                <w:szCs w:val="20"/>
              </w:rPr>
              <w:t>catalog</w:t>
            </w:r>
            <w:proofErr w:type="spellEnd"/>
            <w:r w:rsidRPr="00D17B3D">
              <w:rPr>
                <w:sz w:val="20"/>
                <w:szCs w:val="20"/>
              </w:rPr>
              <w:t xml:space="preserve"> number, clone number, OR RRID.</w:t>
            </w:r>
          </w:p>
        </w:tc>
        <w:tc>
          <w:tcPr>
            <w:tcW w:w="5103" w:type="dxa"/>
          </w:tcPr>
          <w:p w14:paraId="740621F2" w14:textId="77777777" w:rsidR="00D17B3D" w:rsidRPr="00D17B3D" w:rsidRDefault="00D17B3D" w:rsidP="00D17B3D">
            <w:pPr>
              <w:rPr>
                <w:b/>
                <w:bCs/>
                <w:sz w:val="20"/>
                <w:szCs w:val="20"/>
              </w:rPr>
            </w:pPr>
          </w:p>
        </w:tc>
        <w:tc>
          <w:tcPr>
            <w:tcW w:w="799" w:type="dxa"/>
          </w:tcPr>
          <w:p w14:paraId="2A51355B" w14:textId="04EA4CEB" w:rsidR="00D17B3D" w:rsidRDefault="00694F46" w:rsidP="00D17B3D">
            <w:pPr>
              <w:rPr>
                <w:b/>
                <w:bCs/>
                <w:sz w:val="20"/>
                <w:szCs w:val="20"/>
              </w:rPr>
            </w:pPr>
            <w:r>
              <w:rPr>
                <w:sz w:val="20"/>
                <w:szCs w:val="20"/>
              </w:rPr>
              <w:t>N/A</w:t>
            </w:r>
          </w:p>
        </w:tc>
      </w:tr>
      <w:tr w:rsidR="00D17B3D" w:rsidRPr="00D17B3D" w14:paraId="68BD8D63" w14:textId="77777777" w:rsidTr="00D17B3D">
        <w:tc>
          <w:tcPr>
            <w:tcW w:w="3114" w:type="dxa"/>
          </w:tcPr>
          <w:p w14:paraId="020710C5" w14:textId="79B115E4" w:rsidR="00D17B3D" w:rsidRPr="00D17B3D" w:rsidRDefault="00D17B3D" w:rsidP="00D17B3D">
            <w:pPr>
              <w:rPr>
                <w:sz w:val="20"/>
                <w:szCs w:val="20"/>
              </w:rPr>
            </w:pPr>
            <w:r w:rsidRPr="00D17B3D">
              <w:rPr>
                <w:sz w:val="20"/>
                <w:szCs w:val="20"/>
              </w:rPr>
              <w:t>Primary cultures: Provide species, strain, sex of origin, genetic modification status.</w:t>
            </w:r>
          </w:p>
        </w:tc>
        <w:tc>
          <w:tcPr>
            <w:tcW w:w="5103" w:type="dxa"/>
          </w:tcPr>
          <w:p w14:paraId="641B0871" w14:textId="77777777" w:rsidR="00D17B3D" w:rsidRPr="00D17B3D" w:rsidRDefault="00D17B3D" w:rsidP="00D17B3D">
            <w:pPr>
              <w:rPr>
                <w:b/>
                <w:bCs/>
                <w:sz w:val="20"/>
                <w:szCs w:val="20"/>
              </w:rPr>
            </w:pPr>
          </w:p>
        </w:tc>
        <w:tc>
          <w:tcPr>
            <w:tcW w:w="799" w:type="dxa"/>
          </w:tcPr>
          <w:p w14:paraId="7C1FBDB4" w14:textId="2B958E7E" w:rsidR="00D17B3D" w:rsidRDefault="00694F46" w:rsidP="00D17B3D">
            <w:pPr>
              <w:rPr>
                <w:b/>
                <w:bCs/>
                <w:sz w:val="20"/>
                <w:szCs w:val="20"/>
              </w:rPr>
            </w:pPr>
            <w:r>
              <w:rPr>
                <w:sz w:val="20"/>
                <w:szCs w:val="20"/>
              </w:rPr>
              <w:t>N/A</w:t>
            </w:r>
          </w:p>
        </w:tc>
      </w:tr>
      <w:tr w:rsidR="00D17B3D" w:rsidRPr="00D17B3D" w14:paraId="04AA73E2" w14:textId="77777777" w:rsidTr="00D17B3D">
        <w:tc>
          <w:tcPr>
            <w:tcW w:w="3114" w:type="dxa"/>
          </w:tcPr>
          <w:p w14:paraId="3D55EC35" w14:textId="2FEE4791" w:rsidR="00D17B3D" w:rsidRPr="00D17B3D" w:rsidRDefault="00D17B3D" w:rsidP="00D17B3D">
            <w:pPr>
              <w:rPr>
                <w:b/>
                <w:bCs/>
                <w:sz w:val="20"/>
                <w:szCs w:val="20"/>
              </w:rPr>
            </w:pPr>
            <w:r>
              <w:rPr>
                <w:b/>
                <w:bCs/>
                <w:sz w:val="20"/>
                <w:szCs w:val="20"/>
              </w:rPr>
              <w:t>Experimental animals</w:t>
            </w:r>
          </w:p>
        </w:tc>
        <w:tc>
          <w:tcPr>
            <w:tcW w:w="5103" w:type="dxa"/>
          </w:tcPr>
          <w:p w14:paraId="245371BE" w14:textId="0F72E80E" w:rsidR="00D17B3D" w:rsidRPr="00D17B3D" w:rsidRDefault="00D17B3D" w:rsidP="00D17B3D">
            <w:pPr>
              <w:rPr>
                <w:b/>
                <w:bCs/>
                <w:sz w:val="20"/>
                <w:szCs w:val="20"/>
              </w:rPr>
            </w:pPr>
            <w:r w:rsidRPr="00D17B3D">
              <w:rPr>
                <w:b/>
                <w:bCs/>
                <w:sz w:val="20"/>
                <w:szCs w:val="20"/>
              </w:rPr>
              <w:t>Indicate where provided: section/figure legend</w:t>
            </w:r>
          </w:p>
        </w:tc>
        <w:tc>
          <w:tcPr>
            <w:tcW w:w="799" w:type="dxa"/>
          </w:tcPr>
          <w:p w14:paraId="303F3A40" w14:textId="463D24AC" w:rsidR="00D17B3D" w:rsidRDefault="00D17B3D" w:rsidP="00D17B3D">
            <w:pPr>
              <w:rPr>
                <w:b/>
                <w:bCs/>
                <w:sz w:val="20"/>
                <w:szCs w:val="20"/>
              </w:rPr>
            </w:pPr>
            <w:r>
              <w:rPr>
                <w:b/>
                <w:bCs/>
                <w:sz w:val="20"/>
                <w:szCs w:val="20"/>
              </w:rPr>
              <w:t>N/A</w:t>
            </w:r>
          </w:p>
        </w:tc>
      </w:tr>
      <w:tr w:rsidR="00D17B3D" w:rsidRPr="00D17B3D" w14:paraId="4999E0D9" w14:textId="77777777" w:rsidTr="00D17B3D">
        <w:tc>
          <w:tcPr>
            <w:tcW w:w="3114" w:type="dxa"/>
          </w:tcPr>
          <w:p w14:paraId="67F234AA" w14:textId="311E1155" w:rsidR="00D17B3D" w:rsidRPr="00D17B3D" w:rsidRDefault="00D17B3D" w:rsidP="00D17B3D">
            <w:pPr>
              <w:rPr>
                <w:sz w:val="20"/>
                <w:szCs w:val="20"/>
              </w:rPr>
            </w:pPr>
            <w:r w:rsidRPr="00D17B3D">
              <w:rPr>
                <w:sz w:val="20"/>
                <w:szCs w:val="20"/>
              </w:rPr>
              <w:t xml:space="preserve">Laboratory animals or Model organisms: Provide species, strain, sex, age, genetic modification status. Provide accession number in repository OR supplier name, </w:t>
            </w:r>
            <w:proofErr w:type="spellStart"/>
            <w:r w:rsidRPr="00D17B3D">
              <w:rPr>
                <w:sz w:val="20"/>
                <w:szCs w:val="20"/>
              </w:rPr>
              <w:t>catalog</w:t>
            </w:r>
            <w:proofErr w:type="spellEnd"/>
            <w:r w:rsidRPr="00D17B3D">
              <w:rPr>
                <w:sz w:val="20"/>
                <w:szCs w:val="20"/>
              </w:rPr>
              <w:t xml:space="preserve"> number, clone number, OR RRID.</w:t>
            </w:r>
          </w:p>
        </w:tc>
        <w:tc>
          <w:tcPr>
            <w:tcW w:w="5103" w:type="dxa"/>
          </w:tcPr>
          <w:p w14:paraId="51DB3A71" w14:textId="77777777" w:rsidR="00D17B3D" w:rsidRPr="00D17B3D" w:rsidRDefault="00D17B3D" w:rsidP="00D17B3D">
            <w:pPr>
              <w:rPr>
                <w:b/>
                <w:bCs/>
                <w:sz w:val="20"/>
                <w:szCs w:val="20"/>
              </w:rPr>
            </w:pPr>
          </w:p>
        </w:tc>
        <w:tc>
          <w:tcPr>
            <w:tcW w:w="799" w:type="dxa"/>
          </w:tcPr>
          <w:p w14:paraId="625DF556" w14:textId="23883751" w:rsidR="00D17B3D" w:rsidRDefault="00694F46" w:rsidP="00D17B3D">
            <w:pPr>
              <w:rPr>
                <w:b/>
                <w:bCs/>
                <w:sz w:val="20"/>
                <w:szCs w:val="20"/>
              </w:rPr>
            </w:pPr>
            <w:r>
              <w:rPr>
                <w:sz w:val="20"/>
                <w:szCs w:val="20"/>
              </w:rPr>
              <w:t>N/A</w:t>
            </w:r>
          </w:p>
        </w:tc>
      </w:tr>
      <w:tr w:rsidR="00D17B3D" w:rsidRPr="00D17B3D" w14:paraId="658E34A2" w14:textId="77777777" w:rsidTr="00D17B3D">
        <w:tc>
          <w:tcPr>
            <w:tcW w:w="3114" w:type="dxa"/>
          </w:tcPr>
          <w:p w14:paraId="78911E52" w14:textId="66FF6B5E" w:rsidR="00D17B3D" w:rsidRPr="00D17B3D" w:rsidRDefault="00D17B3D" w:rsidP="00D17B3D">
            <w:pPr>
              <w:rPr>
                <w:sz w:val="20"/>
                <w:szCs w:val="20"/>
              </w:rPr>
            </w:pPr>
            <w:r w:rsidRPr="00D17B3D">
              <w:rPr>
                <w:sz w:val="20"/>
                <w:szCs w:val="20"/>
              </w:rPr>
              <w:t>Animal observed in or captured from the field: Provide species, sex, and age where possible.</w:t>
            </w:r>
          </w:p>
        </w:tc>
        <w:tc>
          <w:tcPr>
            <w:tcW w:w="5103" w:type="dxa"/>
          </w:tcPr>
          <w:p w14:paraId="72451EAE" w14:textId="77777777" w:rsidR="00D17B3D" w:rsidRPr="00D17B3D" w:rsidRDefault="00D17B3D" w:rsidP="00D17B3D">
            <w:pPr>
              <w:rPr>
                <w:b/>
                <w:bCs/>
                <w:sz w:val="20"/>
                <w:szCs w:val="20"/>
              </w:rPr>
            </w:pPr>
          </w:p>
        </w:tc>
        <w:tc>
          <w:tcPr>
            <w:tcW w:w="799" w:type="dxa"/>
          </w:tcPr>
          <w:p w14:paraId="60B6F2D1" w14:textId="3BBED31A" w:rsidR="00D17B3D" w:rsidRDefault="00694F46" w:rsidP="00D17B3D">
            <w:pPr>
              <w:rPr>
                <w:b/>
                <w:bCs/>
                <w:sz w:val="20"/>
                <w:szCs w:val="20"/>
              </w:rPr>
            </w:pPr>
            <w:r>
              <w:rPr>
                <w:sz w:val="20"/>
                <w:szCs w:val="20"/>
              </w:rPr>
              <w:t>N/A</w:t>
            </w:r>
          </w:p>
        </w:tc>
      </w:tr>
      <w:tr w:rsidR="00D17B3D" w:rsidRPr="00D17B3D" w14:paraId="7777DC19" w14:textId="77777777" w:rsidTr="00D17B3D">
        <w:tc>
          <w:tcPr>
            <w:tcW w:w="3114" w:type="dxa"/>
          </w:tcPr>
          <w:p w14:paraId="77D19893" w14:textId="502E8DDC" w:rsidR="00D17B3D" w:rsidRPr="00D17B3D" w:rsidRDefault="00D17B3D" w:rsidP="00D17B3D">
            <w:pPr>
              <w:rPr>
                <w:b/>
                <w:bCs/>
                <w:sz w:val="20"/>
                <w:szCs w:val="20"/>
              </w:rPr>
            </w:pPr>
            <w:r w:rsidRPr="00D17B3D">
              <w:rPr>
                <w:b/>
                <w:bCs/>
                <w:sz w:val="20"/>
                <w:szCs w:val="20"/>
              </w:rPr>
              <w:t>Plants and microbes</w:t>
            </w:r>
          </w:p>
        </w:tc>
        <w:tc>
          <w:tcPr>
            <w:tcW w:w="5103" w:type="dxa"/>
          </w:tcPr>
          <w:p w14:paraId="3ED72874" w14:textId="27965E98" w:rsidR="00D17B3D" w:rsidRPr="00D17B3D" w:rsidRDefault="00D17B3D" w:rsidP="00D17B3D">
            <w:pPr>
              <w:rPr>
                <w:b/>
                <w:bCs/>
                <w:sz w:val="20"/>
                <w:szCs w:val="20"/>
              </w:rPr>
            </w:pPr>
            <w:r w:rsidRPr="00D17B3D">
              <w:rPr>
                <w:b/>
                <w:bCs/>
                <w:sz w:val="20"/>
                <w:szCs w:val="20"/>
              </w:rPr>
              <w:t>Indicate where provided: section/figure legend</w:t>
            </w:r>
          </w:p>
        </w:tc>
        <w:tc>
          <w:tcPr>
            <w:tcW w:w="799" w:type="dxa"/>
          </w:tcPr>
          <w:p w14:paraId="5F37B717" w14:textId="4EB7AB09" w:rsidR="00D17B3D" w:rsidRDefault="00D17B3D" w:rsidP="00D17B3D">
            <w:pPr>
              <w:rPr>
                <w:b/>
                <w:bCs/>
                <w:sz w:val="20"/>
                <w:szCs w:val="20"/>
              </w:rPr>
            </w:pPr>
            <w:r>
              <w:rPr>
                <w:b/>
                <w:bCs/>
                <w:sz w:val="20"/>
                <w:szCs w:val="20"/>
              </w:rPr>
              <w:t>N/A</w:t>
            </w:r>
          </w:p>
        </w:tc>
      </w:tr>
      <w:tr w:rsidR="00D17B3D" w:rsidRPr="00D17B3D" w14:paraId="51AE38B6" w14:textId="77777777" w:rsidTr="00D17B3D">
        <w:tc>
          <w:tcPr>
            <w:tcW w:w="3114" w:type="dxa"/>
          </w:tcPr>
          <w:p w14:paraId="77DD16CF" w14:textId="5E6AFD3C" w:rsidR="00D17B3D" w:rsidRPr="00D17B3D" w:rsidRDefault="00D17B3D" w:rsidP="00D17B3D">
            <w:pPr>
              <w:rPr>
                <w:sz w:val="20"/>
                <w:szCs w:val="20"/>
              </w:rPr>
            </w:pPr>
            <w:r w:rsidRPr="00D17B3D">
              <w:rPr>
                <w:sz w:val="20"/>
                <w:szCs w:val="20"/>
              </w:rPr>
              <w:t>Plants: provide species and strain, ecotype and cultivar where relevant, unique accession number if available, and source (including location for collected wild specimens).</w:t>
            </w:r>
          </w:p>
        </w:tc>
        <w:tc>
          <w:tcPr>
            <w:tcW w:w="5103" w:type="dxa"/>
          </w:tcPr>
          <w:p w14:paraId="77C0ECC5" w14:textId="77777777" w:rsidR="00D17B3D" w:rsidRPr="00D17B3D" w:rsidRDefault="00D17B3D" w:rsidP="00D17B3D">
            <w:pPr>
              <w:rPr>
                <w:b/>
                <w:bCs/>
                <w:sz w:val="20"/>
                <w:szCs w:val="20"/>
              </w:rPr>
            </w:pPr>
          </w:p>
        </w:tc>
        <w:tc>
          <w:tcPr>
            <w:tcW w:w="799" w:type="dxa"/>
          </w:tcPr>
          <w:p w14:paraId="3F483F39" w14:textId="22B55A86" w:rsidR="00D17B3D" w:rsidRDefault="00694F46" w:rsidP="00D17B3D">
            <w:pPr>
              <w:rPr>
                <w:b/>
                <w:bCs/>
                <w:sz w:val="20"/>
                <w:szCs w:val="20"/>
              </w:rPr>
            </w:pPr>
            <w:r>
              <w:rPr>
                <w:sz w:val="20"/>
                <w:szCs w:val="20"/>
              </w:rPr>
              <w:t>N/A</w:t>
            </w:r>
          </w:p>
        </w:tc>
      </w:tr>
      <w:tr w:rsidR="00D17B3D" w:rsidRPr="00D17B3D" w14:paraId="1724213E" w14:textId="77777777" w:rsidTr="00D17B3D">
        <w:tc>
          <w:tcPr>
            <w:tcW w:w="3114" w:type="dxa"/>
          </w:tcPr>
          <w:p w14:paraId="7D708DDC" w14:textId="22ED115C" w:rsidR="00D17B3D" w:rsidRPr="00D17B3D" w:rsidRDefault="00D17B3D" w:rsidP="00D17B3D">
            <w:pPr>
              <w:rPr>
                <w:sz w:val="20"/>
                <w:szCs w:val="20"/>
              </w:rPr>
            </w:pPr>
            <w:r w:rsidRPr="00D17B3D">
              <w:rPr>
                <w:sz w:val="20"/>
                <w:szCs w:val="20"/>
              </w:rPr>
              <w:t>Microbes: provide species and strain, unique accession number if available, and source.</w:t>
            </w:r>
          </w:p>
        </w:tc>
        <w:tc>
          <w:tcPr>
            <w:tcW w:w="5103" w:type="dxa"/>
          </w:tcPr>
          <w:p w14:paraId="61FF2489" w14:textId="77777777" w:rsidR="00D17B3D" w:rsidRPr="00D17B3D" w:rsidRDefault="00D17B3D" w:rsidP="00D17B3D">
            <w:pPr>
              <w:rPr>
                <w:b/>
                <w:bCs/>
                <w:sz w:val="20"/>
                <w:szCs w:val="20"/>
              </w:rPr>
            </w:pPr>
          </w:p>
        </w:tc>
        <w:tc>
          <w:tcPr>
            <w:tcW w:w="799" w:type="dxa"/>
          </w:tcPr>
          <w:p w14:paraId="1429801A" w14:textId="225E847F" w:rsidR="00D17B3D" w:rsidRDefault="00694F46" w:rsidP="00D17B3D">
            <w:pPr>
              <w:rPr>
                <w:b/>
                <w:bCs/>
                <w:sz w:val="20"/>
                <w:szCs w:val="20"/>
              </w:rPr>
            </w:pPr>
            <w:r>
              <w:rPr>
                <w:sz w:val="20"/>
                <w:szCs w:val="20"/>
              </w:rPr>
              <w:t>N/A</w:t>
            </w:r>
          </w:p>
        </w:tc>
      </w:tr>
      <w:tr w:rsidR="00D17B3D" w:rsidRPr="00D17B3D" w14:paraId="7FC92185" w14:textId="77777777" w:rsidTr="00D17B3D">
        <w:tc>
          <w:tcPr>
            <w:tcW w:w="3114" w:type="dxa"/>
          </w:tcPr>
          <w:p w14:paraId="257F7916" w14:textId="28F9D8BE" w:rsidR="00D17B3D" w:rsidRPr="00D17B3D" w:rsidRDefault="00D17B3D" w:rsidP="00D17B3D">
            <w:pPr>
              <w:rPr>
                <w:b/>
                <w:bCs/>
                <w:sz w:val="20"/>
                <w:szCs w:val="20"/>
              </w:rPr>
            </w:pPr>
            <w:r w:rsidRPr="00D17B3D">
              <w:rPr>
                <w:b/>
                <w:bCs/>
                <w:sz w:val="20"/>
                <w:szCs w:val="20"/>
              </w:rPr>
              <w:t>Human research participants</w:t>
            </w:r>
          </w:p>
        </w:tc>
        <w:tc>
          <w:tcPr>
            <w:tcW w:w="5103" w:type="dxa"/>
          </w:tcPr>
          <w:p w14:paraId="265501E2" w14:textId="4D0E28F2" w:rsidR="00D17B3D" w:rsidRPr="00D17B3D" w:rsidRDefault="00D17B3D" w:rsidP="00D17B3D">
            <w:pPr>
              <w:rPr>
                <w:b/>
                <w:bCs/>
                <w:sz w:val="20"/>
                <w:szCs w:val="20"/>
              </w:rPr>
            </w:pPr>
            <w:r w:rsidRPr="00D17B3D">
              <w:rPr>
                <w:b/>
                <w:bCs/>
                <w:sz w:val="20"/>
                <w:szCs w:val="20"/>
              </w:rPr>
              <w:t>Indicate where provided: section/figure legend</w:t>
            </w:r>
          </w:p>
        </w:tc>
        <w:tc>
          <w:tcPr>
            <w:tcW w:w="799" w:type="dxa"/>
          </w:tcPr>
          <w:p w14:paraId="2635FA1E" w14:textId="3345992B" w:rsidR="00D17B3D" w:rsidRDefault="00D17B3D" w:rsidP="00D17B3D">
            <w:pPr>
              <w:rPr>
                <w:b/>
                <w:bCs/>
                <w:sz w:val="20"/>
                <w:szCs w:val="20"/>
              </w:rPr>
            </w:pPr>
            <w:r>
              <w:rPr>
                <w:b/>
                <w:bCs/>
                <w:sz w:val="20"/>
                <w:szCs w:val="20"/>
              </w:rPr>
              <w:t>N/A</w:t>
            </w:r>
          </w:p>
        </w:tc>
      </w:tr>
      <w:tr w:rsidR="00D17B3D" w:rsidRPr="00D17B3D" w14:paraId="1403DA29" w14:textId="77777777" w:rsidTr="00D17B3D">
        <w:tc>
          <w:tcPr>
            <w:tcW w:w="3114" w:type="dxa"/>
          </w:tcPr>
          <w:p w14:paraId="58F3F246" w14:textId="6A73A24D" w:rsidR="00D17B3D" w:rsidRPr="00D17B3D" w:rsidRDefault="00D17B3D" w:rsidP="00D17B3D">
            <w:pPr>
              <w:rPr>
                <w:sz w:val="20"/>
                <w:szCs w:val="20"/>
              </w:rPr>
            </w:pPr>
            <w:r w:rsidRPr="00D17B3D">
              <w:rPr>
                <w:sz w:val="20"/>
                <w:szCs w:val="20"/>
              </w:rPr>
              <w:t>If collected and within the bounds of privacy constraints report on age, sex, gender and ethnicity for all study participants</w:t>
            </w:r>
          </w:p>
        </w:tc>
        <w:tc>
          <w:tcPr>
            <w:tcW w:w="5103" w:type="dxa"/>
          </w:tcPr>
          <w:p w14:paraId="2852D274" w14:textId="08F016E0" w:rsidR="00694F46" w:rsidRPr="00135BA2" w:rsidRDefault="00694F46" w:rsidP="00135BA2">
            <w:pPr>
              <w:jc w:val="both"/>
              <w:rPr>
                <w:sz w:val="20"/>
                <w:szCs w:val="20"/>
              </w:rPr>
            </w:pPr>
            <w:r w:rsidRPr="00135BA2">
              <w:rPr>
                <w:sz w:val="20"/>
                <w:szCs w:val="20"/>
              </w:rPr>
              <w:t>Methods section; subsections “Anaesthesia Data: Recruitment” and “Disorders of Consciousness Patient Data: Recruitment”.</w:t>
            </w:r>
          </w:p>
          <w:p w14:paraId="0A7F9817" w14:textId="77777777" w:rsidR="00694F46" w:rsidRPr="00135BA2" w:rsidRDefault="00694F46" w:rsidP="00135BA2">
            <w:pPr>
              <w:jc w:val="both"/>
              <w:rPr>
                <w:sz w:val="20"/>
                <w:szCs w:val="20"/>
              </w:rPr>
            </w:pPr>
          </w:p>
          <w:p w14:paraId="315B6A1E" w14:textId="5652248F" w:rsidR="00694F46" w:rsidRPr="00135BA2" w:rsidRDefault="00694F46" w:rsidP="00135BA2">
            <w:pPr>
              <w:jc w:val="both"/>
              <w:rPr>
                <w:sz w:val="20"/>
                <w:szCs w:val="20"/>
              </w:rPr>
            </w:pPr>
            <w:r w:rsidRPr="00135BA2">
              <w:rPr>
                <w:sz w:val="20"/>
                <w:szCs w:val="20"/>
              </w:rPr>
              <w:t xml:space="preserve">Healthy volunteers (n=19) were recruited (18–40 years; 13 males). Volunteers were right-handed, native English speakers, and had no history of neurological disorders. In </w:t>
            </w:r>
            <w:r w:rsidRPr="00135BA2">
              <w:rPr>
                <w:sz w:val="20"/>
                <w:szCs w:val="20"/>
              </w:rPr>
              <w:lastRenderedPageBreak/>
              <w:t>accordance with relevant ethical guidelines, each volunteer provided written informed consent, and received monetary compensation for their time.</w:t>
            </w:r>
          </w:p>
          <w:p w14:paraId="531BB2FD" w14:textId="77777777" w:rsidR="00694F46" w:rsidRPr="00135BA2" w:rsidRDefault="00694F46" w:rsidP="00135BA2">
            <w:pPr>
              <w:jc w:val="both"/>
              <w:rPr>
                <w:sz w:val="20"/>
                <w:szCs w:val="20"/>
              </w:rPr>
            </w:pPr>
          </w:p>
          <w:p w14:paraId="05288246" w14:textId="5CB1C674" w:rsidR="00694F46" w:rsidRPr="00135BA2" w:rsidRDefault="00694F46" w:rsidP="00135BA2">
            <w:pPr>
              <w:jc w:val="both"/>
              <w:rPr>
                <w:sz w:val="20"/>
                <w:szCs w:val="20"/>
              </w:rPr>
            </w:pPr>
            <w:r w:rsidRPr="00135BA2">
              <w:rPr>
                <w:sz w:val="20"/>
                <w:szCs w:val="20"/>
              </w:rPr>
              <w:t>A total of 71 DOC patients were recruited from specialised long-term care centres from January 2010 to December 2015. Of the initial sample of 71 patients who had been recruited, a total of 22 adults (14 males; 17–70 years; mean time post injury: 13 months) meeting diagnostic criteria for Unresponsive Wakefulness Syndrome/Vegetative State or Minimally Conscious State due to brain injury were included in this study.</w:t>
            </w:r>
          </w:p>
          <w:p w14:paraId="21A23C67" w14:textId="0C6063F7" w:rsidR="00D17B3D" w:rsidRPr="00135BA2" w:rsidRDefault="00D17B3D" w:rsidP="00135BA2">
            <w:pPr>
              <w:jc w:val="both"/>
              <w:rPr>
                <w:sz w:val="20"/>
                <w:szCs w:val="20"/>
              </w:rPr>
            </w:pPr>
          </w:p>
        </w:tc>
        <w:tc>
          <w:tcPr>
            <w:tcW w:w="799" w:type="dxa"/>
          </w:tcPr>
          <w:p w14:paraId="67F3EE24" w14:textId="77777777" w:rsidR="00D17B3D" w:rsidRDefault="00D17B3D" w:rsidP="00D17B3D">
            <w:pPr>
              <w:rPr>
                <w:b/>
                <w:bCs/>
                <w:sz w:val="20"/>
                <w:szCs w:val="20"/>
              </w:rPr>
            </w:pPr>
          </w:p>
        </w:tc>
      </w:tr>
      <w:tr w:rsidR="00D17B3D" w:rsidRPr="00D17B3D" w14:paraId="0594FF27" w14:textId="77777777" w:rsidTr="00D17B3D">
        <w:tc>
          <w:tcPr>
            <w:tcW w:w="3114" w:type="dxa"/>
          </w:tcPr>
          <w:p w14:paraId="6E4D6DC2" w14:textId="2ACCFED2" w:rsidR="00D17B3D" w:rsidRPr="0023708B" w:rsidRDefault="0023708B" w:rsidP="00D17B3D">
            <w:pPr>
              <w:rPr>
                <w:b/>
                <w:bCs/>
                <w:sz w:val="20"/>
                <w:szCs w:val="20"/>
              </w:rPr>
            </w:pPr>
            <w:r w:rsidRPr="0023708B">
              <w:rPr>
                <w:b/>
                <w:bCs/>
                <w:sz w:val="20"/>
                <w:szCs w:val="20"/>
              </w:rPr>
              <w:t>Study protocol</w:t>
            </w:r>
          </w:p>
        </w:tc>
        <w:tc>
          <w:tcPr>
            <w:tcW w:w="5103" w:type="dxa"/>
          </w:tcPr>
          <w:p w14:paraId="2B789EB8" w14:textId="769F9BAC" w:rsidR="00D17B3D" w:rsidRPr="00D17B3D" w:rsidRDefault="00D17B3D" w:rsidP="00D17B3D">
            <w:pPr>
              <w:rPr>
                <w:b/>
                <w:bCs/>
                <w:sz w:val="20"/>
                <w:szCs w:val="20"/>
              </w:rPr>
            </w:pPr>
            <w:r w:rsidRPr="00D17B3D">
              <w:rPr>
                <w:b/>
                <w:bCs/>
                <w:sz w:val="20"/>
                <w:szCs w:val="20"/>
              </w:rPr>
              <w:t>Indicate where provided: section/figure legend</w:t>
            </w:r>
          </w:p>
        </w:tc>
        <w:tc>
          <w:tcPr>
            <w:tcW w:w="799" w:type="dxa"/>
          </w:tcPr>
          <w:p w14:paraId="4D6DBA68" w14:textId="642415FC" w:rsidR="00D17B3D" w:rsidRDefault="00D17B3D" w:rsidP="00D17B3D">
            <w:pPr>
              <w:rPr>
                <w:b/>
                <w:bCs/>
                <w:sz w:val="20"/>
                <w:szCs w:val="20"/>
              </w:rPr>
            </w:pPr>
            <w:r>
              <w:rPr>
                <w:b/>
                <w:bCs/>
                <w:sz w:val="20"/>
                <w:szCs w:val="20"/>
              </w:rPr>
              <w:t>N/A</w:t>
            </w:r>
          </w:p>
        </w:tc>
      </w:tr>
      <w:tr w:rsidR="00D17B3D" w:rsidRPr="00D17B3D" w14:paraId="663708E4" w14:textId="77777777" w:rsidTr="00D17B3D">
        <w:tc>
          <w:tcPr>
            <w:tcW w:w="3114" w:type="dxa"/>
          </w:tcPr>
          <w:p w14:paraId="12538124" w14:textId="32E66DB3" w:rsidR="00D17B3D" w:rsidRPr="00D17B3D" w:rsidRDefault="0023708B" w:rsidP="00D17B3D">
            <w:pPr>
              <w:rPr>
                <w:sz w:val="20"/>
                <w:szCs w:val="20"/>
              </w:rPr>
            </w:pPr>
            <w:r w:rsidRPr="0023708B">
              <w:rPr>
                <w:sz w:val="20"/>
                <w:szCs w:val="20"/>
              </w:rPr>
              <w:t>If the study protocol has been pre-registered, provide DOI. For clinical trials, provide the trial registration number OR cite DOI.</w:t>
            </w:r>
          </w:p>
        </w:tc>
        <w:tc>
          <w:tcPr>
            <w:tcW w:w="5103" w:type="dxa"/>
          </w:tcPr>
          <w:p w14:paraId="288E0BCF" w14:textId="77777777" w:rsidR="00D17B3D" w:rsidRPr="00D17B3D" w:rsidRDefault="00D17B3D" w:rsidP="00D17B3D">
            <w:pPr>
              <w:rPr>
                <w:b/>
                <w:bCs/>
                <w:sz w:val="20"/>
                <w:szCs w:val="20"/>
              </w:rPr>
            </w:pPr>
          </w:p>
        </w:tc>
        <w:tc>
          <w:tcPr>
            <w:tcW w:w="799" w:type="dxa"/>
          </w:tcPr>
          <w:p w14:paraId="6C67D3D8" w14:textId="1A1527E7" w:rsidR="00D17B3D" w:rsidRDefault="00694F46" w:rsidP="00D17B3D">
            <w:pPr>
              <w:rPr>
                <w:b/>
                <w:bCs/>
                <w:sz w:val="20"/>
                <w:szCs w:val="20"/>
              </w:rPr>
            </w:pPr>
            <w:r>
              <w:rPr>
                <w:sz w:val="20"/>
                <w:szCs w:val="20"/>
              </w:rPr>
              <w:t>N/A</w:t>
            </w:r>
          </w:p>
        </w:tc>
      </w:tr>
      <w:tr w:rsidR="00D17B3D" w:rsidRPr="00D17B3D" w14:paraId="2AFF4485" w14:textId="77777777" w:rsidTr="00D17B3D">
        <w:tc>
          <w:tcPr>
            <w:tcW w:w="3114" w:type="dxa"/>
          </w:tcPr>
          <w:p w14:paraId="05A4F165" w14:textId="7C254769" w:rsidR="00D17B3D" w:rsidRPr="0023708B" w:rsidRDefault="0023708B" w:rsidP="00D17B3D">
            <w:pPr>
              <w:rPr>
                <w:b/>
                <w:bCs/>
                <w:sz w:val="20"/>
                <w:szCs w:val="20"/>
              </w:rPr>
            </w:pPr>
            <w:r w:rsidRPr="0023708B">
              <w:rPr>
                <w:b/>
                <w:bCs/>
                <w:sz w:val="20"/>
                <w:szCs w:val="20"/>
              </w:rPr>
              <w:t>Laboratory protocol</w:t>
            </w:r>
          </w:p>
        </w:tc>
        <w:tc>
          <w:tcPr>
            <w:tcW w:w="5103" w:type="dxa"/>
          </w:tcPr>
          <w:p w14:paraId="23CD70F5" w14:textId="6F9A9544" w:rsidR="00D17B3D" w:rsidRPr="00D17B3D" w:rsidRDefault="00D17B3D" w:rsidP="00D17B3D">
            <w:pPr>
              <w:rPr>
                <w:b/>
                <w:bCs/>
                <w:sz w:val="20"/>
                <w:szCs w:val="20"/>
              </w:rPr>
            </w:pPr>
            <w:r w:rsidRPr="00D17B3D">
              <w:rPr>
                <w:b/>
                <w:bCs/>
                <w:sz w:val="20"/>
                <w:szCs w:val="20"/>
              </w:rPr>
              <w:t>Indicate where provided: section/figure legend</w:t>
            </w:r>
          </w:p>
        </w:tc>
        <w:tc>
          <w:tcPr>
            <w:tcW w:w="799" w:type="dxa"/>
          </w:tcPr>
          <w:p w14:paraId="1B732280" w14:textId="185D4026" w:rsidR="00D17B3D" w:rsidRDefault="00D17B3D" w:rsidP="00D17B3D">
            <w:pPr>
              <w:rPr>
                <w:b/>
                <w:bCs/>
                <w:sz w:val="20"/>
                <w:szCs w:val="20"/>
              </w:rPr>
            </w:pPr>
            <w:r>
              <w:rPr>
                <w:b/>
                <w:bCs/>
                <w:sz w:val="20"/>
                <w:szCs w:val="20"/>
              </w:rPr>
              <w:t>N/A</w:t>
            </w:r>
          </w:p>
        </w:tc>
      </w:tr>
      <w:tr w:rsidR="00D17B3D" w:rsidRPr="00D17B3D" w14:paraId="3A84E6F9" w14:textId="77777777" w:rsidTr="00D17B3D">
        <w:tc>
          <w:tcPr>
            <w:tcW w:w="3114" w:type="dxa"/>
          </w:tcPr>
          <w:p w14:paraId="6529C30E" w14:textId="03F8F01F" w:rsidR="00D17B3D" w:rsidRPr="00D17B3D" w:rsidRDefault="0023708B" w:rsidP="00D17B3D">
            <w:pPr>
              <w:rPr>
                <w:sz w:val="20"/>
                <w:szCs w:val="20"/>
              </w:rPr>
            </w:pPr>
            <w:r w:rsidRPr="0023708B">
              <w:rPr>
                <w:sz w:val="20"/>
                <w:szCs w:val="20"/>
              </w:rPr>
              <w:t>Provide DOI OR other citation details if detailed step-by-step protocols are available.</w:t>
            </w:r>
          </w:p>
        </w:tc>
        <w:tc>
          <w:tcPr>
            <w:tcW w:w="5103" w:type="dxa"/>
          </w:tcPr>
          <w:p w14:paraId="0E2CE6B3" w14:textId="77777777" w:rsidR="00D17B3D" w:rsidRPr="00D17B3D" w:rsidRDefault="00D17B3D" w:rsidP="00D17B3D">
            <w:pPr>
              <w:rPr>
                <w:b/>
                <w:bCs/>
                <w:sz w:val="20"/>
                <w:szCs w:val="20"/>
              </w:rPr>
            </w:pPr>
          </w:p>
        </w:tc>
        <w:tc>
          <w:tcPr>
            <w:tcW w:w="799" w:type="dxa"/>
          </w:tcPr>
          <w:p w14:paraId="6B9B291B" w14:textId="38A89B57" w:rsidR="00D17B3D" w:rsidRDefault="00694F46" w:rsidP="00D17B3D">
            <w:pPr>
              <w:rPr>
                <w:b/>
                <w:bCs/>
                <w:sz w:val="20"/>
                <w:szCs w:val="20"/>
              </w:rPr>
            </w:pPr>
            <w:r>
              <w:rPr>
                <w:sz w:val="20"/>
                <w:szCs w:val="20"/>
              </w:rPr>
              <w:t>N/A</w:t>
            </w:r>
          </w:p>
        </w:tc>
      </w:tr>
      <w:tr w:rsidR="00D17B3D" w:rsidRPr="00D17B3D" w14:paraId="5A981C1C" w14:textId="77777777" w:rsidTr="00D17B3D">
        <w:tc>
          <w:tcPr>
            <w:tcW w:w="3114" w:type="dxa"/>
          </w:tcPr>
          <w:p w14:paraId="58D0DBE7" w14:textId="63D2BCA1" w:rsidR="00D17B3D" w:rsidRPr="0023708B" w:rsidRDefault="0023708B" w:rsidP="00D17B3D">
            <w:pPr>
              <w:rPr>
                <w:b/>
                <w:bCs/>
                <w:sz w:val="20"/>
                <w:szCs w:val="20"/>
              </w:rPr>
            </w:pPr>
            <w:r w:rsidRPr="0023708B">
              <w:rPr>
                <w:b/>
                <w:bCs/>
                <w:sz w:val="20"/>
                <w:szCs w:val="20"/>
              </w:rPr>
              <w:t>For in vivo studies: State whether and how the following have been done</w:t>
            </w:r>
          </w:p>
        </w:tc>
        <w:tc>
          <w:tcPr>
            <w:tcW w:w="5103" w:type="dxa"/>
          </w:tcPr>
          <w:p w14:paraId="5F911AB0" w14:textId="0DEF5A87" w:rsidR="00D17B3D" w:rsidRPr="00D17B3D" w:rsidRDefault="00D17B3D" w:rsidP="00D17B3D">
            <w:pPr>
              <w:rPr>
                <w:b/>
                <w:bCs/>
                <w:sz w:val="20"/>
                <w:szCs w:val="20"/>
              </w:rPr>
            </w:pPr>
            <w:r w:rsidRPr="00D17B3D">
              <w:rPr>
                <w:b/>
                <w:bCs/>
                <w:sz w:val="20"/>
                <w:szCs w:val="20"/>
              </w:rPr>
              <w:t>Indicate where provided: section/figure legend</w:t>
            </w:r>
          </w:p>
        </w:tc>
        <w:tc>
          <w:tcPr>
            <w:tcW w:w="799" w:type="dxa"/>
          </w:tcPr>
          <w:p w14:paraId="5CB9AFBF" w14:textId="3270B1C1" w:rsidR="00D17B3D" w:rsidRDefault="00D17B3D" w:rsidP="00D17B3D">
            <w:pPr>
              <w:rPr>
                <w:b/>
                <w:bCs/>
                <w:sz w:val="20"/>
                <w:szCs w:val="20"/>
              </w:rPr>
            </w:pPr>
            <w:r>
              <w:rPr>
                <w:b/>
                <w:bCs/>
                <w:sz w:val="20"/>
                <w:szCs w:val="20"/>
              </w:rPr>
              <w:t>N/A</w:t>
            </w:r>
          </w:p>
        </w:tc>
      </w:tr>
      <w:tr w:rsidR="00D17B3D" w:rsidRPr="00D17B3D" w14:paraId="3E4BBFA1" w14:textId="77777777" w:rsidTr="00D17B3D">
        <w:tc>
          <w:tcPr>
            <w:tcW w:w="3114" w:type="dxa"/>
          </w:tcPr>
          <w:p w14:paraId="5E7E5D26" w14:textId="6B876D85" w:rsidR="00D17B3D" w:rsidRPr="00D17B3D" w:rsidRDefault="0023708B" w:rsidP="00D17B3D">
            <w:pPr>
              <w:rPr>
                <w:sz w:val="20"/>
                <w:szCs w:val="20"/>
              </w:rPr>
            </w:pPr>
            <w:r w:rsidRPr="0023708B">
              <w:rPr>
                <w:sz w:val="20"/>
                <w:szCs w:val="20"/>
              </w:rPr>
              <w:t>Sample size determination</w:t>
            </w:r>
          </w:p>
        </w:tc>
        <w:tc>
          <w:tcPr>
            <w:tcW w:w="5103" w:type="dxa"/>
          </w:tcPr>
          <w:p w14:paraId="30C8589E" w14:textId="7A1DA896" w:rsidR="00D17B3D" w:rsidRPr="00694F46" w:rsidRDefault="00694F46" w:rsidP="00D17B3D">
            <w:pPr>
              <w:rPr>
                <w:sz w:val="20"/>
                <w:szCs w:val="20"/>
              </w:rPr>
            </w:pPr>
            <w:r w:rsidRPr="00694F46">
              <w:rPr>
                <w:sz w:val="20"/>
                <w:szCs w:val="20"/>
              </w:rPr>
              <w:t xml:space="preserve">Not done </w:t>
            </w:r>
            <w:r>
              <w:rPr>
                <w:sz w:val="20"/>
                <w:szCs w:val="20"/>
              </w:rPr>
              <w:t>(reuse of previously collected datasets)</w:t>
            </w:r>
          </w:p>
        </w:tc>
        <w:tc>
          <w:tcPr>
            <w:tcW w:w="799" w:type="dxa"/>
          </w:tcPr>
          <w:p w14:paraId="10FC68C3" w14:textId="77777777" w:rsidR="00D17B3D" w:rsidRDefault="00D17B3D" w:rsidP="00D17B3D">
            <w:pPr>
              <w:rPr>
                <w:b/>
                <w:bCs/>
                <w:sz w:val="20"/>
                <w:szCs w:val="20"/>
              </w:rPr>
            </w:pPr>
          </w:p>
        </w:tc>
      </w:tr>
      <w:tr w:rsidR="0023708B" w:rsidRPr="00D17B3D" w14:paraId="29E24E93" w14:textId="77777777" w:rsidTr="00D17B3D">
        <w:tc>
          <w:tcPr>
            <w:tcW w:w="3114" w:type="dxa"/>
          </w:tcPr>
          <w:p w14:paraId="4A36A8DA" w14:textId="3509E195" w:rsidR="0023708B" w:rsidRPr="0023708B" w:rsidRDefault="0023708B" w:rsidP="0023708B">
            <w:pPr>
              <w:pStyle w:val="Default"/>
              <w:rPr>
                <w:color w:val="434343"/>
                <w:sz w:val="18"/>
                <w:szCs w:val="18"/>
              </w:rPr>
            </w:pPr>
            <w:r>
              <w:rPr>
                <w:color w:val="434343"/>
                <w:sz w:val="18"/>
                <w:szCs w:val="18"/>
              </w:rPr>
              <w:t xml:space="preserve">Randomisation </w:t>
            </w:r>
          </w:p>
        </w:tc>
        <w:tc>
          <w:tcPr>
            <w:tcW w:w="5103" w:type="dxa"/>
          </w:tcPr>
          <w:p w14:paraId="2DF87D87" w14:textId="6650E260" w:rsidR="0023708B" w:rsidRPr="00D17B3D" w:rsidRDefault="0023708B" w:rsidP="00D17B3D">
            <w:pPr>
              <w:rPr>
                <w:b/>
                <w:bCs/>
                <w:sz w:val="20"/>
                <w:szCs w:val="20"/>
              </w:rPr>
            </w:pPr>
          </w:p>
        </w:tc>
        <w:tc>
          <w:tcPr>
            <w:tcW w:w="799" w:type="dxa"/>
          </w:tcPr>
          <w:p w14:paraId="30F45EB7" w14:textId="5A6FFC28" w:rsidR="0023708B" w:rsidRDefault="00694F46" w:rsidP="00D17B3D">
            <w:pPr>
              <w:rPr>
                <w:b/>
                <w:bCs/>
                <w:sz w:val="20"/>
                <w:szCs w:val="20"/>
              </w:rPr>
            </w:pPr>
            <w:r>
              <w:rPr>
                <w:sz w:val="20"/>
                <w:szCs w:val="20"/>
              </w:rPr>
              <w:t>N/A</w:t>
            </w:r>
          </w:p>
        </w:tc>
      </w:tr>
      <w:tr w:rsidR="0023708B" w:rsidRPr="00D17B3D" w14:paraId="0CA133AA" w14:textId="77777777" w:rsidTr="00D17B3D">
        <w:tc>
          <w:tcPr>
            <w:tcW w:w="3114" w:type="dxa"/>
          </w:tcPr>
          <w:p w14:paraId="0795BE28" w14:textId="57BFC2EA" w:rsidR="0023708B" w:rsidRPr="00D17B3D" w:rsidRDefault="0023708B" w:rsidP="00D17B3D">
            <w:pPr>
              <w:rPr>
                <w:sz w:val="20"/>
                <w:szCs w:val="20"/>
              </w:rPr>
            </w:pPr>
            <w:r w:rsidRPr="0023708B">
              <w:rPr>
                <w:sz w:val="20"/>
                <w:szCs w:val="20"/>
              </w:rPr>
              <w:t>Blinding</w:t>
            </w:r>
          </w:p>
        </w:tc>
        <w:tc>
          <w:tcPr>
            <w:tcW w:w="5103" w:type="dxa"/>
          </w:tcPr>
          <w:p w14:paraId="14ECADB0" w14:textId="649172B9" w:rsidR="00135BA2" w:rsidRPr="00135BA2" w:rsidRDefault="00135BA2" w:rsidP="00135BA2">
            <w:pPr>
              <w:jc w:val="both"/>
              <w:rPr>
                <w:sz w:val="20"/>
                <w:szCs w:val="20"/>
              </w:rPr>
            </w:pPr>
            <w:r w:rsidRPr="00135BA2">
              <w:rPr>
                <w:sz w:val="20"/>
                <w:szCs w:val="20"/>
              </w:rPr>
              <w:t>Since the patients' status as DOC patients was evident, no researcher blinding was possible. For the same reason, anaesthetised status is evident and blinding was not possible.</w:t>
            </w:r>
          </w:p>
          <w:p w14:paraId="16ACB311" w14:textId="22B6E499" w:rsidR="0023708B" w:rsidRPr="00135BA2" w:rsidRDefault="0023708B" w:rsidP="00D17B3D">
            <w:pPr>
              <w:rPr>
                <w:sz w:val="20"/>
                <w:szCs w:val="20"/>
              </w:rPr>
            </w:pPr>
          </w:p>
        </w:tc>
        <w:tc>
          <w:tcPr>
            <w:tcW w:w="799" w:type="dxa"/>
          </w:tcPr>
          <w:p w14:paraId="7A5E3EEE" w14:textId="4A32E7E2" w:rsidR="0023708B" w:rsidRDefault="0023708B" w:rsidP="00D17B3D">
            <w:pPr>
              <w:rPr>
                <w:b/>
                <w:bCs/>
                <w:sz w:val="20"/>
                <w:szCs w:val="20"/>
              </w:rPr>
            </w:pPr>
          </w:p>
        </w:tc>
      </w:tr>
      <w:tr w:rsidR="0023708B" w:rsidRPr="00D17B3D" w14:paraId="4DACD3EF" w14:textId="77777777" w:rsidTr="00D17B3D">
        <w:tc>
          <w:tcPr>
            <w:tcW w:w="3114" w:type="dxa"/>
          </w:tcPr>
          <w:p w14:paraId="246C46F9" w14:textId="32EBE710" w:rsidR="0023708B" w:rsidRPr="00D17B3D" w:rsidRDefault="0023708B" w:rsidP="00D17B3D">
            <w:pPr>
              <w:rPr>
                <w:sz w:val="20"/>
                <w:szCs w:val="20"/>
              </w:rPr>
            </w:pPr>
            <w:r w:rsidRPr="0023708B">
              <w:rPr>
                <w:sz w:val="20"/>
                <w:szCs w:val="20"/>
              </w:rPr>
              <w:t>Inclusion/exclusion criteria</w:t>
            </w:r>
          </w:p>
        </w:tc>
        <w:tc>
          <w:tcPr>
            <w:tcW w:w="5103" w:type="dxa"/>
          </w:tcPr>
          <w:p w14:paraId="2844565F" w14:textId="77777777" w:rsidR="00694F46" w:rsidRDefault="00694F46" w:rsidP="00694F46">
            <w:pPr>
              <w:pStyle w:val="Heading2"/>
              <w:rPr>
                <w:rFonts w:ascii="Calibri" w:eastAsia="Calibri" w:hAnsi="Calibri" w:cs="Calibri"/>
                <w:bCs w:val="0"/>
                <w:color w:val="auto"/>
              </w:rPr>
            </w:pPr>
            <w:r w:rsidRPr="00694F46">
              <w:rPr>
                <w:rFonts w:ascii="Calibri" w:eastAsia="Calibri" w:hAnsi="Calibri" w:cs="Calibri"/>
                <w:bCs w:val="0"/>
                <w:color w:val="auto"/>
              </w:rPr>
              <w:t>Methods section; subsections “Anaesthesia Data: Recruitment” and “Disorders of Consciousness Patient Data: Recruitment”</w:t>
            </w:r>
          </w:p>
          <w:p w14:paraId="35335704" w14:textId="77777777" w:rsidR="00694F46" w:rsidRPr="00135BA2" w:rsidRDefault="00694F46" w:rsidP="00694F46">
            <w:pPr>
              <w:rPr>
                <w:sz w:val="20"/>
                <w:szCs w:val="20"/>
              </w:rPr>
            </w:pPr>
          </w:p>
          <w:p w14:paraId="49EB2A97" w14:textId="44596279" w:rsidR="00135BA2" w:rsidRPr="00135BA2" w:rsidRDefault="00135BA2" w:rsidP="00694F46">
            <w:pPr>
              <w:rPr>
                <w:sz w:val="20"/>
                <w:szCs w:val="20"/>
              </w:rPr>
            </w:pPr>
            <w:r w:rsidRPr="00135BA2">
              <w:rPr>
                <w:sz w:val="20"/>
                <w:szCs w:val="20"/>
              </w:rPr>
              <w:t>Anaesthesia: Due to equipment malfunction or physiological impediments to anaesthesia in the scanner, data from n=3 participants (1 male) were excluded from analyses, leaving a total n=16 for analysis</w:t>
            </w:r>
          </w:p>
          <w:p w14:paraId="3BCC47CE" w14:textId="77777777" w:rsidR="00135BA2" w:rsidRPr="00135BA2" w:rsidRDefault="00135BA2" w:rsidP="00694F46">
            <w:pPr>
              <w:rPr>
                <w:sz w:val="20"/>
                <w:szCs w:val="20"/>
              </w:rPr>
            </w:pPr>
          </w:p>
          <w:p w14:paraId="004E769D" w14:textId="31C67067" w:rsidR="00694F46" w:rsidRPr="00135BA2" w:rsidRDefault="00135BA2" w:rsidP="00694F46">
            <w:pPr>
              <w:rPr>
                <w:sz w:val="20"/>
                <w:szCs w:val="20"/>
              </w:rPr>
            </w:pPr>
            <w:r w:rsidRPr="00135BA2">
              <w:rPr>
                <w:sz w:val="20"/>
                <w:szCs w:val="20"/>
              </w:rPr>
              <w:t>DOC p</w:t>
            </w:r>
            <w:r w:rsidR="00694F46" w:rsidRPr="00135BA2">
              <w:rPr>
                <w:sz w:val="20"/>
                <w:szCs w:val="20"/>
              </w:rPr>
              <w:t>atients: before analysis took place, patients were systematically excluded if an expert neuroanatomist blinded to diagnosis judged that they displayed excessive focal brain damage (over one third of one hemisphere), or if brain damage led to suboptimal segmentation and normalisation, or due to excessive head motion in the MRI scanner (exceeding 3mm translation or 3 degrees rotation).</w:t>
            </w:r>
          </w:p>
          <w:p w14:paraId="68EB7514" w14:textId="77777777" w:rsidR="0023708B" w:rsidRPr="00135BA2" w:rsidRDefault="0023708B" w:rsidP="00D17B3D">
            <w:pPr>
              <w:rPr>
                <w:sz w:val="20"/>
                <w:szCs w:val="20"/>
              </w:rPr>
            </w:pPr>
          </w:p>
        </w:tc>
        <w:tc>
          <w:tcPr>
            <w:tcW w:w="799" w:type="dxa"/>
          </w:tcPr>
          <w:p w14:paraId="2BF76A11" w14:textId="77777777" w:rsidR="0023708B" w:rsidRDefault="0023708B" w:rsidP="00D17B3D">
            <w:pPr>
              <w:rPr>
                <w:b/>
                <w:bCs/>
                <w:sz w:val="20"/>
                <w:szCs w:val="20"/>
              </w:rPr>
            </w:pPr>
          </w:p>
        </w:tc>
      </w:tr>
      <w:tr w:rsidR="00D17B3D" w:rsidRPr="00D17B3D" w14:paraId="3A89F671" w14:textId="77777777" w:rsidTr="00D17B3D">
        <w:tc>
          <w:tcPr>
            <w:tcW w:w="3114" w:type="dxa"/>
          </w:tcPr>
          <w:p w14:paraId="252E248C" w14:textId="1BAC47EC" w:rsidR="00D17B3D" w:rsidRPr="0023708B" w:rsidRDefault="0023708B" w:rsidP="00D17B3D">
            <w:pPr>
              <w:rPr>
                <w:b/>
                <w:bCs/>
                <w:sz w:val="20"/>
                <w:szCs w:val="20"/>
              </w:rPr>
            </w:pPr>
            <w:r w:rsidRPr="0023708B">
              <w:rPr>
                <w:b/>
                <w:bCs/>
                <w:sz w:val="20"/>
                <w:szCs w:val="20"/>
              </w:rPr>
              <w:t>Sample definition and in-laboratory replication</w:t>
            </w:r>
          </w:p>
        </w:tc>
        <w:tc>
          <w:tcPr>
            <w:tcW w:w="5103" w:type="dxa"/>
          </w:tcPr>
          <w:p w14:paraId="763CD6DD" w14:textId="1B8D811E" w:rsidR="00D17B3D" w:rsidRPr="00D17B3D" w:rsidRDefault="00D17B3D" w:rsidP="00D17B3D">
            <w:pPr>
              <w:rPr>
                <w:b/>
                <w:bCs/>
                <w:sz w:val="20"/>
                <w:szCs w:val="20"/>
              </w:rPr>
            </w:pPr>
            <w:r w:rsidRPr="00D17B3D">
              <w:rPr>
                <w:b/>
                <w:bCs/>
                <w:sz w:val="20"/>
                <w:szCs w:val="20"/>
              </w:rPr>
              <w:t>Indicate where provided: section/figure legend</w:t>
            </w:r>
          </w:p>
        </w:tc>
        <w:tc>
          <w:tcPr>
            <w:tcW w:w="799" w:type="dxa"/>
          </w:tcPr>
          <w:p w14:paraId="170BCB7B" w14:textId="1E9F22EF" w:rsidR="00D17B3D" w:rsidRDefault="00D17B3D" w:rsidP="00D17B3D">
            <w:pPr>
              <w:rPr>
                <w:b/>
                <w:bCs/>
                <w:sz w:val="20"/>
                <w:szCs w:val="20"/>
              </w:rPr>
            </w:pPr>
            <w:r>
              <w:rPr>
                <w:b/>
                <w:bCs/>
                <w:sz w:val="20"/>
                <w:szCs w:val="20"/>
              </w:rPr>
              <w:t>N/A</w:t>
            </w:r>
          </w:p>
        </w:tc>
      </w:tr>
      <w:tr w:rsidR="00694F46" w:rsidRPr="00D17B3D" w14:paraId="09B93D16" w14:textId="77777777" w:rsidTr="00D17B3D">
        <w:tc>
          <w:tcPr>
            <w:tcW w:w="3114" w:type="dxa"/>
          </w:tcPr>
          <w:p w14:paraId="7D5B0F61" w14:textId="2D0F3592" w:rsidR="00694F46" w:rsidRPr="00D17B3D" w:rsidRDefault="00694F46" w:rsidP="00694F46">
            <w:pPr>
              <w:rPr>
                <w:sz w:val="20"/>
                <w:szCs w:val="20"/>
              </w:rPr>
            </w:pPr>
            <w:r w:rsidRPr="0023708B">
              <w:rPr>
                <w:sz w:val="20"/>
                <w:szCs w:val="20"/>
              </w:rPr>
              <w:t>State number of times the experiment was replicated in the laboratory.</w:t>
            </w:r>
          </w:p>
        </w:tc>
        <w:tc>
          <w:tcPr>
            <w:tcW w:w="5103" w:type="dxa"/>
          </w:tcPr>
          <w:p w14:paraId="2969E776" w14:textId="77777777" w:rsidR="00694F46" w:rsidRPr="00D17B3D" w:rsidRDefault="00694F46" w:rsidP="00694F46">
            <w:pPr>
              <w:rPr>
                <w:b/>
                <w:bCs/>
                <w:sz w:val="20"/>
                <w:szCs w:val="20"/>
              </w:rPr>
            </w:pPr>
          </w:p>
        </w:tc>
        <w:tc>
          <w:tcPr>
            <w:tcW w:w="799" w:type="dxa"/>
          </w:tcPr>
          <w:p w14:paraId="5EE17102" w14:textId="6F07B1A0" w:rsidR="00694F46" w:rsidRDefault="00694F46" w:rsidP="00694F46">
            <w:pPr>
              <w:rPr>
                <w:b/>
                <w:bCs/>
                <w:sz w:val="20"/>
                <w:szCs w:val="20"/>
              </w:rPr>
            </w:pPr>
            <w:r>
              <w:rPr>
                <w:sz w:val="20"/>
                <w:szCs w:val="20"/>
              </w:rPr>
              <w:t>N/A</w:t>
            </w:r>
          </w:p>
        </w:tc>
      </w:tr>
      <w:tr w:rsidR="00694F46" w:rsidRPr="00D17B3D" w14:paraId="6CAB3C15" w14:textId="77777777" w:rsidTr="00D17B3D">
        <w:tc>
          <w:tcPr>
            <w:tcW w:w="3114" w:type="dxa"/>
          </w:tcPr>
          <w:p w14:paraId="2C7F293F" w14:textId="307E172E" w:rsidR="00694F46" w:rsidRPr="0023708B" w:rsidRDefault="00694F46" w:rsidP="00694F46">
            <w:pPr>
              <w:rPr>
                <w:sz w:val="20"/>
                <w:szCs w:val="20"/>
              </w:rPr>
            </w:pPr>
            <w:r w:rsidRPr="0023708B">
              <w:rPr>
                <w:sz w:val="20"/>
                <w:szCs w:val="20"/>
              </w:rPr>
              <w:t>Define whether data describe technical or biological replicates.</w:t>
            </w:r>
          </w:p>
        </w:tc>
        <w:tc>
          <w:tcPr>
            <w:tcW w:w="5103" w:type="dxa"/>
          </w:tcPr>
          <w:p w14:paraId="255E1175" w14:textId="77777777" w:rsidR="00694F46" w:rsidRPr="00D17B3D" w:rsidRDefault="00694F46" w:rsidP="00694F46">
            <w:pPr>
              <w:rPr>
                <w:b/>
                <w:bCs/>
                <w:sz w:val="20"/>
                <w:szCs w:val="20"/>
              </w:rPr>
            </w:pPr>
          </w:p>
        </w:tc>
        <w:tc>
          <w:tcPr>
            <w:tcW w:w="799" w:type="dxa"/>
          </w:tcPr>
          <w:p w14:paraId="24D0787E" w14:textId="15363CFD" w:rsidR="00694F46" w:rsidRDefault="00694F46" w:rsidP="00694F46">
            <w:pPr>
              <w:rPr>
                <w:b/>
                <w:bCs/>
                <w:sz w:val="20"/>
                <w:szCs w:val="20"/>
              </w:rPr>
            </w:pPr>
            <w:r>
              <w:rPr>
                <w:sz w:val="20"/>
                <w:szCs w:val="20"/>
              </w:rPr>
              <w:t>N/A</w:t>
            </w:r>
          </w:p>
        </w:tc>
      </w:tr>
      <w:tr w:rsidR="00694F46" w:rsidRPr="00D17B3D" w14:paraId="0B51F08A" w14:textId="77777777" w:rsidTr="00D17B3D">
        <w:tc>
          <w:tcPr>
            <w:tcW w:w="3114" w:type="dxa"/>
          </w:tcPr>
          <w:p w14:paraId="30B196F1" w14:textId="6384783D" w:rsidR="00694F46" w:rsidRPr="0023708B" w:rsidRDefault="00694F46" w:rsidP="00694F46">
            <w:pPr>
              <w:rPr>
                <w:b/>
                <w:bCs/>
                <w:sz w:val="20"/>
                <w:szCs w:val="20"/>
              </w:rPr>
            </w:pPr>
            <w:r w:rsidRPr="0023708B">
              <w:rPr>
                <w:b/>
                <w:bCs/>
                <w:sz w:val="20"/>
                <w:szCs w:val="20"/>
              </w:rPr>
              <w:lastRenderedPageBreak/>
              <w:t>Ethics</w:t>
            </w:r>
          </w:p>
        </w:tc>
        <w:tc>
          <w:tcPr>
            <w:tcW w:w="5103" w:type="dxa"/>
          </w:tcPr>
          <w:p w14:paraId="27F85F5D" w14:textId="6DD352A8" w:rsidR="00694F46" w:rsidRPr="00D17B3D" w:rsidRDefault="00694F46" w:rsidP="00694F46">
            <w:pPr>
              <w:rPr>
                <w:b/>
                <w:bCs/>
                <w:sz w:val="20"/>
                <w:szCs w:val="20"/>
              </w:rPr>
            </w:pPr>
            <w:r w:rsidRPr="00D17B3D">
              <w:rPr>
                <w:b/>
                <w:bCs/>
                <w:sz w:val="20"/>
                <w:szCs w:val="20"/>
              </w:rPr>
              <w:t>Indicate where provided: section/figure legend</w:t>
            </w:r>
          </w:p>
        </w:tc>
        <w:tc>
          <w:tcPr>
            <w:tcW w:w="799" w:type="dxa"/>
          </w:tcPr>
          <w:p w14:paraId="7E6F3505" w14:textId="5F16F2E3" w:rsidR="00694F46" w:rsidRDefault="00694F46" w:rsidP="00694F46">
            <w:pPr>
              <w:rPr>
                <w:b/>
                <w:bCs/>
                <w:sz w:val="20"/>
                <w:szCs w:val="20"/>
              </w:rPr>
            </w:pPr>
            <w:r>
              <w:rPr>
                <w:b/>
                <w:bCs/>
                <w:sz w:val="20"/>
                <w:szCs w:val="20"/>
              </w:rPr>
              <w:t>N/A</w:t>
            </w:r>
          </w:p>
        </w:tc>
      </w:tr>
      <w:tr w:rsidR="00694F46" w:rsidRPr="00D17B3D" w14:paraId="70A58BF1" w14:textId="77777777" w:rsidTr="00D17B3D">
        <w:tc>
          <w:tcPr>
            <w:tcW w:w="3114" w:type="dxa"/>
          </w:tcPr>
          <w:p w14:paraId="27E8CF7C" w14:textId="65C01EB6" w:rsidR="00694F46" w:rsidRPr="00D17B3D" w:rsidRDefault="00694F46" w:rsidP="00694F46">
            <w:pPr>
              <w:rPr>
                <w:sz w:val="20"/>
                <w:szCs w:val="20"/>
              </w:rPr>
            </w:pPr>
            <w:r w:rsidRPr="0023708B">
              <w:rPr>
                <w:sz w:val="20"/>
                <w:szCs w:val="20"/>
              </w:rPr>
              <w:t>Studies involving human participants: State details of authority granting ethics approval (IRB or equivalent committee(s), provide reference number for approval</w:t>
            </w:r>
          </w:p>
        </w:tc>
        <w:tc>
          <w:tcPr>
            <w:tcW w:w="5103" w:type="dxa"/>
          </w:tcPr>
          <w:p w14:paraId="5524BDC8" w14:textId="77777777" w:rsidR="00694F46" w:rsidRPr="00694F46" w:rsidRDefault="00694F46" w:rsidP="00694F46">
            <w:pPr>
              <w:pStyle w:val="Heading2"/>
              <w:rPr>
                <w:rFonts w:ascii="Calibri" w:eastAsia="Calibri" w:hAnsi="Calibri" w:cs="Calibri"/>
                <w:bCs w:val="0"/>
                <w:color w:val="auto"/>
              </w:rPr>
            </w:pPr>
            <w:r w:rsidRPr="00694F46">
              <w:rPr>
                <w:rFonts w:ascii="Calibri" w:eastAsia="Calibri" w:hAnsi="Calibri" w:cs="Calibri"/>
                <w:bCs w:val="0"/>
                <w:color w:val="auto"/>
              </w:rPr>
              <w:t>Methods section; subsections “Anaesthesia Data: Recruitment” and “Disorders of Consciousness Patient Data: Recruitment”</w:t>
            </w:r>
          </w:p>
          <w:p w14:paraId="07D46D95" w14:textId="77777777" w:rsidR="00694F46" w:rsidRPr="00694F46" w:rsidRDefault="00694F46" w:rsidP="00694F46">
            <w:pPr>
              <w:rPr>
                <w:sz w:val="20"/>
                <w:szCs w:val="20"/>
              </w:rPr>
            </w:pPr>
          </w:p>
          <w:p w14:paraId="6F0AA839" w14:textId="27D6FC1C" w:rsidR="00694F46" w:rsidRPr="00694F46" w:rsidRDefault="00694F46" w:rsidP="00694F46">
            <w:pPr>
              <w:rPr>
                <w:sz w:val="20"/>
                <w:szCs w:val="20"/>
              </w:rPr>
            </w:pPr>
            <w:r w:rsidRPr="00694F46">
              <w:rPr>
                <w:sz w:val="20"/>
                <w:szCs w:val="20"/>
              </w:rPr>
              <w:t>Anaesthesia data: The study received ethical approval from the Health Sciences Research Ethics Board and Psychology Research Ethics Board of Western University (Ontario, Canada).</w:t>
            </w:r>
          </w:p>
          <w:p w14:paraId="7BB91E71" w14:textId="77777777" w:rsidR="00694F46" w:rsidRPr="00694F46" w:rsidRDefault="00694F46" w:rsidP="00694F46">
            <w:pPr>
              <w:rPr>
                <w:sz w:val="20"/>
                <w:szCs w:val="20"/>
              </w:rPr>
            </w:pPr>
          </w:p>
          <w:p w14:paraId="146858F9" w14:textId="40C57125" w:rsidR="00694F46" w:rsidRPr="00694F46" w:rsidRDefault="00694F46" w:rsidP="00694F46">
            <w:pPr>
              <w:rPr>
                <w:sz w:val="20"/>
                <w:szCs w:val="20"/>
              </w:rPr>
            </w:pPr>
            <w:r w:rsidRPr="00694F46">
              <w:rPr>
                <w:sz w:val="20"/>
                <w:szCs w:val="20"/>
              </w:rPr>
              <w:t>DOC data: Ethical approval for this study was provided by the National Research Ethics Service (National Health Service, UK; LREC reference 99/391).</w:t>
            </w:r>
          </w:p>
          <w:p w14:paraId="0663EEBF" w14:textId="77777777" w:rsidR="00694F46" w:rsidRPr="00694F46" w:rsidRDefault="00694F46" w:rsidP="00694F46">
            <w:pPr>
              <w:rPr>
                <w:sz w:val="20"/>
                <w:szCs w:val="20"/>
              </w:rPr>
            </w:pPr>
          </w:p>
          <w:p w14:paraId="296C9659" w14:textId="7B7C9690" w:rsidR="00694F46" w:rsidRPr="00694F46" w:rsidRDefault="00694F46" w:rsidP="00694F46">
            <w:pPr>
              <w:rPr>
                <w:sz w:val="20"/>
                <w:szCs w:val="20"/>
              </w:rPr>
            </w:pPr>
          </w:p>
        </w:tc>
        <w:tc>
          <w:tcPr>
            <w:tcW w:w="799" w:type="dxa"/>
          </w:tcPr>
          <w:p w14:paraId="45D0A70E" w14:textId="77777777" w:rsidR="00694F46" w:rsidRDefault="00694F46" w:rsidP="00694F46">
            <w:pPr>
              <w:rPr>
                <w:b/>
                <w:bCs/>
                <w:sz w:val="20"/>
                <w:szCs w:val="20"/>
              </w:rPr>
            </w:pPr>
          </w:p>
        </w:tc>
      </w:tr>
      <w:tr w:rsidR="00694F46" w:rsidRPr="00D17B3D" w14:paraId="7FEC74AE" w14:textId="77777777" w:rsidTr="00D17B3D">
        <w:tc>
          <w:tcPr>
            <w:tcW w:w="3114" w:type="dxa"/>
          </w:tcPr>
          <w:p w14:paraId="660B5DFE" w14:textId="0AA6041C" w:rsidR="00694F46" w:rsidRPr="00D17B3D" w:rsidRDefault="00694F46" w:rsidP="00694F46">
            <w:pPr>
              <w:rPr>
                <w:sz w:val="20"/>
                <w:szCs w:val="20"/>
              </w:rPr>
            </w:pPr>
            <w:r w:rsidRPr="0023708B">
              <w:rPr>
                <w:sz w:val="20"/>
                <w:szCs w:val="20"/>
              </w:rPr>
              <w:t>Studies involving experimental animals: State details of authority granting ethics approval (IRB or equivalent committee(s), provide reference number for approval</w:t>
            </w:r>
          </w:p>
        </w:tc>
        <w:tc>
          <w:tcPr>
            <w:tcW w:w="5103" w:type="dxa"/>
          </w:tcPr>
          <w:p w14:paraId="5D21C2D9" w14:textId="77777777" w:rsidR="00694F46" w:rsidRPr="00D17B3D" w:rsidRDefault="00694F46" w:rsidP="00694F46">
            <w:pPr>
              <w:rPr>
                <w:b/>
                <w:bCs/>
                <w:sz w:val="20"/>
                <w:szCs w:val="20"/>
              </w:rPr>
            </w:pPr>
          </w:p>
        </w:tc>
        <w:tc>
          <w:tcPr>
            <w:tcW w:w="799" w:type="dxa"/>
          </w:tcPr>
          <w:p w14:paraId="733CD60C" w14:textId="41AA4C72" w:rsidR="00694F46" w:rsidRDefault="00694F46" w:rsidP="00694F46">
            <w:pPr>
              <w:rPr>
                <w:b/>
                <w:bCs/>
                <w:sz w:val="20"/>
                <w:szCs w:val="20"/>
              </w:rPr>
            </w:pPr>
            <w:r>
              <w:rPr>
                <w:sz w:val="20"/>
                <w:szCs w:val="20"/>
              </w:rPr>
              <w:t>N/A</w:t>
            </w:r>
          </w:p>
        </w:tc>
      </w:tr>
      <w:tr w:rsidR="00694F46" w:rsidRPr="00D17B3D" w14:paraId="54B3C0BB" w14:textId="77777777" w:rsidTr="00D17B3D">
        <w:tc>
          <w:tcPr>
            <w:tcW w:w="3114" w:type="dxa"/>
          </w:tcPr>
          <w:p w14:paraId="384E709C" w14:textId="44938709" w:rsidR="00694F46" w:rsidRPr="00D17B3D" w:rsidRDefault="00694F46" w:rsidP="00694F46">
            <w:pPr>
              <w:rPr>
                <w:sz w:val="20"/>
                <w:szCs w:val="20"/>
              </w:rPr>
            </w:pPr>
            <w:r w:rsidRPr="007A05A7">
              <w:rPr>
                <w:sz w:val="20"/>
                <w:szCs w:val="20"/>
              </w:rPr>
              <w:t>Studies involving specimen and field samples: State if relevant permits obtained, provide details of authority approving study; if none were required, explain why.</w:t>
            </w:r>
          </w:p>
        </w:tc>
        <w:tc>
          <w:tcPr>
            <w:tcW w:w="5103" w:type="dxa"/>
          </w:tcPr>
          <w:p w14:paraId="3442D336" w14:textId="77777777" w:rsidR="00694F46" w:rsidRPr="00D17B3D" w:rsidRDefault="00694F46" w:rsidP="00694F46">
            <w:pPr>
              <w:rPr>
                <w:b/>
                <w:bCs/>
                <w:sz w:val="20"/>
                <w:szCs w:val="20"/>
              </w:rPr>
            </w:pPr>
          </w:p>
        </w:tc>
        <w:tc>
          <w:tcPr>
            <w:tcW w:w="799" w:type="dxa"/>
          </w:tcPr>
          <w:p w14:paraId="02AD7D7C" w14:textId="3D438196" w:rsidR="00694F46" w:rsidRDefault="00694F46" w:rsidP="00694F46">
            <w:pPr>
              <w:rPr>
                <w:b/>
                <w:bCs/>
                <w:sz w:val="20"/>
                <w:szCs w:val="20"/>
              </w:rPr>
            </w:pPr>
            <w:r>
              <w:rPr>
                <w:sz w:val="20"/>
                <w:szCs w:val="20"/>
              </w:rPr>
              <w:t>N/A</w:t>
            </w:r>
          </w:p>
        </w:tc>
      </w:tr>
      <w:tr w:rsidR="00694F46" w:rsidRPr="00D17B3D" w14:paraId="1821762C" w14:textId="77777777" w:rsidTr="00D17B3D">
        <w:tc>
          <w:tcPr>
            <w:tcW w:w="3114" w:type="dxa"/>
          </w:tcPr>
          <w:p w14:paraId="278AA989" w14:textId="63B1F40F" w:rsidR="00694F46" w:rsidRPr="007A05A7" w:rsidRDefault="00694F46" w:rsidP="00694F46">
            <w:pPr>
              <w:rPr>
                <w:b/>
                <w:bCs/>
                <w:sz w:val="20"/>
                <w:szCs w:val="20"/>
              </w:rPr>
            </w:pPr>
            <w:r w:rsidRPr="007A05A7">
              <w:rPr>
                <w:b/>
                <w:bCs/>
                <w:sz w:val="20"/>
                <w:szCs w:val="20"/>
              </w:rPr>
              <w:t>Dual Use Research of Concern (DURC)</w:t>
            </w:r>
          </w:p>
        </w:tc>
        <w:tc>
          <w:tcPr>
            <w:tcW w:w="5103" w:type="dxa"/>
          </w:tcPr>
          <w:p w14:paraId="0D96C351" w14:textId="167AF518" w:rsidR="00694F46" w:rsidRPr="00D17B3D" w:rsidRDefault="00694F46" w:rsidP="00694F46">
            <w:pPr>
              <w:rPr>
                <w:b/>
                <w:bCs/>
                <w:sz w:val="20"/>
                <w:szCs w:val="20"/>
              </w:rPr>
            </w:pPr>
            <w:r w:rsidRPr="00D17B3D">
              <w:rPr>
                <w:b/>
                <w:bCs/>
                <w:sz w:val="20"/>
                <w:szCs w:val="20"/>
              </w:rPr>
              <w:t>Indicate where provided: section/figure legend</w:t>
            </w:r>
          </w:p>
        </w:tc>
        <w:tc>
          <w:tcPr>
            <w:tcW w:w="799" w:type="dxa"/>
          </w:tcPr>
          <w:p w14:paraId="6BCFA608" w14:textId="06195C69" w:rsidR="00694F46" w:rsidRDefault="00694F46" w:rsidP="00694F46">
            <w:pPr>
              <w:rPr>
                <w:b/>
                <w:bCs/>
                <w:sz w:val="20"/>
                <w:szCs w:val="20"/>
              </w:rPr>
            </w:pPr>
            <w:r>
              <w:rPr>
                <w:b/>
                <w:bCs/>
                <w:sz w:val="20"/>
                <w:szCs w:val="20"/>
              </w:rPr>
              <w:t>N/A</w:t>
            </w:r>
          </w:p>
        </w:tc>
      </w:tr>
      <w:tr w:rsidR="00694F46" w:rsidRPr="00D17B3D" w14:paraId="4946EFC5" w14:textId="77777777" w:rsidTr="00D17B3D">
        <w:tc>
          <w:tcPr>
            <w:tcW w:w="3114" w:type="dxa"/>
          </w:tcPr>
          <w:p w14:paraId="79D63A6C" w14:textId="49B9166B" w:rsidR="00694F46" w:rsidRPr="007A05A7" w:rsidRDefault="00694F46" w:rsidP="00694F46">
            <w:pPr>
              <w:rPr>
                <w:sz w:val="20"/>
                <w:szCs w:val="20"/>
              </w:rPr>
            </w:pPr>
            <w:r w:rsidRPr="007A05A7">
              <w:rPr>
                <w:sz w:val="20"/>
                <w:szCs w:val="20"/>
              </w:rPr>
              <w:t>If study is subject to dual use research of concern regulations, state the authority granting approval and reference number for the regulatory approval.</w:t>
            </w:r>
          </w:p>
        </w:tc>
        <w:tc>
          <w:tcPr>
            <w:tcW w:w="5103" w:type="dxa"/>
          </w:tcPr>
          <w:p w14:paraId="2A8C324E" w14:textId="77777777" w:rsidR="00694F46" w:rsidRPr="00D17B3D" w:rsidRDefault="00694F46" w:rsidP="00694F46">
            <w:pPr>
              <w:rPr>
                <w:b/>
                <w:bCs/>
                <w:sz w:val="20"/>
                <w:szCs w:val="20"/>
              </w:rPr>
            </w:pPr>
          </w:p>
        </w:tc>
        <w:tc>
          <w:tcPr>
            <w:tcW w:w="799" w:type="dxa"/>
          </w:tcPr>
          <w:p w14:paraId="5F72918E" w14:textId="61CF3EF7" w:rsidR="00694F46" w:rsidRDefault="00694F46" w:rsidP="00694F46">
            <w:pPr>
              <w:rPr>
                <w:b/>
                <w:bCs/>
                <w:sz w:val="20"/>
                <w:szCs w:val="20"/>
              </w:rPr>
            </w:pPr>
            <w:r>
              <w:rPr>
                <w:sz w:val="20"/>
                <w:szCs w:val="20"/>
              </w:rPr>
              <w:t>N/A</w:t>
            </w:r>
          </w:p>
        </w:tc>
      </w:tr>
      <w:tr w:rsidR="00694F46" w:rsidRPr="00D17B3D" w14:paraId="5F7EA654" w14:textId="77777777" w:rsidTr="00D17B3D">
        <w:tc>
          <w:tcPr>
            <w:tcW w:w="3114" w:type="dxa"/>
          </w:tcPr>
          <w:p w14:paraId="31E70FF7" w14:textId="0303A7AC" w:rsidR="00694F46" w:rsidRPr="0023708B" w:rsidRDefault="00694F46" w:rsidP="00694F46">
            <w:pPr>
              <w:rPr>
                <w:b/>
                <w:bCs/>
                <w:sz w:val="20"/>
                <w:szCs w:val="20"/>
              </w:rPr>
            </w:pPr>
            <w:r w:rsidRPr="007A05A7">
              <w:rPr>
                <w:b/>
                <w:bCs/>
                <w:sz w:val="20"/>
                <w:szCs w:val="20"/>
              </w:rPr>
              <w:t>Attrition</w:t>
            </w:r>
          </w:p>
        </w:tc>
        <w:tc>
          <w:tcPr>
            <w:tcW w:w="5103" w:type="dxa"/>
          </w:tcPr>
          <w:p w14:paraId="085C4928" w14:textId="19FE6774" w:rsidR="00694F46" w:rsidRPr="00D17B3D" w:rsidRDefault="00694F46" w:rsidP="00694F46">
            <w:pPr>
              <w:rPr>
                <w:b/>
                <w:bCs/>
                <w:sz w:val="20"/>
                <w:szCs w:val="20"/>
              </w:rPr>
            </w:pPr>
            <w:r w:rsidRPr="00D17B3D">
              <w:rPr>
                <w:b/>
                <w:bCs/>
                <w:sz w:val="20"/>
                <w:szCs w:val="20"/>
              </w:rPr>
              <w:t>Indicate where provided: section/figure legend</w:t>
            </w:r>
          </w:p>
        </w:tc>
        <w:tc>
          <w:tcPr>
            <w:tcW w:w="799" w:type="dxa"/>
          </w:tcPr>
          <w:p w14:paraId="576F2F83" w14:textId="4FD39A04" w:rsidR="00694F46" w:rsidRDefault="00694F46" w:rsidP="00694F46">
            <w:pPr>
              <w:rPr>
                <w:b/>
                <w:bCs/>
                <w:sz w:val="20"/>
                <w:szCs w:val="20"/>
              </w:rPr>
            </w:pPr>
            <w:r>
              <w:rPr>
                <w:b/>
                <w:bCs/>
                <w:sz w:val="20"/>
                <w:szCs w:val="20"/>
              </w:rPr>
              <w:t>N/A</w:t>
            </w:r>
          </w:p>
        </w:tc>
      </w:tr>
      <w:tr w:rsidR="00694F46" w:rsidRPr="00D17B3D" w14:paraId="1ACE48E7" w14:textId="77777777" w:rsidTr="00D17B3D">
        <w:tc>
          <w:tcPr>
            <w:tcW w:w="3114" w:type="dxa"/>
          </w:tcPr>
          <w:p w14:paraId="19213737" w14:textId="590400A3" w:rsidR="00694F46" w:rsidRPr="007A05A7" w:rsidRDefault="00694F46" w:rsidP="00694F46">
            <w:pPr>
              <w:rPr>
                <w:sz w:val="20"/>
                <w:szCs w:val="20"/>
              </w:rPr>
            </w:pPr>
            <w:r w:rsidRPr="007A05A7">
              <w:rPr>
                <w:sz w:val="20"/>
                <w:szCs w:val="20"/>
              </w:rPr>
              <w:t>Describe whether exclusion criteria were pre-established. Report if sample or data points were omitted from analysis. If yes, report if this was due to attrition or intentional exclusion and provide justification.</w:t>
            </w:r>
          </w:p>
        </w:tc>
        <w:tc>
          <w:tcPr>
            <w:tcW w:w="5103" w:type="dxa"/>
          </w:tcPr>
          <w:p w14:paraId="1B139F2B" w14:textId="77777777" w:rsidR="00694F46" w:rsidRPr="00694F46" w:rsidRDefault="00694F46" w:rsidP="00694F46">
            <w:pPr>
              <w:pStyle w:val="Heading2"/>
              <w:rPr>
                <w:rFonts w:ascii="Calibri" w:eastAsia="Calibri" w:hAnsi="Calibri" w:cs="Calibri"/>
                <w:bCs w:val="0"/>
                <w:color w:val="auto"/>
              </w:rPr>
            </w:pPr>
            <w:r w:rsidRPr="00694F46">
              <w:rPr>
                <w:rFonts w:ascii="Calibri" w:eastAsia="Calibri" w:hAnsi="Calibri" w:cs="Calibri"/>
                <w:bCs w:val="0"/>
                <w:color w:val="auto"/>
              </w:rPr>
              <w:t>Methods section; subsections “Anaesthesia Data: Recruitment” and “Disorders of Consciousness Patient Data: Recruitment”</w:t>
            </w:r>
          </w:p>
          <w:p w14:paraId="6528D38B" w14:textId="77777777" w:rsidR="00694F46" w:rsidRDefault="00694F46" w:rsidP="00694F46">
            <w:pPr>
              <w:rPr>
                <w:b/>
                <w:bCs/>
                <w:sz w:val="20"/>
                <w:szCs w:val="20"/>
              </w:rPr>
            </w:pPr>
          </w:p>
          <w:p w14:paraId="4B64862C" w14:textId="77777777" w:rsidR="00135BA2" w:rsidRPr="00135BA2" w:rsidRDefault="00135BA2" w:rsidP="00135BA2">
            <w:pPr>
              <w:rPr>
                <w:sz w:val="20"/>
                <w:szCs w:val="20"/>
              </w:rPr>
            </w:pPr>
            <w:r w:rsidRPr="00135BA2">
              <w:rPr>
                <w:sz w:val="20"/>
                <w:szCs w:val="20"/>
              </w:rPr>
              <w:t>Anaesthesia: Due to equipment malfunction or physiological impediments to anaesthesia in the scanner, data from n=3 participants (1 male) were excluded from analyses, leaving a total n=16 for analysis</w:t>
            </w:r>
          </w:p>
          <w:p w14:paraId="6A7C128F" w14:textId="77777777" w:rsidR="00135BA2" w:rsidRPr="00135BA2" w:rsidRDefault="00135BA2" w:rsidP="00135BA2">
            <w:pPr>
              <w:rPr>
                <w:sz w:val="20"/>
                <w:szCs w:val="20"/>
              </w:rPr>
            </w:pPr>
          </w:p>
          <w:p w14:paraId="34E0EA37" w14:textId="77777777" w:rsidR="00135BA2" w:rsidRPr="00135BA2" w:rsidRDefault="00135BA2" w:rsidP="00135BA2">
            <w:pPr>
              <w:rPr>
                <w:sz w:val="20"/>
                <w:szCs w:val="20"/>
              </w:rPr>
            </w:pPr>
            <w:r w:rsidRPr="00135BA2">
              <w:rPr>
                <w:sz w:val="20"/>
                <w:szCs w:val="20"/>
              </w:rPr>
              <w:t>DOC patients: before analysis took place, patients were systematically excluded if an expert neuroanatomist blinded to diagnosis judged that they displayed excessive focal brain damage (over one third of one hemisphere), or if brain damage led to suboptimal segmentation and normalisation, or due to excessive head motion in the MRI scanner (exceeding 3mm translation or 3 degrees rotation).</w:t>
            </w:r>
          </w:p>
          <w:p w14:paraId="2A4FF7FF" w14:textId="77777777" w:rsidR="00135BA2" w:rsidRPr="00D17B3D" w:rsidRDefault="00135BA2" w:rsidP="00694F46">
            <w:pPr>
              <w:rPr>
                <w:b/>
                <w:bCs/>
                <w:sz w:val="20"/>
                <w:szCs w:val="20"/>
              </w:rPr>
            </w:pPr>
          </w:p>
        </w:tc>
        <w:tc>
          <w:tcPr>
            <w:tcW w:w="799" w:type="dxa"/>
          </w:tcPr>
          <w:p w14:paraId="58E9C242" w14:textId="77777777" w:rsidR="00694F46" w:rsidRDefault="00694F46" w:rsidP="00694F46">
            <w:pPr>
              <w:rPr>
                <w:b/>
                <w:bCs/>
                <w:sz w:val="20"/>
                <w:szCs w:val="20"/>
              </w:rPr>
            </w:pPr>
          </w:p>
        </w:tc>
      </w:tr>
      <w:tr w:rsidR="00694F46" w:rsidRPr="00D17B3D" w14:paraId="722B1A62" w14:textId="77777777" w:rsidTr="00D17B3D">
        <w:tc>
          <w:tcPr>
            <w:tcW w:w="3114" w:type="dxa"/>
          </w:tcPr>
          <w:p w14:paraId="60382396" w14:textId="77777777" w:rsidR="00694F46" w:rsidRDefault="00694F46" w:rsidP="00694F46">
            <w:pPr>
              <w:pStyle w:val="Default"/>
              <w:rPr>
                <w:color w:val="434343"/>
                <w:sz w:val="18"/>
                <w:szCs w:val="18"/>
              </w:rPr>
            </w:pPr>
            <w:r>
              <w:rPr>
                <w:b/>
                <w:bCs/>
                <w:color w:val="434343"/>
                <w:sz w:val="18"/>
                <w:szCs w:val="18"/>
              </w:rPr>
              <w:t xml:space="preserve">Statistics </w:t>
            </w:r>
          </w:p>
          <w:p w14:paraId="5D07A754" w14:textId="7407F343" w:rsidR="00694F46" w:rsidRPr="0023708B" w:rsidRDefault="00694F46" w:rsidP="00694F46">
            <w:pPr>
              <w:rPr>
                <w:b/>
                <w:bCs/>
                <w:sz w:val="20"/>
                <w:szCs w:val="20"/>
              </w:rPr>
            </w:pPr>
          </w:p>
        </w:tc>
        <w:tc>
          <w:tcPr>
            <w:tcW w:w="5103" w:type="dxa"/>
          </w:tcPr>
          <w:p w14:paraId="09AB1E0E" w14:textId="7BE1FE7A" w:rsidR="00694F46" w:rsidRPr="00D17B3D" w:rsidRDefault="00694F46" w:rsidP="00694F46">
            <w:pPr>
              <w:rPr>
                <w:b/>
                <w:bCs/>
                <w:sz w:val="20"/>
                <w:szCs w:val="20"/>
              </w:rPr>
            </w:pPr>
            <w:r w:rsidRPr="00D17B3D">
              <w:rPr>
                <w:b/>
                <w:bCs/>
                <w:sz w:val="20"/>
                <w:szCs w:val="20"/>
              </w:rPr>
              <w:t>Indicate where provided: section/figure legend</w:t>
            </w:r>
          </w:p>
        </w:tc>
        <w:tc>
          <w:tcPr>
            <w:tcW w:w="799" w:type="dxa"/>
          </w:tcPr>
          <w:p w14:paraId="04ACBF14" w14:textId="27EC7F17" w:rsidR="00694F46" w:rsidRDefault="00694F46" w:rsidP="00694F46">
            <w:pPr>
              <w:rPr>
                <w:b/>
                <w:bCs/>
                <w:sz w:val="20"/>
                <w:szCs w:val="20"/>
              </w:rPr>
            </w:pPr>
            <w:r>
              <w:rPr>
                <w:b/>
                <w:bCs/>
                <w:sz w:val="20"/>
                <w:szCs w:val="20"/>
              </w:rPr>
              <w:t>N/A</w:t>
            </w:r>
          </w:p>
        </w:tc>
      </w:tr>
      <w:tr w:rsidR="00694F46" w:rsidRPr="00D17B3D" w14:paraId="45A769F0" w14:textId="77777777" w:rsidTr="00D17B3D">
        <w:tc>
          <w:tcPr>
            <w:tcW w:w="3114" w:type="dxa"/>
          </w:tcPr>
          <w:p w14:paraId="39816A23" w14:textId="77777777" w:rsidR="00694F46" w:rsidRDefault="00694F46" w:rsidP="00694F46">
            <w:pPr>
              <w:pStyle w:val="Default"/>
              <w:rPr>
                <w:sz w:val="18"/>
                <w:szCs w:val="18"/>
              </w:rPr>
            </w:pPr>
            <w:r>
              <w:rPr>
                <w:color w:val="434343"/>
                <w:sz w:val="18"/>
                <w:szCs w:val="18"/>
              </w:rPr>
              <w:t xml:space="preserve">Describe statistical tests used and justify choice of tests. </w:t>
            </w:r>
          </w:p>
          <w:p w14:paraId="7C1D0ED4" w14:textId="77777777" w:rsidR="00694F46" w:rsidRPr="0023708B" w:rsidRDefault="00694F46" w:rsidP="00694F46">
            <w:pPr>
              <w:rPr>
                <w:b/>
                <w:bCs/>
                <w:sz w:val="20"/>
                <w:szCs w:val="20"/>
              </w:rPr>
            </w:pPr>
          </w:p>
        </w:tc>
        <w:tc>
          <w:tcPr>
            <w:tcW w:w="5103" w:type="dxa"/>
          </w:tcPr>
          <w:p w14:paraId="22CBCFBF" w14:textId="77777777" w:rsidR="00694F46" w:rsidRDefault="00135BA2" w:rsidP="00694F46">
            <w:pPr>
              <w:rPr>
                <w:sz w:val="20"/>
                <w:szCs w:val="20"/>
              </w:rPr>
            </w:pPr>
            <w:r w:rsidRPr="00135BA2">
              <w:rPr>
                <w:sz w:val="20"/>
                <w:szCs w:val="20"/>
              </w:rPr>
              <w:t>Network Based Statistic; Spatial autocorrelation-preserving null model for correlation</w:t>
            </w:r>
            <w:r>
              <w:rPr>
                <w:sz w:val="20"/>
                <w:szCs w:val="20"/>
              </w:rPr>
              <w:t xml:space="preserve"> (reported in section Methods, subsection Statistical Analysis)</w:t>
            </w:r>
          </w:p>
          <w:p w14:paraId="01CECCB9" w14:textId="032C29CE" w:rsidR="00135BA2" w:rsidRPr="00135BA2" w:rsidRDefault="00135BA2" w:rsidP="00694F46">
            <w:pPr>
              <w:rPr>
                <w:sz w:val="20"/>
                <w:szCs w:val="20"/>
              </w:rPr>
            </w:pPr>
          </w:p>
        </w:tc>
        <w:tc>
          <w:tcPr>
            <w:tcW w:w="799" w:type="dxa"/>
          </w:tcPr>
          <w:p w14:paraId="75908E13" w14:textId="77777777" w:rsidR="00694F46" w:rsidRDefault="00694F46" w:rsidP="00694F46">
            <w:pPr>
              <w:rPr>
                <w:b/>
                <w:bCs/>
                <w:sz w:val="20"/>
                <w:szCs w:val="20"/>
              </w:rPr>
            </w:pPr>
          </w:p>
        </w:tc>
      </w:tr>
      <w:tr w:rsidR="00694F46" w:rsidRPr="00D17B3D" w14:paraId="76334A80" w14:textId="77777777" w:rsidTr="00D17B3D">
        <w:tc>
          <w:tcPr>
            <w:tcW w:w="3114" w:type="dxa"/>
          </w:tcPr>
          <w:p w14:paraId="031052BC" w14:textId="2EC36B1E" w:rsidR="00694F46" w:rsidRPr="0023708B" w:rsidRDefault="00694F46" w:rsidP="00694F46">
            <w:pPr>
              <w:rPr>
                <w:b/>
                <w:bCs/>
                <w:sz w:val="20"/>
                <w:szCs w:val="20"/>
              </w:rPr>
            </w:pPr>
            <w:r w:rsidRPr="007A05A7">
              <w:rPr>
                <w:rFonts w:ascii="Noto Sans" w:hAnsi="Noto Sans" w:cs="Noto Sans"/>
                <w:b/>
                <w:bCs/>
                <w:color w:val="434343"/>
                <w:sz w:val="18"/>
                <w:szCs w:val="18"/>
              </w:rPr>
              <w:lastRenderedPageBreak/>
              <w:t>Data availability</w:t>
            </w:r>
          </w:p>
        </w:tc>
        <w:tc>
          <w:tcPr>
            <w:tcW w:w="5103" w:type="dxa"/>
          </w:tcPr>
          <w:p w14:paraId="2442BA1C" w14:textId="6184510A" w:rsidR="00694F46" w:rsidRPr="00D17B3D" w:rsidRDefault="00694F46" w:rsidP="00694F46">
            <w:pPr>
              <w:rPr>
                <w:b/>
                <w:bCs/>
                <w:sz w:val="20"/>
                <w:szCs w:val="20"/>
              </w:rPr>
            </w:pPr>
            <w:r w:rsidRPr="00D17B3D">
              <w:rPr>
                <w:b/>
                <w:bCs/>
                <w:sz w:val="20"/>
                <w:szCs w:val="20"/>
              </w:rPr>
              <w:t>Indicate where provided: section/figure legend</w:t>
            </w:r>
          </w:p>
        </w:tc>
        <w:tc>
          <w:tcPr>
            <w:tcW w:w="799" w:type="dxa"/>
          </w:tcPr>
          <w:p w14:paraId="2EEA866A" w14:textId="2C25E44C" w:rsidR="00694F46" w:rsidRDefault="00694F46" w:rsidP="00694F46">
            <w:pPr>
              <w:rPr>
                <w:b/>
                <w:bCs/>
                <w:sz w:val="20"/>
                <w:szCs w:val="20"/>
              </w:rPr>
            </w:pPr>
            <w:r>
              <w:rPr>
                <w:b/>
                <w:bCs/>
                <w:sz w:val="20"/>
                <w:szCs w:val="20"/>
              </w:rPr>
              <w:t>N/A</w:t>
            </w:r>
          </w:p>
        </w:tc>
      </w:tr>
      <w:tr w:rsidR="00694F46" w:rsidRPr="00D17B3D" w14:paraId="02D98C4C" w14:textId="77777777" w:rsidTr="00D17B3D">
        <w:tc>
          <w:tcPr>
            <w:tcW w:w="3114" w:type="dxa"/>
          </w:tcPr>
          <w:p w14:paraId="0CF8CE6E" w14:textId="19D8DF3C" w:rsidR="00694F46" w:rsidRPr="0023708B" w:rsidRDefault="00694F46" w:rsidP="00694F46">
            <w:pPr>
              <w:pStyle w:val="Default"/>
              <w:rPr>
                <w:b/>
                <w:bCs/>
                <w:sz w:val="20"/>
                <w:szCs w:val="20"/>
              </w:rPr>
            </w:pPr>
            <w:r>
              <w:rPr>
                <w:color w:val="434343"/>
                <w:sz w:val="18"/>
                <w:szCs w:val="18"/>
              </w:rPr>
              <w:t xml:space="preserve">For newly created and reused datasets, the manuscript includes a data availability statement that provides details for access (or notes restrictions on access). </w:t>
            </w:r>
          </w:p>
        </w:tc>
        <w:tc>
          <w:tcPr>
            <w:tcW w:w="5103" w:type="dxa"/>
          </w:tcPr>
          <w:p w14:paraId="4014025D" w14:textId="27AE51B3" w:rsidR="00694F46" w:rsidRPr="00135BA2" w:rsidRDefault="00AC2461" w:rsidP="00694F46">
            <w:pPr>
              <w:rPr>
                <w:rFonts w:ascii="Noto Sans" w:hAnsi="Noto Sans" w:cs="Noto Sans"/>
                <w:color w:val="434343"/>
                <w:sz w:val="18"/>
                <w:szCs w:val="18"/>
              </w:rPr>
            </w:pPr>
            <w:r w:rsidRPr="00AC2461">
              <w:rPr>
                <w:rFonts w:ascii="Noto Sans" w:hAnsi="Noto Sans" w:cs="Noto Sans"/>
                <w:color w:val="434343"/>
                <w:sz w:val="18"/>
                <w:szCs w:val="18"/>
              </w:rPr>
              <w:t xml:space="preserve">The Human Connectome Project datasets are freely available from http://www.humanconnectome.org/. Due to patient privacy concerns, DOC patient data are available upon request by qualified researchers. The UK Health Research Authority mandates that the confidentiality of data is the responsibility of Chief Investigators for the initial studies (in this case, </w:t>
            </w:r>
            <w:proofErr w:type="spellStart"/>
            <w:r w:rsidRPr="00AC2461">
              <w:rPr>
                <w:rFonts w:ascii="Noto Sans" w:hAnsi="Noto Sans" w:cs="Noto Sans"/>
                <w:color w:val="434343"/>
                <w:sz w:val="18"/>
                <w:szCs w:val="18"/>
              </w:rPr>
              <w:t>Dr.</w:t>
            </w:r>
            <w:proofErr w:type="spellEnd"/>
            <w:r w:rsidRPr="00AC2461">
              <w:rPr>
                <w:rFonts w:ascii="Noto Sans" w:hAnsi="Noto Sans" w:cs="Noto Sans"/>
                <w:color w:val="434343"/>
                <w:sz w:val="18"/>
                <w:szCs w:val="18"/>
              </w:rPr>
              <w:t xml:space="preserve"> Allanson and Prof Menon; and anyone to whom this responsibility is handed – for example, in the context of retirement or transfer to another institution). For researchers interested in working with this dataset, please contact </w:t>
            </w:r>
            <w:proofErr w:type="spellStart"/>
            <w:r w:rsidRPr="00AC2461">
              <w:rPr>
                <w:rFonts w:ascii="Noto Sans" w:hAnsi="Noto Sans" w:cs="Noto Sans"/>
                <w:color w:val="434343"/>
                <w:sz w:val="18"/>
                <w:szCs w:val="18"/>
              </w:rPr>
              <w:t>Dr.</w:t>
            </w:r>
            <w:proofErr w:type="spellEnd"/>
            <w:r w:rsidRPr="00AC2461">
              <w:rPr>
                <w:rFonts w:ascii="Noto Sans" w:hAnsi="Noto Sans" w:cs="Noto Sans"/>
                <w:color w:val="434343"/>
                <w:sz w:val="18"/>
                <w:szCs w:val="18"/>
              </w:rPr>
              <w:t xml:space="preserve"> Judith Allanson (judith.allanson@addenbrookes.nhs.uk), Prof. David Menon (dkm13@cam.ac.uk) and/or </w:t>
            </w:r>
            <w:proofErr w:type="spellStart"/>
            <w:r w:rsidRPr="00AC2461">
              <w:rPr>
                <w:rFonts w:ascii="Noto Sans" w:hAnsi="Noto Sans" w:cs="Noto Sans"/>
                <w:color w:val="434343"/>
                <w:sz w:val="18"/>
                <w:szCs w:val="18"/>
              </w:rPr>
              <w:t>Dr.</w:t>
            </w:r>
            <w:proofErr w:type="spellEnd"/>
            <w:r w:rsidRPr="00AC2461">
              <w:rPr>
                <w:rFonts w:ascii="Noto Sans" w:hAnsi="Noto Sans" w:cs="Noto Sans"/>
                <w:color w:val="434343"/>
                <w:sz w:val="18"/>
                <w:szCs w:val="18"/>
              </w:rPr>
              <w:t xml:space="preserve"> Emmanuel Stamatakis (eas46@cam.ac.uk). Requests will be considered on a case-by-case basis, assessing the feasibility and appropriateness of the proposed study, and the capacity to maintain the required levels of data security, consistent with the original approved Research Ethics approval, and the patient information sheet that was the basis of consent obtained. The propofol dataset is available on the </w:t>
            </w:r>
            <w:proofErr w:type="spellStart"/>
            <w:r w:rsidRPr="00AC2461">
              <w:rPr>
                <w:rFonts w:ascii="Noto Sans" w:hAnsi="Noto Sans" w:cs="Noto Sans"/>
                <w:color w:val="434343"/>
                <w:sz w:val="18"/>
                <w:szCs w:val="18"/>
              </w:rPr>
              <w:t>OpenNeuro</w:t>
            </w:r>
            <w:proofErr w:type="spellEnd"/>
            <w:r w:rsidRPr="00AC2461">
              <w:rPr>
                <w:rFonts w:ascii="Noto Sans" w:hAnsi="Noto Sans" w:cs="Noto Sans"/>
                <w:color w:val="434343"/>
                <w:sz w:val="18"/>
                <w:szCs w:val="18"/>
              </w:rPr>
              <w:t xml:space="preserve"> data repository (</w:t>
            </w:r>
            <w:proofErr w:type="spellStart"/>
            <w:r w:rsidRPr="00AC2461">
              <w:rPr>
                <w:rFonts w:ascii="Noto Sans" w:hAnsi="Noto Sans" w:cs="Noto Sans"/>
                <w:color w:val="434343"/>
                <w:sz w:val="18"/>
                <w:szCs w:val="18"/>
              </w:rPr>
              <w:t>doi</w:t>
            </w:r>
            <w:proofErr w:type="spellEnd"/>
            <w:r w:rsidRPr="00AC2461">
              <w:rPr>
                <w:rFonts w:ascii="Noto Sans" w:hAnsi="Noto Sans" w:cs="Noto Sans"/>
                <w:color w:val="434343"/>
                <w:sz w:val="18"/>
                <w:szCs w:val="18"/>
              </w:rPr>
              <w:t>: 10.18112/openneuro.ds003171.v2.0.1).</w:t>
            </w:r>
          </w:p>
        </w:tc>
        <w:tc>
          <w:tcPr>
            <w:tcW w:w="799" w:type="dxa"/>
          </w:tcPr>
          <w:p w14:paraId="5AAB90A9" w14:textId="77777777" w:rsidR="00694F46" w:rsidRDefault="00694F46" w:rsidP="00694F46">
            <w:pPr>
              <w:rPr>
                <w:b/>
                <w:bCs/>
                <w:sz w:val="20"/>
                <w:szCs w:val="20"/>
              </w:rPr>
            </w:pPr>
          </w:p>
        </w:tc>
      </w:tr>
      <w:tr w:rsidR="00694F46" w:rsidRPr="00D17B3D" w14:paraId="4804A2EF" w14:textId="77777777" w:rsidTr="00D17B3D">
        <w:tc>
          <w:tcPr>
            <w:tcW w:w="3114" w:type="dxa"/>
          </w:tcPr>
          <w:p w14:paraId="5767E6FD" w14:textId="105B4E55" w:rsidR="00694F46" w:rsidRPr="007A05A7" w:rsidRDefault="00694F46" w:rsidP="00694F46">
            <w:pPr>
              <w:pStyle w:val="Default"/>
              <w:rPr>
                <w:sz w:val="18"/>
                <w:szCs w:val="18"/>
              </w:rPr>
            </w:pPr>
            <w:r>
              <w:rPr>
                <w:color w:val="434343"/>
                <w:sz w:val="18"/>
                <w:szCs w:val="18"/>
              </w:rPr>
              <w:t xml:space="preserve">When newly created datasets are publicly available, provide accession number in repository OR DOI and licensing details </w:t>
            </w:r>
            <w:proofErr w:type="spellStart"/>
            <w:r>
              <w:rPr>
                <w:color w:val="434343"/>
                <w:sz w:val="18"/>
                <w:szCs w:val="18"/>
              </w:rPr>
              <w:t>where</w:t>
            </w:r>
            <w:proofErr w:type="spellEnd"/>
            <w:r>
              <w:rPr>
                <w:color w:val="434343"/>
                <w:sz w:val="18"/>
                <w:szCs w:val="18"/>
              </w:rPr>
              <w:t xml:space="preserve"> available. </w:t>
            </w:r>
          </w:p>
        </w:tc>
        <w:tc>
          <w:tcPr>
            <w:tcW w:w="5103" w:type="dxa"/>
          </w:tcPr>
          <w:p w14:paraId="48156CF3" w14:textId="77777777" w:rsidR="00694F46" w:rsidRPr="00D17B3D" w:rsidRDefault="00694F46" w:rsidP="00694F46">
            <w:pPr>
              <w:rPr>
                <w:b/>
                <w:bCs/>
                <w:sz w:val="20"/>
                <w:szCs w:val="20"/>
              </w:rPr>
            </w:pPr>
          </w:p>
        </w:tc>
        <w:tc>
          <w:tcPr>
            <w:tcW w:w="799" w:type="dxa"/>
          </w:tcPr>
          <w:p w14:paraId="79017579" w14:textId="1305EFBA" w:rsidR="00694F46" w:rsidRDefault="00135BA2" w:rsidP="00694F46">
            <w:pPr>
              <w:rPr>
                <w:b/>
                <w:bCs/>
                <w:sz w:val="20"/>
                <w:szCs w:val="20"/>
              </w:rPr>
            </w:pPr>
            <w:r>
              <w:rPr>
                <w:sz w:val="20"/>
                <w:szCs w:val="20"/>
              </w:rPr>
              <w:t>N/A</w:t>
            </w:r>
          </w:p>
        </w:tc>
      </w:tr>
      <w:tr w:rsidR="00694F46" w14:paraId="3D968761" w14:textId="77777777" w:rsidTr="007A05A7">
        <w:tc>
          <w:tcPr>
            <w:tcW w:w="3114" w:type="dxa"/>
          </w:tcPr>
          <w:p w14:paraId="54E074E0" w14:textId="7AC2704E" w:rsidR="00694F46" w:rsidRPr="007A05A7" w:rsidRDefault="00694F46" w:rsidP="00694F46">
            <w:pPr>
              <w:pStyle w:val="Default"/>
              <w:rPr>
                <w:sz w:val="18"/>
                <w:szCs w:val="18"/>
              </w:rPr>
            </w:pPr>
            <w:r>
              <w:rPr>
                <w:color w:val="434343"/>
                <w:sz w:val="18"/>
                <w:szCs w:val="18"/>
              </w:rPr>
              <w:t xml:space="preserve">If reused data is publicly available provide accession number in repository OR DOI, OR URL, OR citation. </w:t>
            </w:r>
          </w:p>
        </w:tc>
        <w:tc>
          <w:tcPr>
            <w:tcW w:w="5103" w:type="dxa"/>
          </w:tcPr>
          <w:p w14:paraId="41F0A17F" w14:textId="77777777" w:rsidR="00694F46" w:rsidRPr="00D17B3D" w:rsidRDefault="00694F46" w:rsidP="00694F46">
            <w:pPr>
              <w:rPr>
                <w:b/>
                <w:bCs/>
                <w:sz w:val="20"/>
                <w:szCs w:val="20"/>
              </w:rPr>
            </w:pPr>
          </w:p>
        </w:tc>
        <w:tc>
          <w:tcPr>
            <w:tcW w:w="799" w:type="dxa"/>
          </w:tcPr>
          <w:p w14:paraId="47706319" w14:textId="65CA6FC9" w:rsidR="00694F46" w:rsidRDefault="00135BA2" w:rsidP="00694F46">
            <w:pPr>
              <w:rPr>
                <w:b/>
                <w:bCs/>
                <w:sz w:val="20"/>
                <w:szCs w:val="20"/>
              </w:rPr>
            </w:pPr>
            <w:r>
              <w:rPr>
                <w:sz w:val="20"/>
                <w:szCs w:val="20"/>
              </w:rPr>
              <w:t>N/A</w:t>
            </w:r>
          </w:p>
        </w:tc>
      </w:tr>
      <w:tr w:rsidR="00694F46" w14:paraId="7061B6A2" w14:textId="77777777" w:rsidTr="007A05A7">
        <w:tc>
          <w:tcPr>
            <w:tcW w:w="3114" w:type="dxa"/>
          </w:tcPr>
          <w:p w14:paraId="5C7AB5F0" w14:textId="4247A89A" w:rsidR="00694F46" w:rsidRPr="0023708B" w:rsidRDefault="00694F46" w:rsidP="00694F46">
            <w:pPr>
              <w:rPr>
                <w:b/>
                <w:bCs/>
                <w:sz w:val="20"/>
                <w:szCs w:val="20"/>
              </w:rPr>
            </w:pPr>
            <w:r>
              <w:rPr>
                <w:rFonts w:ascii="Noto Sans" w:hAnsi="Noto Sans" w:cs="Noto Sans"/>
                <w:b/>
                <w:bCs/>
                <w:color w:val="434343"/>
                <w:sz w:val="18"/>
                <w:szCs w:val="18"/>
              </w:rPr>
              <w:t>Code</w:t>
            </w:r>
            <w:r w:rsidRPr="007A05A7">
              <w:rPr>
                <w:rFonts w:ascii="Noto Sans" w:hAnsi="Noto Sans" w:cs="Noto Sans"/>
                <w:b/>
                <w:bCs/>
                <w:color w:val="434343"/>
                <w:sz w:val="18"/>
                <w:szCs w:val="18"/>
              </w:rPr>
              <w:t xml:space="preserve"> availability</w:t>
            </w:r>
          </w:p>
        </w:tc>
        <w:tc>
          <w:tcPr>
            <w:tcW w:w="5103" w:type="dxa"/>
          </w:tcPr>
          <w:p w14:paraId="6AA293E6" w14:textId="77777777" w:rsidR="00694F46" w:rsidRPr="00D17B3D" w:rsidRDefault="00694F46" w:rsidP="00694F46">
            <w:pPr>
              <w:rPr>
                <w:b/>
                <w:bCs/>
                <w:sz w:val="20"/>
                <w:szCs w:val="20"/>
              </w:rPr>
            </w:pPr>
            <w:r w:rsidRPr="00D17B3D">
              <w:rPr>
                <w:b/>
                <w:bCs/>
                <w:sz w:val="20"/>
                <w:szCs w:val="20"/>
              </w:rPr>
              <w:t>Indicate where provided: section/figure legend</w:t>
            </w:r>
          </w:p>
        </w:tc>
        <w:tc>
          <w:tcPr>
            <w:tcW w:w="799" w:type="dxa"/>
          </w:tcPr>
          <w:p w14:paraId="7A10C4FA" w14:textId="77777777" w:rsidR="00694F46" w:rsidRDefault="00694F46" w:rsidP="00694F46">
            <w:pPr>
              <w:rPr>
                <w:b/>
                <w:bCs/>
                <w:sz w:val="20"/>
                <w:szCs w:val="20"/>
              </w:rPr>
            </w:pPr>
            <w:r>
              <w:rPr>
                <w:b/>
                <w:bCs/>
                <w:sz w:val="20"/>
                <w:szCs w:val="20"/>
              </w:rPr>
              <w:t>N/A</w:t>
            </w:r>
          </w:p>
        </w:tc>
      </w:tr>
      <w:tr w:rsidR="00694F46" w14:paraId="17E4A8F6" w14:textId="77777777" w:rsidTr="007A05A7">
        <w:tc>
          <w:tcPr>
            <w:tcW w:w="3114" w:type="dxa"/>
          </w:tcPr>
          <w:p w14:paraId="6FA862F4" w14:textId="1EB898D2" w:rsidR="00694F46" w:rsidRPr="007A05A7" w:rsidRDefault="00694F46" w:rsidP="00694F46">
            <w:pPr>
              <w:pStyle w:val="Default"/>
              <w:rPr>
                <w:sz w:val="18"/>
                <w:szCs w:val="18"/>
              </w:rPr>
            </w:pPr>
            <w:r>
              <w:rPr>
                <w:color w:val="434343"/>
                <w:sz w:val="18"/>
                <w:szCs w:val="18"/>
              </w:rPr>
              <w:t xml:space="preserve">For any computer code/software/mathematical algorithms essential for replicating the main findings of the study, whether newly generated or re-used, the manuscript includes a data availability statement that provides details for access or notes restrictions. </w:t>
            </w:r>
          </w:p>
        </w:tc>
        <w:tc>
          <w:tcPr>
            <w:tcW w:w="5103" w:type="dxa"/>
          </w:tcPr>
          <w:p w14:paraId="19F69789" w14:textId="77777777" w:rsidR="00135BA2" w:rsidRPr="00135BA2" w:rsidRDefault="00135BA2" w:rsidP="00135BA2">
            <w:pPr>
              <w:pBdr>
                <w:top w:val="nil"/>
                <w:left w:val="nil"/>
                <w:bottom w:val="nil"/>
                <w:right w:val="nil"/>
                <w:between w:val="nil"/>
              </w:pBdr>
              <w:contextualSpacing/>
              <w:jc w:val="both"/>
              <w:rPr>
                <w:rFonts w:ascii="Noto Sans" w:hAnsi="Noto Sans" w:cs="Noto Sans"/>
                <w:color w:val="434343"/>
                <w:sz w:val="18"/>
                <w:szCs w:val="18"/>
              </w:rPr>
            </w:pPr>
            <w:r w:rsidRPr="00135BA2">
              <w:rPr>
                <w:rFonts w:ascii="Noto Sans" w:hAnsi="Noto Sans" w:cs="Noto Sans"/>
                <w:color w:val="434343"/>
                <w:sz w:val="18"/>
                <w:szCs w:val="18"/>
              </w:rPr>
              <w:t>The Java Information Dynamics Toolbox v1.5 is freely available online: (</w:t>
            </w:r>
            <w:hyperlink r:id="rId4">
              <w:r w:rsidRPr="00135BA2">
                <w:rPr>
                  <w:rFonts w:ascii="Noto Sans" w:hAnsi="Noto Sans" w:cs="Noto Sans"/>
                  <w:color w:val="434343"/>
                  <w:sz w:val="18"/>
                  <w:szCs w:val="18"/>
                </w:rPr>
                <w:t>https://github.com/jlizier/jidt</w:t>
              </w:r>
            </w:hyperlink>
            <w:r w:rsidRPr="00135BA2">
              <w:rPr>
                <w:rFonts w:ascii="Noto Sans" w:hAnsi="Noto Sans" w:cs="Noto Sans"/>
                <w:color w:val="434343"/>
                <w:sz w:val="18"/>
                <w:szCs w:val="18"/>
              </w:rPr>
              <w:t>). The CONN toolbox version 17f is freely available online (</w:t>
            </w:r>
            <w:hyperlink r:id="rId5">
              <w:r w:rsidRPr="00135BA2">
                <w:rPr>
                  <w:rFonts w:ascii="Noto Sans" w:hAnsi="Noto Sans" w:cs="Noto Sans"/>
                  <w:color w:val="434343"/>
                  <w:sz w:val="18"/>
                  <w:szCs w:val="18"/>
                </w:rPr>
                <w:t>http://www.nitrc.org/projects/conn</w:t>
              </w:r>
            </w:hyperlink>
            <w:r w:rsidRPr="00135BA2">
              <w:rPr>
                <w:rFonts w:ascii="Noto Sans" w:hAnsi="Noto Sans" w:cs="Noto Sans"/>
                <w:color w:val="434343"/>
                <w:sz w:val="18"/>
                <w:szCs w:val="18"/>
              </w:rPr>
              <w:t>). The Brain Connectivity Toolbox code used for graph-theoretical analyses is freely available online (</w:t>
            </w:r>
            <w:hyperlink r:id="rId6">
              <w:r w:rsidRPr="00135BA2">
                <w:rPr>
                  <w:rFonts w:ascii="Noto Sans" w:hAnsi="Noto Sans" w:cs="Noto Sans"/>
                  <w:color w:val="434343"/>
                  <w:sz w:val="18"/>
                  <w:szCs w:val="18"/>
                </w:rPr>
                <w:t>https://sites.google.com/site/bctnet/</w:t>
              </w:r>
            </w:hyperlink>
            <w:r w:rsidRPr="00135BA2">
              <w:rPr>
                <w:rFonts w:ascii="Noto Sans" w:hAnsi="Noto Sans" w:cs="Noto Sans"/>
                <w:color w:val="434343"/>
                <w:sz w:val="18"/>
                <w:szCs w:val="18"/>
              </w:rPr>
              <w:t>). The HRF deconvolution toolbox v2.2 is freely available online: (</w:t>
            </w:r>
            <w:hyperlink r:id="rId7">
              <w:r w:rsidRPr="00135BA2">
                <w:rPr>
                  <w:rFonts w:ascii="Noto Sans" w:hAnsi="Noto Sans" w:cs="Noto Sans"/>
                  <w:color w:val="434343"/>
                  <w:sz w:val="18"/>
                  <w:szCs w:val="18"/>
                </w:rPr>
                <w:t>https://www.nitrc.org/projects/rshrf</w:t>
              </w:r>
            </w:hyperlink>
            <w:r w:rsidRPr="00135BA2">
              <w:rPr>
                <w:rFonts w:ascii="Noto Sans" w:hAnsi="Noto Sans" w:cs="Noto Sans"/>
                <w:color w:val="434343"/>
                <w:sz w:val="18"/>
                <w:szCs w:val="18"/>
              </w:rPr>
              <w:t>). The code for spin-based permutation testing of cortical correlations is freely available at </w:t>
            </w:r>
            <w:hyperlink r:id="rId8" w:history="1">
              <w:r w:rsidRPr="00135BA2">
                <w:rPr>
                  <w:rFonts w:ascii="Noto Sans" w:hAnsi="Noto Sans" w:cs="Noto Sans"/>
                  <w:color w:val="434343"/>
                  <w:sz w:val="18"/>
                  <w:szCs w:val="18"/>
                </w:rPr>
                <w:t>https://github.com/frantisekvasa/rotate_parcellation</w:t>
              </w:r>
            </w:hyperlink>
            <w:r w:rsidRPr="00135BA2">
              <w:rPr>
                <w:rFonts w:ascii="Noto Sans" w:hAnsi="Noto Sans" w:cs="Noto Sans"/>
                <w:color w:val="434343"/>
                <w:sz w:val="18"/>
                <w:szCs w:val="18"/>
              </w:rPr>
              <w:t xml:space="preserve">. We have made freely available MATLAB/Octave and Python code to compute measures of Integrated Information Decomposition of timeseries with the Gaussian MMI solver, at </w:t>
            </w:r>
            <w:hyperlink r:id="rId9" w:history="1">
              <w:r w:rsidRPr="00135BA2">
                <w:rPr>
                  <w:rFonts w:ascii="Noto Sans" w:hAnsi="Noto Sans" w:cs="Noto Sans"/>
                  <w:color w:val="434343"/>
                  <w:sz w:val="18"/>
                  <w:szCs w:val="18"/>
                </w:rPr>
                <w:t>https://github.com/Imperial-MIND-lab/integrated-info-decomp</w:t>
              </w:r>
            </w:hyperlink>
            <w:r w:rsidRPr="00135BA2">
              <w:rPr>
                <w:rFonts w:ascii="Noto Sans" w:hAnsi="Noto Sans" w:cs="Noto Sans"/>
                <w:color w:val="434343"/>
                <w:sz w:val="18"/>
                <w:szCs w:val="18"/>
              </w:rPr>
              <w:t xml:space="preserve">. </w:t>
            </w:r>
          </w:p>
          <w:p w14:paraId="29E91F75" w14:textId="77777777" w:rsidR="00694F46" w:rsidRPr="00135BA2" w:rsidRDefault="00694F46" w:rsidP="00694F46">
            <w:pPr>
              <w:rPr>
                <w:rFonts w:ascii="Noto Sans" w:hAnsi="Noto Sans" w:cs="Noto Sans"/>
                <w:color w:val="434343"/>
                <w:sz w:val="18"/>
                <w:szCs w:val="18"/>
              </w:rPr>
            </w:pPr>
          </w:p>
        </w:tc>
        <w:tc>
          <w:tcPr>
            <w:tcW w:w="799" w:type="dxa"/>
          </w:tcPr>
          <w:p w14:paraId="6F6885DF" w14:textId="77777777" w:rsidR="00694F46" w:rsidRDefault="00694F46" w:rsidP="00694F46">
            <w:pPr>
              <w:rPr>
                <w:b/>
                <w:bCs/>
                <w:sz w:val="20"/>
                <w:szCs w:val="20"/>
              </w:rPr>
            </w:pPr>
          </w:p>
        </w:tc>
      </w:tr>
      <w:tr w:rsidR="00694F46" w14:paraId="534C832C" w14:textId="77777777" w:rsidTr="007A05A7">
        <w:tc>
          <w:tcPr>
            <w:tcW w:w="3114" w:type="dxa"/>
          </w:tcPr>
          <w:p w14:paraId="3A329D0A" w14:textId="51F0D217" w:rsidR="00694F46" w:rsidRPr="007A05A7" w:rsidRDefault="00694F46" w:rsidP="00694F46">
            <w:pPr>
              <w:pStyle w:val="Default"/>
              <w:rPr>
                <w:sz w:val="18"/>
                <w:szCs w:val="18"/>
              </w:rPr>
            </w:pPr>
            <w:r>
              <w:rPr>
                <w:color w:val="434343"/>
                <w:sz w:val="18"/>
                <w:szCs w:val="18"/>
              </w:rPr>
              <w:t xml:space="preserve">Where newly generated code is publicly available, provide accession number in repository, OR DOI OR URL and licensing </w:t>
            </w:r>
            <w:r>
              <w:rPr>
                <w:color w:val="434343"/>
                <w:sz w:val="18"/>
                <w:szCs w:val="18"/>
              </w:rPr>
              <w:lastRenderedPageBreak/>
              <w:t xml:space="preserve">details </w:t>
            </w:r>
            <w:proofErr w:type="spellStart"/>
            <w:r>
              <w:rPr>
                <w:color w:val="434343"/>
                <w:sz w:val="18"/>
                <w:szCs w:val="18"/>
              </w:rPr>
              <w:t>where</w:t>
            </w:r>
            <w:proofErr w:type="spellEnd"/>
            <w:r>
              <w:rPr>
                <w:color w:val="434343"/>
                <w:sz w:val="18"/>
                <w:szCs w:val="18"/>
              </w:rPr>
              <w:t xml:space="preserve"> available. State any restrictions on code availability or accessibility. </w:t>
            </w:r>
          </w:p>
        </w:tc>
        <w:tc>
          <w:tcPr>
            <w:tcW w:w="5103" w:type="dxa"/>
          </w:tcPr>
          <w:p w14:paraId="42BF60E6" w14:textId="77777777" w:rsidR="00694F46" w:rsidRPr="00D17B3D" w:rsidRDefault="00694F46" w:rsidP="00694F46">
            <w:pPr>
              <w:rPr>
                <w:b/>
                <w:bCs/>
                <w:sz w:val="20"/>
                <w:szCs w:val="20"/>
              </w:rPr>
            </w:pPr>
          </w:p>
        </w:tc>
        <w:tc>
          <w:tcPr>
            <w:tcW w:w="799" w:type="dxa"/>
          </w:tcPr>
          <w:p w14:paraId="42F53058" w14:textId="222F5B39" w:rsidR="00694F46" w:rsidRDefault="00135BA2" w:rsidP="00694F46">
            <w:pPr>
              <w:rPr>
                <w:b/>
                <w:bCs/>
                <w:sz w:val="20"/>
                <w:szCs w:val="20"/>
              </w:rPr>
            </w:pPr>
            <w:r>
              <w:rPr>
                <w:sz w:val="20"/>
                <w:szCs w:val="20"/>
              </w:rPr>
              <w:t>N/A</w:t>
            </w:r>
          </w:p>
        </w:tc>
      </w:tr>
      <w:tr w:rsidR="00694F46" w14:paraId="2CAF32E5" w14:textId="77777777" w:rsidTr="007A05A7">
        <w:tc>
          <w:tcPr>
            <w:tcW w:w="3114" w:type="dxa"/>
          </w:tcPr>
          <w:p w14:paraId="39511BB5" w14:textId="61B267B9" w:rsidR="00694F46" w:rsidRPr="007A05A7" w:rsidRDefault="00694F46" w:rsidP="00694F46">
            <w:pPr>
              <w:pStyle w:val="Default"/>
              <w:rPr>
                <w:sz w:val="18"/>
                <w:szCs w:val="18"/>
              </w:rPr>
            </w:pPr>
            <w:r>
              <w:rPr>
                <w:color w:val="434343"/>
                <w:sz w:val="18"/>
                <w:szCs w:val="18"/>
              </w:rPr>
              <w:t xml:space="preserve">If reused code is publicly available provide accession number in repository OR DOI OR URL, OR citation. </w:t>
            </w:r>
          </w:p>
        </w:tc>
        <w:tc>
          <w:tcPr>
            <w:tcW w:w="5103" w:type="dxa"/>
          </w:tcPr>
          <w:p w14:paraId="218ED1C8" w14:textId="77777777" w:rsidR="00135BA2" w:rsidRPr="00135BA2" w:rsidRDefault="00135BA2" w:rsidP="00135BA2">
            <w:pPr>
              <w:pBdr>
                <w:top w:val="nil"/>
                <w:left w:val="nil"/>
                <w:bottom w:val="nil"/>
                <w:right w:val="nil"/>
                <w:between w:val="nil"/>
              </w:pBdr>
              <w:contextualSpacing/>
              <w:jc w:val="both"/>
              <w:rPr>
                <w:rFonts w:ascii="Noto Sans" w:hAnsi="Noto Sans" w:cs="Noto Sans"/>
                <w:color w:val="434343"/>
                <w:sz w:val="18"/>
                <w:szCs w:val="18"/>
              </w:rPr>
            </w:pPr>
            <w:r w:rsidRPr="00135BA2">
              <w:rPr>
                <w:rFonts w:ascii="Noto Sans" w:hAnsi="Noto Sans" w:cs="Noto Sans"/>
                <w:color w:val="434343"/>
                <w:sz w:val="18"/>
                <w:szCs w:val="18"/>
              </w:rPr>
              <w:t>The Java Information Dynamics Toolbox v1.5 is freely available online: (</w:t>
            </w:r>
            <w:hyperlink r:id="rId10">
              <w:r w:rsidRPr="00135BA2">
                <w:rPr>
                  <w:rFonts w:ascii="Noto Sans" w:hAnsi="Noto Sans" w:cs="Noto Sans"/>
                  <w:color w:val="434343"/>
                  <w:sz w:val="18"/>
                  <w:szCs w:val="18"/>
                </w:rPr>
                <w:t>https://github.com/jlizier/jidt</w:t>
              </w:r>
            </w:hyperlink>
            <w:r w:rsidRPr="00135BA2">
              <w:rPr>
                <w:rFonts w:ascii="Noto Sans" w:hAnsi="Noto Sans" w:cs="Noto Sans"/>
                <w:color w:val="434343"/>
                <w:sz w:val="18"/>
                <w:szCs w:val="18"/>
              </w:rPr>
              <w:t>). The CONN toolbox version 17f is freely available online (</w:t>
            </w:r>
            <w:hyperlink r:id="rId11">
              <w:r w:rsidRPr="00135BA2">
                <w:rPr>
                  <w:rFonts w:ascii="Noto Sans" w:hAnsi="Noto Sans" w:cs="Noto Sans"/>
                  <w:color w:val="434343"/>
                  <w:sz w:val="18"/>
                  <w:szCs w:val="18"/>
                </w:rPr>
                <w:t>http://www.nitrc.org/projects/conn</w:t>
              </w:r>
            </w:hyperlink>
            <w:r w:rsidRPr="00135BA2">
              <w:rPr>
                <w:rFonts w:ascii="Noto Sans" w:hAnsi="Noto Sans" w:cs="Noto Sans"/>
                <w:color w:val="434343"/>
                <w:sz w:val="18"/>
                <w:szCs w:val="18"/>
              </w:rPr>
              <w:t>). The Brain Connectivity Toolbox code used for graph-theoretical analyses is freely available online (</w:t>
            </w:r>
            <w:hyperlink r:id="rId12">
              <w:r w:rsidRPr="00135BA2">
                <w:rPr>
                  <w:rFonts w:ascii="Noto Sans" w:hAnsi="Noto Sans" w:cs="Noto Sans"/>
                  <w:color w:val="434343"/>
                  <w:sz w:val="18"/>
                  <w:szCs w:val="18"/>
                </w:rPr>
                <w:t>https://sites.google.com/site/bctnet/</w:t>
              </w:r>
            </w:hyperlink>
            <w:r w:rsidRPr="00135BA2">
              <w:rPr>
                <w:rFonts w:ascii="Noto Sans" w:hAnsi="Noto Sans" w:cs="Noto Sans"/>
                <w:color w:val="434343"/>
                <w:sz w:val="18"/>
                <w:szCs w:val="18"/>
              </w:rPr>
              <w:t>). The HRF deconvolution toolbox v2.2 is freely available online: (</w:t>
            </w:r>
            <w:hyperlink r:id="rId13">
              <w:r w:rsidRPr="00135BA2">
                <w:rPr>
                  <w:rFonts w:ascii="Noto Sans" w:hAnsi="Noto Sans" w:cs="Noto Sans"/>
                  <w:color w:val="434343"/>
                  <w:sz w:val="18"/>
                  <w:szCs w:val="18"/>
                </w:rPr>
                <w:t>https://www.nitrc.org/projects/rshrf</w:t>
              </w:r>
            </w:hyperlink>
            <w:r w:rsidRPr="00135BA2">
              <w:rPr>
                <w:rFonts w:ascii="Noto Sans" w:hAnsi="Noto Sans" w:cs="Noto Sans"/>
                <w:color w:val="434343"/>
                <w:sz w:val="18"/>
                <w:szCs w:val="18"/>
              </w:rPr>
              <w:t>). The code for spin-based permutation testing of cortical correlations is freely available at </w:t>
            </w:r>
            <w:hyperlink r:id="rId14" w:history="1">
              <w:r w:rsidRPr="00135BA2">
                <w:rPr>
                  <w:rFonts w:ascii="Noto Sans" w:hAnsi="Noto Sans" w:cs="Noto Sans"/>
                  <w:color w:val="434343"/>
                  <w:sz w:val="18"/>
                  <w:szCs w:val="18"/>
                </w:rPr>
                <w:t>https://github.com/frantisekvasa/rotate_parcellation</w:t>
              </w:r>
            </w:hyperlink>
            <w:r w:rsidRPr="00135BA2">
              <w:rPr>
                <w:rFonts w:ascii="Noto Sans" w:hAnsi="Noto Sans" w:cs="Noto Sans"/>
                <w:color w:val="434343"/>
                <w:sz w:val="18"/>
                <w:szCs w:val="18"/>
              </w:rPr>
              <w:t xml:space="preserve">. We have made freely available MATLAB/Octave and Python code to compute measures of Integrated Information Decomposition of timeseries with the Gaussian MMI solver, at </w:t>
            </w:r>
            <w:hyperlink r:id="rId15" w:history="1">
              <w:r w:rsidRPr="00135BA2">
                <w:rPr>
                  <w:rFonts w:ascii="Noto Sans" w:hAnsi="Noto Sans" w:cs="Noto Sans"/>
                  <w:color w:val="434343"/>
                  <w:sz w:val="18"/>
                  <w:szCs w:val="18"/>
                </w:rPr>
                <w:t>https://github.com/Imperial-MIND-lab/integrated-info-decomp</w:t>
              </w:r>
            </w:hyperlink>
            <w:r w:rsidRPr="00135BA2">
              <w:rPr>
                <w:rFonts w:ascii="Noto Sans" w:hAnsi="Noto Sans" w:cs="Noto Sans"/>
                <w:color w:val="434343"/>
                <w:sz w:val="18"/>
                <w:szCs w:val="18"/>
              </w:rPr>
              <w:t xml:space="preserve">. </w:t>
            </w:r>
          </w:p>
          <w:p w14:paraId="77A0B7BB" w14:textId="77777777" w:rsidR="00694F46" w:rsidRPr="00D17B3D" w:rsidRDefault="00694F46" w:rsidP="00694F46">
            <w:pPr>
              <w:rPr>
                <w:b/>
                <w:bCs/>
                <w:sz w:val="20"/>
                <w:szCs w:val="20"/>
              </w:rPr>
            </w:pPr>
          </w:p>
        </w:tc>
        <w:tc>
          <w:tcPr>
            <w:tcW w:w="799" w:type="dxa"/>
          </w:tcPr>
          <w:p w14:paraId="6BB57DFD" w14:textId="77777777" w:rsidR="00694F46" w:rsidRDefault="00694F46" w:rsidP="00694F46">
            <w:pPr>
              <w:rPr>
                <w:b/>
                <w:bCs/>
                <w:sz w:val="20"/>
                <w:szCs w:val="20"/>
              </w:rPr>
            </w:pPr>
          </w:p>
        </w:tc>
      </w:tr>
      <w:tr w:rsidR="00694F46" w14:paraId="70AE0429" w14:textId="77777777" w:rsidTr="007A05A7">
        <w:tc>
          <w:tcPr>
            <w:tcW w:w="3114" w:type="dxa"/>
          </w:tcPr>
          <w:p w14:paraId="3E18BB39" w14:textId="20A13438" w:rsidR="00694F46" w:rsidRDefault="00694F46" w:rsidP="00694F46">
            <w:pPr>
              <w:pStyle w:val="Default"/>
              <w:rPr>
                <w:color w:val="434343"/>
                <w:sz w:val="18"/>
                <w:szCs w:val="18"/>
              </w:rPr>
            </w:pPr>
            <w:r w:rsidRPr="007A05A7">
              <w:rPr>
                <w:b/>
                <w:bCs/>
                <w:color w:val="434343"/>
                <w:sz w:val="18"/>
                <w:szCs w:val="18"/>
              </w:rPr>
              <w:t>Adherence to community standards</w:t>
            </w:r>
          </w:p>
        </w:tc>
        <w:tc>
          <w:tcPr>
            <w:tcW w:w="5103" w:type="dxa"/>
          </w:tcPr>
          <w:p w14:paraId="55D346F5" w14:textId="73AF102A" w:rsidR="00694F46" w:rsidRPr="00D17B3D" w:rsidRDefault="00694F46" w:rsidP="00694F46">
            <w:pPr>
              <w:rPr>
                <w:b/>
                <w:bCs/>
                <w:sz w:val="20"/>
                <w:szCs w:val="20"/>
              </w:rPr>
            </w:pPr>
            <w:r w:rsidRPr="00D17B3D">
              <w:rPr>
                <w:b/>
                <w:bCs/>
                <w:sz w:val="20"/>
                <w:szCs w:val="20"/>
              </w:rPr>
              <w:t>Indicate where provided: section/figure legend</w:t>
            </w:r>
          </w:p>
        </w:tc>
        <w:tc>
          <w:tcPr>
            <w:tcW w:w="799" w:type="dxa"/>
          </w:tcPr>
          <w:p w14:paraId="25560943" w14:textId="1E0C0A3B" w:rsidR="00694F46" w:rsidRDefault="00694F46" w:rsidP="00694F46">
            <w:pPr>
              <w:rPr>
                <w:b/>
                <w:bCs/>
                <w:sz w:val="20"/>
                <w:szCs w:val="20"/>
              </w:rPr>
            </w:pPr>
            <w:r>
              <w:rPr>
                <w:b/>
                <w:bCs/>
                <w:sz w:val="20"/>
                <w:szCs w:val="20"/>
              </w:rPr>
              <w:t>N/A</w:t>
            </w:r>
          </w:p>
        </w:tc>
      </w:tr>
      <w:tr w:rsidR="00694F46" w14:paraId="39673BED" w14:textId="77777777" w:rsidTr="007A05A7">
        <w:tc>
          <w:tcPr>
            <w:tcW w:w="3114" w:type="dxa"/>
          </w:tcPr>
          <w:p w14:paraId="4A168596" w14:textId="77777777" w:rsidR="00694F46" w:rsidRDefault="00694F46" w:rsidP="00694F46">
            <w:pPr>
              <w:pStyle w:val="Default"/>
              <w:rPr>
                <w:sz w:val="18"/>
                <w:szCs w:val="18"/>
              </w:rPr>
            </w:pPr>
            <w:r>
              <w:rPr>
                <w:color w:val="434343"/>
                <w:sz w:val="18"/>
                <w:szCs w:val="18"/>
              </w:rPr>
              <w:t xml:space="preserve">State if relevant guidelines (e.g., ICMJE, MIBBI, ARRIVE, STRANGE) have been followed, and whether a checklist (e.g., CONSORT, PRISMA, ARRIVE) is provided with the manuscript. </w:t>
            </w:r>
          </w:p>
          <w:p w14:paraId="4FCE055E" w14:textId="530847B7" w:rsidR="00694F46" w:rsidRDefault="00694F46" w:rsidP="00694F46">
            <w:pPr>
              <w:pStyle w:val="Default"/>
              <w:rPr>
                <w:b/>
                <w:bCs/>
                <w:color w:val="434343"/>
                <w:sz w:val="18"/>
                <w:szCs w:val="18"/>
              </w:rPr>
            </w:pPr>
          </w:p>
        </w:tc>
        <w:tc>
          <w:tcPr>
            <w:tcW w:w="5103" w:type="dxa"/>
          </w:tcPr>
          <w:p w14:paraId="2DB0C423" w14:textId="77777777" w:rsidR="00694F46" w:rsidRPr="00D17B3D" w:rsidRDefault="00694F46" w:rsidP="00694F46">
            <w:pPr>
              <w:rPr>
                <w:b/>
                <w:bCs/>
                <w:sz w:val="20"/>
                <w:szCs w:val="20"/>
              </w:rPr>
            </w:pPr>
          </w:p>
        </w:tc>
        <w:tc>
          <w:tcPr>
            <w:tcW w:w="799" w:type="dxa"/>
          </w:tcPr>
          <w:p w14:paraId="71613626" w14:textId="4B69F996" w:rsidR="00694F46" w:rsidRDefault="00703C0B" w:rsidP="00694F46">
            <w:pPr>
              <w:rPr>
                <w:b/>
                <w:bCs/>
                <w:sz w:val="20"/>
                <w:szCs w:val="20"/>
              </w:rPr>
            </w:pPr>
            <w:r>
              <w:rPr>
                <w:sz w:val="20"/>
                <w:szCs w:val="20"/>
              </w:rPr>
              <w:t>N/A</w:t>
            </w:r>
          </w:p>
        </w:tc>
      </w:tr>
    </w:tbl>
    <w:p w14:paraId="374964CB" w14:textId="77777777" w:rsidR="00552217" w:rsidRPr="00D17B3D" w:rsidRDefault="00552217">
      <w:pPr>
        <w:rPr>
          <w:b/>
          <w:bCs/>
          <w:sz w:val="20"/>
          <w:szCs w:val="20"/>
        </w:rPr>
      </w:pPr>
    </w:p>
    <w:sectPr w:rsidR="00552217" w:rsidRPr="00D17B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w:altName w:val="Noto Sans"/>
    <w:charset w:val="00"/>
    <w:family w:val="swiss"/>
    <w:pitch w:val="variable"/>
    <w:sig w:usb0="E00082FF" w:usb1="400078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A83"/>
    <w:rsid w:val="00135BA2"/>
    <w:rsid w:val="0023708B"/>
    <w:rsid w:val="003C0B3F"/>
    <w:rsid w:val="004F400B"/>
    <w:rsid w:val="00552217"/>
    <w:rsid w:val="00561FB7"/>
    <w:rsid w:val="0059755B"/>
    <w:rsid w:val="0069128D"/>
    <w:rsid w:val="00694F46"/>
    <w:rsid w:val="00703C0B"/>
    <w:rsid w:val="007A05A7"/>
    <w:rsid w:val="00AC1A83"/>
    <w:rsid w:val="00AC2461"/>
    <w:rsid w:val="00D17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FCE50"/>
  <w15:chartTrackingRefBased/>
  <w15:docId w15:val="{FE581A0E-5258-4872-B861-072EB6546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B3D"/>
    <w:pPr>
      <w:spacing w:after="0" w:line="240" w:lineRule="auto"/>
    </w:pPr>
    <w:rPr>
      <w:rFonts w:ascii="Calibri" w:eastAsia="Calibri" w:hAnsi="Calibri" w:cs="Calibri"/>
      <w:sz w:val="24"/>
      <w:szCs w:val="24"/>
      <w:lang w:eastAsia="en-GB"/>
    </w:rPr>
  </w:style>
  <w:style w:type="paragraph" w:styleId="Heading1">
    <w:name w:val="heading 1"/>
    <w:basedOn w:val="Normal"/>
    <w:next w:val="Normal"/>
    <w:link w:val="Heading1Char"/>
    <w:autoRedefine/>
    <w:uiPriority w:val="9"/>
    <w:qFormat/>
    <w:rsid w:val="00561FB7"/>
    <w:pPr>
      <w:keepNext/>
      <w:keepLines/>
      <w:spacing w:before="240" w:line="360" w:lineRule="auto"/>
      <w:jc w:val="center"/>
      <w:outlineLvl w:val="0"/>
    </w:pPr>
    <w:rPr>
      <w:rFonts w:ascii="Arial" w:eastAsiaTheme="majorEastAsia" w:hAnsi="Arial" w:cs="Arial"/>
      <w:b/>
      <w:color w:val="000000" w:themeColor="text1"/>
      <w:sz w:val="28"/>
      <w:szCs w:val="28"/>
    </w:rPr>
  </w:style>
  <w:style w:type="paragraph" w:styleId="Heading2">
    <w:name w:val="heading 2"/>
    <w:basedOn w:val="Normal"/>
    <w:next w:val="Normal"/>
    <w:link w:val="Heading2Char"/>
    <w:autoRedefine/>
    <w:uiPriority w:val="9"/>
    <w:unhideWhenUsed/>
    <w:qFormat/>
    <w:rsid w:val="00694F46"/>
    <w:pPr>
      <w:keepNext/>
      <w:keepLines/>
      <w:spacing w:before="40"/>
      <w:outlineLvl w:val="1"/>
    </w:pPr>
    <w:rPr>
      <w:rFonts w:ascii="Arial" w:eastAsiaTheme="majorEastAsia" w:hAnsi="Arial" w:cs="Arial"/>
      <w:bCs/>
      <w:color w:val="000000" w:themeColor="text1"/>
      <w:sz w:val="20"/>
      <w:szCs w:val="20"/>
    </w:rPr>
  </w:style>
  <w:style w:type="paragraph" w:styleId="Heading3">
    <w:name w:val="heading 3"/>
    <w:basedOn w:val="Normal"/>
    <w:next w:val="Normal"/>
    <w:link w:val="Heading3Char"/>
    <w:autoRedefine/>
    <w:uiPriority w:val="9"/>
    <w:unhideWhenUsed/>
    <w:qFormat/>
    <w:rsid w:val="0059755B"/>
    <w:pPr>
      <w:keepNext/>
      <w:keepLines/>
      <w:spacing w:before="40" w:line="256" w:lineRule="auto"/>
      <w:outlineLvl w:val="2"/>
    </w:pPr>
    <w:rPr>
      <w:rFonts w:ascii="Arial" w:eastAsiaTheme="majorEastAsia" w:hAnsi="Arial" w:cstheme="majorBidi"/>
      <w:b/>
      <w:i/>
      <w:color w:val="000000" w:themeColor="text1"/>
      <w:sz w:val="26"/>
    </w:rPr>
  </w:style>
  <w:style w:type="paragraph" w:styleId="Heading4">
    <w:name w:val="heading 4"/>
    <w:basedOn w:val="Normal"/>
    <w:next w:val="Normal"/>
    <w:link w:val="Heading4Char"/>
    <w:autoRedefine/>
    <w:uiPriority w:val="9"/>
    <w:unhideWhenUsed/>
    <w:qFormat/>
    <w:rsid w:val="0059755B"/>
    <w:pPr>
      <w:keepNext/>
      <w:outlineLvl w:val="3"/>
    </w:pPr>
    <w:rPr>
      <w:rFonts w:ascii="Arial" w:eastAsia="Times" w:hAnsi="Arial" w:cs="Times"/>
      <w:i/>
      <w:color w:val="000000" w:themeColor="text1"/>
      <w:szCs w:val="44"/>
      <w:lang w:val="en-US"/>
    </w:rPr>
  </w:style>
  <w:style w:type="paragraph" w:styleId="Heading5">
    <w:name w:val="heading 5"/>
    <w:basedOn w:val="Normal"/>
    <w:next w:val="Normal"/>
    <w:link w:val="Heading5Char"/>
    <w:uiPriority w:val="9"/>
    <w:semiHidden/>
    <w:unhideWhenUsed/>
    <w:qFormat/>
    <w:rsid w:val="00AC1A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1A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A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A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A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FB7"/>
    <w:rPr>
      <w:rFonts w:ascii="Arial" w:eastAsiaTheme="majorEastAsia" w:hAnsi="Arial" w:cs="Arial"/>
      <w:b/>
      <w:color w:val="000000" w:themeColor="text1"/>
      <w:sz w:val="28"/>
      <w:szCs w:val="28"/>
    </w:rPr>
  </w:style>
  <w:style w:type="character" w:customStyle="1" w:styleId="Heading2Char">
    <w:name w:val="Heading 2 Char"/>
    <w:basedOn w:val="DefaultParagraphFont"/>
    <w:link w:val="Heading2"/>
    <w:uiPriority w:val="9"/>
    <w:rsid w:val="00694F46"/>
    <w:rPr>
      <w:rFonts w:ascii="Arial" w:eastAsiaTheme="majorEastAsia" w:hAnsi="Arial" w:cs="Arial"/>
      <w:bCs/>
      <w:color w:val="000000" w:themeColor="text1"/>
      <w:sz w:val="20"/>
      <w:szCs w:val="20"/>
      <w:lang w:eastAsia="en-GB"/>
    </w:rPr>
  </w:style>
  <w:style w:type="character" w:customStyle="1" w:styleId="Heading3Char">
    <w:name w:val="Heading 3 Char"/>
    <w:basedOn w:val="DefaultParagraphFont"/>
    <w:link w:val="Heading3"/>
    <w:uiPriority w:val="9"/>
    <w:rsid w:val="0059755B"/>
    <w:rPr>
      <w:rFonts w:ascii="Arial" w:eastAsiaTheme="majorEastAsia" w:hAnsi="Arial" w:cstheme="majorBidi"/>
      <w:b/>
      <w:i/>
      <w:color w:val="000000" w:themeColor="text1"/>
      <w:sz w:val="26"/>
      <w:szCs w:val="24"/>
    </w:rPr>
  </w:style>
  <w:style w:type="character" w:customStyle="1" w:styleId="Heading4Char">
    <w:name w:val="Heading 4 Char"/>
    <w:basedOn w:val="DefaultParagraphFont"/>
    <w:link w:val="Heading4"/>
    <w:uiPriority w:val="9"/>
    <w:rsid w:val="0059755B"/>
    <w:rPr>
      <w:rFonts w:ascii="Arial" w:eastAsia="Times" w:hAnsi="Arial" w:cs="Times"/>
      <w:i/>
      <w:color w:val="000000" w:themeColor="text1"/>
      <w:sz w:val="24"/>
      <w:szCs w:val="44"/>
      <w:lang w:val="en-US" w:eastAsia="en-GB"/>
    </w:rPr>
  </w:style>
  <w:style w:type="character" w:customStyle="1" w:styleId="Heading5Char">
    <w:name w:val="Heading 5 Char"/>
    <w:basedOn w:val="DefaultParagraphFont"/>
    <w:link w:val="Heading5"/>
    <w:uiPriority w:val="9"/>
    <w:semiHidden/>
    <w:rsid w:val="00AC1A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1A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A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A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A83"/>
    <w:rPr>
      <w:rFonts w:eastAsiaTheme="majorEastAsia" w:cstheme="majorBidi"/>
      <w:color w:val="272727" w:themeColor="text1" w:themeTint="D8"/>
    </w:rPr>
  </w:style>
  <w:style w:type="paragraph" w:styleId="Title">
    <w:name w:val="Title"/>
    <w:basedOn w:val="Normal"/>
    <w:next w:val="Normal"/>
    <w:link w:val="TitleChar"/>
    <w:uiPriority w:val="10"/>
    <w:qFormat/>
    <w:rsid w:val="00AC1A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A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A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A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A83"/>
    <w:pPr>
      <w:spacing w:before="160"/>
      <w:jc w:val="center"/>
    </w:pPr>
    <w:rPr>
      <w:i/>
      <w:iCs/>
      <w:color w:val="404040" w:themeColor="text1" w:themeTint="BF"/>
    </w:rPr>
  </w:style>
  <w:style w:type="character" w:customStyle="1" w:styleId="QuoteChar">
    <w:name w:val="Quote Char"/>
    <w:basedOn w:val="DefaultParagraphFont"/>
    <w:link w:val="Quote"/>
    <w:uiPriority w:val="29"/>
    <w:rsid w:val="00AC1A83"/>
    <w:rPr>
      <w:i/>
      <w:iCs/>
      <w:color w:val="404040" w:themeColor="text1" w:themeTint="BF"/>
    </w:rPr>
  </w:style>
  <w:style w:type="paragraph" w:styleId="ListParagraph">
    <w:name w:val="List Paragraph"/>
    <w:basedOn w:val="Normal"/>
    <w:uiPriority w:val="34"/>
    <w:qFormat/>
    <w:rsid w:val="00AC1A83"/>
    <w:pPr>
      <w:ind w:left="720"/>
      <w:contextualSpacing/>
    </w:pPr>
  </w:style>
  <w:style w:type="character" w:styleId="IntenseEmphasis">
    <w:name w:val="Intense Emphasis"/>
    <w:basedOn w:val="DefaultParagraphFont"/>
    <w:uiPriority w:val="21"/>
    <w:qFormat/>
    <w:rsid w:val="00AC1A83"/>
    <w:rPr>
      <w:i/>
      <w:iCs/>
      <w:color w:val="2F5496" w:themeColor="accent1" w:themeShade="BF"/>
    </w:rPr>
  </w:style>
  <w:style w:type="paragraph" w:styleId="IntenseQuote">
    <w:name w:val="Intense Quote"/>
    <w:basedOn w:val="Normal"/>
    <w:next w:val="Normal"/>
    <w:link w:val="IntenseQuoteChar"/>
    <w:uiPriority w:val="30"/>
    <w:qFormat/>
    <w:rsid w:val="00AC1A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1A83"/>
    <w:rPr>
      <w:i/>
      <w:iCs/>
      <w:color w:val="2F5496" w:themeColor="accent1" w:themeShade="BF"/>
    </w:rPr>
  </w:style>
  <w:style w:type="character" w:styleId="IntenseReference">
    <w:name w:val="Intense Reference"/>
    <w:basedOn w:val="DefaultParagraphFont"/>
    <w:uiPriority w:val="32"/>
    <w:qFormat/>
    <w:rsid w:val="00AC1A83"/>
    <w:rPr>
      <w:b/>
      <w:bCs/>
      <w:smallCaps/>
      <w:color w:val="2F5496" w:themeColor="accent1" w:themeShade="BF"/>
      <w:spacing w:val="5"/>
    </w:rPr>
  </w:style>
  <w:style w:type="character" w:styleId="Hyperlink">
    <w:name w:val="Hyperlink"/>
    <w:basedOn w:val="DefaultParagraphFont"/>
    <w:uiPriority w:val="99"/>
    <w:unhideWhenUsed/>
    <w:rsid w:val="00D17B3D"/>
    <w:rPr>
      <w:color w:val="0563C1" w:themeColor="hyperlink"/>
      <w:u w:val="single"/>
    </w:rPr>
  </w:style>
  <w:style w:type="table" w:styleId="TableGrid">
    <w:name w:val="Table Grid"/>
    <w:basedOn w:val="TableNormal"/>
    <w:uiPriority w:val="39"/>
    <w:rsid w:val="00D17B3D"/>
    <w:pPr>
      <w:spacing w:after="0" w:line="240" w:lineRule="auto"/>
    </w:pPr>
    <w:rPr>
      <w:rFonts w:ascii="Calibri" w:eastAsia="Calibri" w:hAnsi="Calibri" w:cs="Calibri"/>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3708B"/>
    <w:pPr>
      <w:autoSpaceDE w:val="0"/>
      <w:autoSpaceDN w:val="0"/>
      <w:adjustRightInd w:val="0"/>
      <w:spacing w:after="0" w:line="240" w:lineRule="auto"/>
    </w:pPr>
    <w:rPr>
      <w:rFonts w:ascii="Noto Sans" w:hAnsi="Noto Sans" w:cs="Noto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frantisekvasa/rotate_parcellation" TargetMode="External"/><Relationship Id="rId13" Type="http://schemas.openxmlformats.org/officeDocument/2006/relationships/hyperlink" Target="https://www.nitrc.org/projects/rshrf" TargetMode="External"/><Relationship Id="rId3" Type="http://schemas.openxmlformats.org/officeDocument/2006/relationships/webSettings" Target="webSettings.xml"/><Relationship Id="rId7" Type="http://schemas.openxmlformats.org/officeDocument/2006/relationships/hyperlink" Target="https://www.nitrc.org/projects/rshrf" TargetMode="External"/><Relationship Id="rId12" Type="http://schemas.openxmlformats.org/officeDocument/2006/relationships/hyperlink" Target="https://sites.google.com/site/bctnet/"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ites.google.com/site/bctnet/" TargetMode="External"/><Relationship Id="rId11" Type="http://schemas.openxmlformats.org/officeDocument/2006/relationships/hyperlink" Target="http://www.nitrc.org/projects/conn" TargetMode="External"/><Relationship Id="rId5" Type="http://schemas.openxmlformats.org/officeDocument/2006/relationships/hyperlink" Target="http://www.nitrc.org/projects/conn" TargetMode="External"/><Relationship Id="rId15" Type="http://schemas.openxmlformats.org/officeDocument/2006/relationships/hyperlink" Target="https://github.com/Imperial-MIND-lab/integrated-info-decomp" TargetMode="External"/><Relationship Id="rId10" Type="http://schemas.openxmlformats.org/officeDocument/2006/relationships/hyperlink" Target="https://github.com/jlizier/jidt" TargetMode="External"/><Relationship Id="rId4" Type="http://schemas.openxmlformats.org/officeDocument/2006/relationships/hyperlink" Target="https://github.com/jlizier/jidt" TargetMode="External"/><Relationship Id="rId9" Type="http://schemas.openxmlformats.org/officeDocument/2006/relationships/hyperlink" Target="https://github.com/Imperial-MIND-lab/integrated-info-decomp" TargetMode="External"/><Relationship Id="rId14" Type="http://schemas.openxmlformats.org/officeDocument/2006/relationships/hyperlink" Target="https://github.com/frantisekvasa/rotate_parcel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5</Pages>
  <Words>1798</Words>
  <Characters>10252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Luppi</dc:creator>
  <cp:keywords/>
  <dc:description/>
  <cp:lastModifiedBy>A. Luppi</cp:lastModifiedBy>
  <cp:revision>5</cp:revision>
  <dcterms:created xsi:type="dcterms:W3CDTF">2024-05-14T10:27:00Z</dcterms:created>
  <dcterms:modified xsi:type="dcterms:W3CDTF">2024-05-14T13:40:00Z</dcterms:modified>
</cp:coreProperties>
</file>