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8AC57" w14:textId="77777777" w:rsidR="00B17D77" w:rsidRPr="001C10E5" w:rsidRDefault="00B17D77" w:rsidP="00B17D77">
      <w:pPr>
        <w:jc w:val="center"/>
        <w:rPr>
          <w:rFonts w:ascii="Times New Roman" w:eastAsia="宋体" w:hAnsi="Times New Roman" w:cs="Times New Roman"/>
          <w:sz w:val="24"/>
          <w:szCs w:val="24"/>
        </w:rPr>
      </w:pPr>
      <w:bookmarkStart w:id="0" w:name="_Hlk146407185"/>
      <w:r>
        <w:rPr>
          <w:rFonts w:ascii="Times New Roman" w:eastAsia="宋体" w:hAnsi="Times New Roman" w:cs="Times New Roman"/>
          <w:b/>
          <w:sz w:val="24"/>
          <w:szCs w:val="24"/>
        </w:rPr>
        <w:t>Figure 1</w:t>
      </w:r>
      <w:r>
        <w:rPr>
          <w:rFonts w:ascii="Times New Roman" w:hAnsi="Times New Roman" w:cs="Times New Roman" w:hint="eastAsia"/>
          <w:b/>
          <w:bCs/>
          <w:sz w:val="24"/>
          <w:szCs w:val="24"/>
        </w:rPr>
        <w:t>–</w:t>
      </w:r>
      <w:r>
        <w:rPr>
          <w:rFonts w:ascii="Times New Roman" w:eastAsia="宋体" w:hAnsi="Times New Roman" w:cs="Times New Roman"/>
          <w:b/>
          <w:sz w:val="24"/>
          <w:szCs w:val="24"/>
        </w:rPr>
        <w:t>Source Data 1</w:t>
      </w:r>
      <w:bookmarkEnd w:id="0"/>
      <w:r w:rsidRPr="001C10E5">
        <w:rPr>
          <w:rFonts w:ascii="Times New Roman" w:eastAsia="宋体" w:hAnsi="Times New Roman" w:cs="Times New Roman"/>
          <w:sz w:val="24"/>
          <w:szCs w:val="24"/>
        </w:rPr>
        <w:t xml:space="preserve"> </w:t>
      </w:r>
      <w:r w:rsidRPr="001C10E5">
        <w:rPr>
          <w:rFonts w:ascii="Times New Roman" w:eastAsia="宋体" w:hAnsi="Times New Roman" w:cs="Times New Roman"/>
          <w:i/>
          <w:iCs/>
          <w:sz w:val="24"/>
          <w:szCs w:val="24"/>
        </w:rPr>
        <w:t>Capsella</w:t>
      </w:r>
      <w:r w:rsidRPr="001C10E5">
        <w:rPr>
          <w:rFonts w:ascii="Times New Roman" w:eastAsia="宋体" w:hAnsi="Times New Roman" w:cs="Times New Roman"/>
          <w:sz w:val="24"/>
          <w:szCs w:val="24"/>
        </w:rPr>
        <w:t xml:space="preserve"> plants used in the present study</w:t>
      </w:r>
    </w:p>
    <w:tbl>
      <w:tblPr>
        <w:tblStyle w:val="1"/>
        <w:tblW w:w="8729"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22"/>
        <w:gridCol w:w="1290"/>
        <w:gridCol w:w="1070"/>
        <w:gridCol w:w="1097"/>
        <w:gridCol w:w="1270"/>
        <w:gridCol w:w="1030"/>
        <w:gridCol w:w="1238"/>
      </w:tblGrid>
      <w:tr w:rsidR="00B17D77" w:rsidRPr="001C10E5" w14:paraId="67EA368F" w14:textId="77777777" w:rsidTr="005D2EEB">
        <w:trPr>
          <w:trHeight w:val="290"/>
          <w:jc w:val="center"/>
        </w:trPr>
        <w:tc>
          <w:tcPr>
            <w:tcW w:w="1701" w:type="dxa"/>
            <w:tcBorders>
              <w:top w:val="single" w:sz="8" w:space="0" w:color="auto"/>
              <w:bottom w:val="single" w:sz="6" w:space="0" w:color="auto"/>
            </w:tcBorders>
            <w:noWrap/>
            <w:hideMark/>
          </w:tcPr>
          <w:p w14:paraId="16B83916" w14:textId="77777777" w:rsidR="00B17D77" w:rsidRPr="001C10E5" w:rsidRDefault="00B17D77" w:rsidP="005D2EEB">
            <w:pPr>
              <w:rPr>
                <w:rFonts w:ascii="Times New Roman" w:eastAsia="宋体" w:hAnsi="Times New Roman" w:cs="Times New Roman"/>
                <w:b/>
                <w:bCs/>
                <w:sz w:val="24"/>
                <w:szCs w:val="24"/>
              </w:rPr>
            </w:pPr>
            <w:bookmarkStart w:id="1" w:name="_Hlk50991556"/>
            <w:r w:rsidRPr="001C10E5">
              <w:rPr>
                <w:rFonts w:ascii="Times New Roman" w:eastAsia="宋体" w:hAnsi="Times New Roman" w:cs="Times New Roman"/>
                <w:b/>
                <w:bCs/>
                <w:sz w:val="24"/>
                <w:szCs w:val="24"/>
              </w:rPr>
              <w:t>Species</w:t>
            </w:r>
          </w:p>
        </w:tc>
        <w:tc>
          <w:tcPr>
            <w:tcW w:w="222" w:type="dxa"/>
            <w:tcBorders>
              <w:top w:val="single" w:sz="8" w:space="0" w:color="auto"/>
              <w:bottom w:val="single" w:sz="6" w:space="0" w:color="auto"/>
            </w:tcBorders>
          </w:tcPr>
          <w:p w14:paraId="3472AC4D" w14:textId="77777777" w:rsidR="00B17D77" w:rsidRPr="001C10E5" w:rsidRDefault="00B17D77" w:rsidP="005D2EEB">
            <w:pPr>
              <w:rPr>
                <w:rFonts w:ascii="Times New Roman" w:eastAsia="宋体" w:hAnsi="Times New Roman" w:cs="Times New Roman"/>
                <w:b/>
                <w:bCs/>
                <w:sz w:val="24"/>
                <w:szCs w:val="24"/>
              </w:rPr>
            </w:pPr>
          </w:p>
        </w:tc>
        <w:tc>
          <w:tcPr>
            <w:tcW w:w="1290" w:type="dxa"/>
            <w:tcBorders>
              <w:top w:val="single" w:sz="8" w:space="0" w:color="auto"/>
              <w:bottom w:val="single" w:sz="6" w:space="0" w:color="auto"/>
            </w:tcBorders>
            <w:noWrap/>
            <w:hideMark/>
          </w:tcPr>
          <w:p w14:paraId="2E48DF5D" w14:textId="77777777" w:rsidR="00B17D77" w:rsidRPr="001C10E5" w:rsidRDefault="00B17D77" w:rsidP="005D2EEB">
            <w:pPr>
              <w:rPr>
                <w:rFonts w:ascii="Times New Roman" w:eastAsia="宋体" w:hAnsi="Times New Roman" w:cs="Times New Roman"/>
                <w:b/>
                <w:bCs/>
                <w:sz w:val="24"/>
                <w:szCs w:val="24"/>
              </w:rPr>
            </w:pPr>
            <w:r w:rsidRPr="001C10E5">
              <w:rPr>
                <w:rFonts w:ascii="Times New Roman" w:eastAsia="宋体" w:hAnsi="Times New Roman" w:cs="Times New Roman"/>
                <w:b/>
                <w:bCs/>
                <w:sz w:val="24"/>
                <w:szCs w:val="24"/>
              </w:rPr>
              <w:t>Line ID</w:t>
            </w:r>
          </w:p>
        </w:tc>
        <w:tc>
          <w:tcPr>
            <w:tcW w:w="1035" w:type="dxa"/>
            <w:tcBorders>
              <w:top w:val="single" w:sz="8" w:space="0" w:color="auto"/>
              <w:bottom w:val="single" w:sz="6" w:space="0" w:color="auto"/>
            </w:tcBorders>
          </w:tcPr>
          <w:p w14:paraId="3CADC103" w14:textId="77777777" w:rsidR="00B17D77" w:rsidRPr="001C10E5" w:rsidRDefault="00B17D77" w:rsidP="005D2EEB">
            <w:pPr>
              <w:rPr>
                <w:rFonts w:ascii="Times New Roman" w:eastAsia="宋体" w:hAnsi="Times New Roman" w:cs="Times New Roman"/>
                <w:b/>
                <w:bCs/>
                <w:sz w:val="24"/>
                <w:szCs w:val="24"/>
              </w:rPr>
            </w:pPr>
            <w:r w:rsidRPr="001C10E5">
              <w:rPr>
                <w:rFonts w:ascii="Times New Roman" w:eastAsia="宋体" w:hAnsi="Times New Roman" w:cs="Times New Roman" w:hint="eastAsia"/>
                <w:b/>
                <w:bCs/>
                <w:sz w:val="24"/>
                <w:szCs w:val="24"/>
              </w:rPr>
              <w:t>L</w:t>
            </w:r>
            <w:r w:rsidRPr="001C10E5">
              <w:rPr>
                <w:rFonts w:ascii="Times New Roman" w:eastAsia="宋体" w:hAnsi="Times New Roman" w:cs="Times New Roman"/>
                <w:b/>
                <w:bCs/>
                <w:sz w:val="24"/>
                <w:szCs w:val="24"/>
              </w:rPr>
              <w:t xml:space="preserve">ine notation </w:t>
            </w:r>
          </w:p>
        </w:tc>
        <w:tc>
          <w:tcPr>
            <w:tcW w:w="1061" w:type="dxa"/>
            <w:tcBorders>
              <w:top w:val="single" w:sz="8" w:space="0" w:color="auto"/>
              <w:bottom w:val="single" w:sz="6" w:space="0" w:color="auto"/>
            </w:tcBorders>
            <w:noWrap/>
            <w:hideMark/>
          </w:tcPr>
          <w:p w14:paraId="70D25BD7" w14:textId="77777777" w:rsidR="00B17D77" w:rsidRPr="001C10E5" w:rsidRDefault="00B17D77" w:rsidP="005D2EEB">
            <w:pPr>
              <w:rPr>
                <w:rFonts w:ascii="Times New Roman" w:eastAsia="宋体" w:hAnsi="Times New Roman" w:cs="Times New Roman"/>
                <w:b/>
                <w:bCs/>
                <w:sz w:val="24"/>
                <w:szCs w:val="24"/>
              </w:rPr>
            </w:pPr>
            <w:r w:rsidRPr="001C10E5">
              <w:rPr>
                <w:rFonts w:ascii="Times New Roman" w:eastAsia="宋体" w:hAnsi="Times New Roman" w:cs="Times New Roman"/>
                <w:b/>
                <w:bCs/>
                <w:sz w:val="24"/>
                <w:szCs w:val="24"/>
              </w:rPr>
              <w:t>Latitude (N)</w:t>
            </w:r>
          </w:p>
        </w:tc>
        <w:tc>
          <w:tcPr>
            <w:tcW w:w="1227" w:type="dxa"/>
            <w:tcBorders>
              <w:top w:val="single" w:sz="8" w:space="0" w:color="auto"/>
              <w:bottom w:val="single" w:sz="6" w:space="0" w:color="auto"/>
            </w:tcBorders>
            <w:noWrap/>
            <w:hideMark/>
          </w:tcPr>
          <w:p w14:paraId="511A3972" w14:textId="77777777" w:rsidR="00B17D77" w:rsidRPr="001C10E5" w:rsidRDefault="00B17D77" w:rsidP="005D2EEB">
            <w:pPr>
              <w:rPr>
                <w:rFonts w:ascii="Times New Roman" w:eastAsia="宋体" w:hAnsi="Times New Roman" w:cs="Times New Roman"/>
                <w:b/>
                <w:bCs/>
                <w:sz w:val="24"/>
                <w:szCs w:val="24"/>
              </w:rPr>
            </w:pPr>
            <w:r w:rsidRPr="001C10E5">
              <w:rPr>
                <w:rFonts w:ascii="Times New Roman" w:eastAsia="宋体" w:hAnsi="Times New Roman" w:cs="Times New Roman"/>
                <w:b/>
                <w:bCs/>
                <w:sz w:val="24"/>
                <w:szCs w:val="24"/>
              </w:rPr>
              <w:t>Longitude (E)</w:t>
            </w:r>
          </w:p>
        </w:tc>
        <w:tc>
          <w:tcPr>
            <w:tcW w:w="997" w:type="dxa"/>
            <w:tcBorders>
              <w:top w:val="single" w:sz="8" w:space="0" w:color="auto"/>
              <w:bottom w:val="single" w:sz="6" w:space="0" w:color="auto"/>
            </w:tcBorders>
          </w:tcPr>
          <w:p w14:paraId="761AAB71" w14:textId="77777777" w:rsidR="00B17D77" w:rsidRPr="001C10E5" w:rsidRDefault="00B17D77" w:rsidP="005D2EEB">
            <w:pPr>
              <w:rPr>
                <w:rFonts w:ascii="Times New Roman" w:eastAsia="宋体" w:hAnsi="Times New Roman" w:cs="Times New Roman"/>
                <w:b/>
                <w:bCs/>
                <w:sz w:val="24"/>
                <w:szCs w:val="24"/>
              </w:rPr>
            </w:pPr>
            <w:r w:rsidRPr="001C10E5">
              <w:rPr>
                <w:rFonts w:ascii="Times New Roman" w:eastAsia="宋体" w:hAnsi="Times New Roman" w:cs="Times New Roman" w:hint="eastAsia"/>
                <w:b/>
                <w:bCs/>
                <w:sz w:val="24"/>
                <w:szCs w:val="24"/>
              </w:rPr>
              <w:t>G</w:t>
            </w:r>
            <w:r w:rsidRPr="001C10E5">
              <w:rPr>
                <w:rFonts w:ascii="Times New Roman" w:eastAsia="宋体" w:hAnsi="Times New Roman" w:cs="Times New Roman"/>
                <w:b/>
                <w:bCs/>
                <w:sz w:val="24"/>
                <w:szCs w:val="24"/>
              </w:rPr>
              <w:t>enetic cluster*</w:t>
            </w:r>
          </w:p>
        </w:tc>
        <w:tc>
          <w:tcPr>
            <w:tcW w:w="1196" w:type="dxa"/>
            <w:tcBorders>
              <w:top w:val="single" w:sz="8" w:space="0" w:color="auto"/>
              <w:bottom w:val="single" w:sz="6" w:space="0" w:color="auto"/>
            </w:tcBorders>
          </w:tcPr>
          <w:p w14:paraId="783016DE" w14:textId="77777777" w:rsidR="00B17D77" w:rsidRPr="001C10E5" w:rsidRDefault="00B17D77" w:rsidP="005D2EEB">
            <w:pPr>
              <w:rPr>
                <w:rFonts w:ascii="Times New Roman" w:eastAsia="宋体" w:hAnsi="Times New Roman" w:cs="Times New Roman"/>
                <w:b/>
                <w:bCs/>
                <w:sz w:val="24"/>
                <w:szCs w:val="24"/>
              </w:rPr>
            </w:pPr>
            <w:r w:rsidRPr="001C10E5">
              <w:rPr>
                <w:rFonts w:ascii="Times New Roman" w:eastAsia="宋体" w:hAnsi="Times New Roman" w:cs="Times New Roman"/>
                <w:b/>
                <w:bCs/>
                <w:sz w:val="24"/>
                <w:szCs w:val="24"/>
              </w:rPr>
              <w:t>Reference</w:t>
            </w:r>
          </w:p>
        </w:tc>
      </w:tr>
      <w:tr w:rsidR="00B17D77" w:rsidRPr="001C10E5" w14:paraId="2F9E50F4" w14:textId="77777777" w:rsidTr="005D2EEB">
        <w:trPr>
          <w:trHeight w:val="290"/>
          <w:jc w:val="center"/>
        </w:trPr>
        <w:tc>
          <w:tcPr>
            <w:tcW w:w="1701" w:type="dxa"/>
            <w:vMerge w:val="restart"/>
            <w:tcBorders>
              <w:top w:val="single" w:sz="6" w:space="0" w:color="auto"/>
            </w:tcBorders>
            <w:noWrap/>
            <w:vAlign w:val="center"/>
            <w:hideMark/>
          </w:tcPr>
          <w:p w14:paraId="1F3C0C27" w14:textId="77777777" w:rsidR="00B17D77" w:rsidRPr="001C10E5" w:rsidRDefault="00B17D77" w:rsidP="005D2EEB">
            <w:pPr>
              <w:rPr>
                <w:rFonts w:ascii="Times New Roman" w:eastAsia="宋体" w:hAnsi="Times New Roman" w:cs="Times New Roman"/>
                <w:i/>
                <w:iCs/>
                <w:sz w:val="24"/>
                <w:szCs w:val="24"/>
              </w:rPr>
            </w:pPr>
            <w:bookmarkStart w:id="2" w:name="_Hlk50991724"/>
            <w:r w:rsidRPr="001C10E5">
              <w:rPr>
                <w:rFonts w:ascii="Times New Roman" w:eastAsia="宋体" w:hAnsi="Times New Roman" w:cs="Times New Roman"/>
                <w:i/>
                <w:iCs/>
                <w:sz w:val="24"/>
                <w:szCs w:val="24"/>
              </w:rPr>
              <w:t>Capsella bursa-pastoris</w:t>
            </w:r>
          </w:p>
        </w:tc>
        <w:tc>
          <w:tcPr>
            <w:tcW w:w="222" w:type="dxa"/>
            <w:tcBorders>
              <w:top w:val="single" w:sz="6" w:space="0" w:color="auto"/>
            </w:tcBorders>
          </w:tcPr>
          <w:p w14:paraId="5DAB05D7" w14:textId="77777777" w:rsidR="00B17D77" w:rsidRPr="001C10E5" w:rsidRDefault="00B17D77" w:rsidP="005D2EEB">
            <w:pPr>
              <w:rPr>
                <w:rFonts w:ascii="Times New Roman" w:eastAsia="宋体" w:hAnsi="Times New Roman" w:cs="Times New Roman"/>
                <w:sz w:val="24"/>
                <w:szCs w:val="24"/>
              </w:rPr>
            </w:pPr>
          </w:p>
        </w:tc>
        <w:tc>
          <w:tcPr>
            <w:tcW w:w="1290" w:type="dxa"/>
            <w:tcBorders>
              <w:top w:val="single" w:sz="6" w:space="0" w:color="auto"/>
            </w:tcBorders>
            <w:noWrap/>
            <w:hideMark/>
          </w:tcPr>
          <w:p w14:paraId="050BE280"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BEL5</w:t>
            </w:r>
          </w:p>
        </w:tc>
        <w:tc>
          <w:tcPr>
            <w:tcW w:w="1035" w:type="dxa"/>
            <w:tcBorders>
              <w:top w:val="single" w:sz="6" w:space="0" w:color="auto"/>
            </w:tcBorders>
          </w:tcPr>
          <w:p w14:paraId="33FCF05D"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Cbp-6</w:t>
            </w:r>
          </w:p>
        </w:tc>
        <w:tc>
          <w:tcPr>
            <w:tcW w:w="1061" w:type="dxa"/>
            <w:tcBorders>
              <w:top w:val="single" w:sz="6" w:space="0" w:color="auto"/>
            </w:tcBorders>
            <w:noWrap/>
            <w:hideMark/>
          </w:tcPr>
          <w:p w14:paraId="099DEB8B"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 xml:space="preserve">50.55 </w:t>
            </w:r>
          </w:p>
        </w:tc>
        <w:tc>
          <w:tcPr>
            <w:tcW w:w="1227" w:type="dxa"/>
            <w:tcBorders>
              <w:top w:val="single" w:sz="6" w:space="0" w:color="auto"/>
            </w:tcBorders>
            <w:noWrap/>
            <w:hideMark/>
          </w:tcPr>
          <w:p w14:paraId="0A61D91D"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 xml:space="preserve">128.28 </w:t>
            </w:r>
          </w:p>
        </w:tc>
        <w:tc>
          <w:tcPr>
            <w:tcW w:w="997" w:type="dxa"/>
            <w:tcBorders>
              <w:top w:val="single" w:sz="6" w:space="0" w:color="auto"/>
            </w:tcBorders>
          </w:tcPr>
          <w:p w14:paraId="66D2E80D"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hint="eastAsia"/>
                <w:sz w:val="24"/>
                <w:szCs w:val="24"/>
              </w:rPr>
              <w:t>E</w:t>
            </w:r>
            <w:r w:rsidRPr="001C10E5">
              <w:rPr>
                <w:rFonts w:ascii="Times New Roman" w:eastAsia="宋体" w:hAnsi="Times New Roman" w:cs="Times New Roman"/>
                <w:sz w:val="24"/>
                <w:szCs w:val="24"/>
              </w:rPr>
              <w:t>UR</w:t>
            </w:r>
          </w:p>
        </w:tc>
        <w:tc>
          <w:tcPr>
            <w:tcW w:w="1196" w:type="dxa"/>
            <w:tcBorders>
              <w:top w:val="single" w:sz="6" w:space="0" w:color="auto"/>
            </w:tcBorders>
          </w:tcPr>
          <w:p w14:paraId="441D359B"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this study</w:t>
            </w:r>
          </w:p>
        </w:tc>
      </w:tr>
      <w:tr w:rsidR="00B17D77" w:rsidRPr="001C10E5" w14:paraId="1409BD9C" w14:textId="77777777" w:rsidTr="005D2EEB">
        <w:trPr>
          <w:trHeight w:val="290"/>
          <w:jc w:val="center"/>
        </w:trPr>
        <w:tc>
          <w:tcPr>
            <w:tcW w:w="1701" w:type="dxa"/>
            <w:vMerge/>
            <w:hideMark/>
          </w:tcPr>
          <w:p w14:paraId="67946BB7" w14:textId="77777777" w:rsidR="00B17D77" w:rsidRPr="001C10E5" w:rsidRDefault="00B17D77" w:rsidP="005D2EEB">
            <w:pPr>
              <w:rPr>
                <w:rFonts w:ascii="Times New Roman" w:eastAsia="宋体" w:hAnsi="Times New Roman" w:cs="Times New Roman"/>
                <w:i/>
                <w:iCs/>
                <w:sz w:val="24"/>
                <w:szCs w:val="24"/>
              </w:rPr>
            </w:pPr>
          </w:p>
        </w:tc>
        <w:tc>
          <w:tcPr>
            <w:tcW w:w="222" w:type="dxa"/>
          </w:tcPr>
          <w:p w14:paraId="43F54BD5" w14:textId="77777777" w:rsidR="00B17D77" w:rsidRPr="001C10E5" w:rsidRDefault="00B17D77" w:rsidP="005D2EEB">
            <w:pPr>
              <w:rPr>
                <w:rFonts w:ascii="Times New Roman" w:eastAsia="宋体" w:hAnsi="Times New Roman" w:cs="Times New Roman"/>
                <w:sz w:val="24"/>
                <w:szCs w:val="24"/>
              </w:rPr>
            </w:pPr>
          </w:p>
        </w:tc>
        <w:tc>
          <w:tcPr>
            <w:tcW w:w="1290" w:type="dxa"/>
            <w:noWrap/>
            <w:hideMark/>
          </w:tcPr>
          <w:p w14:paraId="346B09FD"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JO56</w:t>
            </w:r>
          </w:p>
        </w:tc>
        <w:tc>
          <w:tcPr>
            <w:tcW w:w="1035" w:type="dxa"/>
          </w:tcPr>
          <w:p w14:paraId="096B0010"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Cbp-11</w:t>
            </w:r>
          </w:p>
        </w:tc>
        <w:tc>
          <w:tcPr>
            <w:tcW w:w="1061" w:type="dxa"/>
            <w:noWrap/>
            <w:hideMark/>
          </w:tcPr>
          <w:p w14:paraId="68EE0E6C"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 xml:space="preserve">31.97 </w:t>
            </w:r>
          </w:p>
        </w:tc>
        <w:tc>
          <w:tcPr>
            <w:tcW w:w="1227" w:type="dxa"/>
            <w:noWrap/>
            <w:hideMark/>
          </w:tcPr>
          <w:p w14:paraId="0FAC304F"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 xml:space="preserve">35.98 </w:t>
            </w:r>
          </w:p>
        </w:tc>
        <w:tc>
          <w:tcPr>
            <w:tcW w:w="997" w:type="dxa"/>
          </w:tcPr>
          <w:p w14:paraId="5BC60FD4"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hint="eastAsia"/>
                <w:sz w:val="24"/>
                <w:szCs w:val="24"/>
              </w:rPr>
              <w:t>M</w:t>
            </w:r>
            <w:r w:rsidRPr="001C10E5">
              <w:rPr>
                <w:rFonts w:ascii="Times New Roman" w:eastAsia="宋体" w:hAnsi="Times New Roman" w:cs="Times New Roman"/>
                <w:sz w:val="24"/>
                <w:szCs w:val="24"/>
              </w:rPr>
              <w:t>E</w:t>
            </w:r>
          </w:p>
        </w:tc>
        <w:tc>
          <w:tcPr>
            <w:tcW w:w="1196" w:type="dxa"/>
          </w:tcPr>
          <w:p w14:paraId="585A1CA5"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this study</w:t>
            </w:r>
          </w:p>
        </w:tc>
      </w:tr>
      <w:tr w:rsidR="00B17D77" w:rsidRPr="001C10E5" w14:paraId="4E2ACBBB" w14:textId="77777777" w:rsidTr="005D2EEB">
        <w:trPr>
          <w:trHeight w:val="290"/>
          <w:jc w:val="center"/>
        </w:trPr>
        <w:tc>
          <w:tcPr>
            <w:tcW w:w="1701" w:type="dxa"/>
            <w:vMerge/>
            <w:hideMark/>
          </w:tcPr>
          <w:p w14:paraId="54BBD114" w14:textId="77777777" w:rsidR="00B17D77" w:rsidRPr="001C10E5" w:rsidRDefault="00B17D77" w:rsidP="005D2EEB">
            <w:pPr>
              <w:rPr>
                <w:rFonts w:ascii="Times New Roman" w:eastAsia="宋体" w:hAnsi="Times New Roman" w:cs="Times New Roman"/>
                <w:i/>
                <w:iCs/>
                <w:sz w:val="24"/>
                <w:szCs w:val="24"/>
              </w:rPr>
            </w:pPr>
          </w:p>
        </w:tc>
        <w:tc>
          <w:tcPr>
            <w:tcW w:w="222" w:type="dxa"/>
          </w:tcPr>
          <w:p w14:paraId="4450CA13" w14:textId="77777777" w:rsidR="00B17D77" w:rsidRPr="001C10E5" w:rsidRDefault="00B17D77" w:rsidP="005D2EEB">
            <w:pPr>
              <w:rPr>
                <w:rFonts w:ascii="Times New Roman" w:eastAsia="宋体" w:hAnsi="Times New Roman" w:cs="Times New Roman"/>
                <w:sz w:val="24"/>
                <w:szCs w:val="24"/>
              </w:rPr>
            </w:pPr>
          </w:p>
        </w:tc>
        <w:tc>
          <w:tcPr>
            <w:tcW w:w="1290" w:type="dxa"/>
            <w:noWrap/>
            <w:hideMark/>
          </w:tcPr>
          <w:p w14:paraId="6A6524A0"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SE14</w:t>
            </w:r>
          </w:p>
        </w:tc>
        <w:tc>
          <w:tcPr>
            <w:tcW w:w="1035" w:type="dxa"/>
          </w:tcPr>
          <w:p w14:paraId="453AF347"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Cbp-8</w:t>
            </w:r>
          </w:p>
        </w:tc>
        <w:tc>
          <w:tcPr>
            <w:tcW w:w="1061" w:type="dxa"/>
            <w:noWrap/>
            <w:hideMark/>
          </w:tcPr>
          <w:p w14:paraId="0193CCE1"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 xml:space="preserve">62.64 </w:t>
            </w:r>
          </w:p>
        </w:tc>
        <w:tc>
          <w:tcPr>
            <w:tcW w:w="1227" w:type="dxa"/>
            <w:noWrap/>
            <w:hideMark/>
          </w:tcPr>
          <w:p w14:paraId="1E277E4D"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 xml:space="preserve">17.94 </w:t>
            </w:r>
          </w:p>
        </w:tc>
        <w:tc>
          <w:tcPr>
            <w:tcW w:w="997" w:type="dxa"/>
          </w:tcPr>
          <w:p w14:paraId="6C250A0A"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hint="eastAsia"/>
                <w:sz w:val="24"/>
                <w:szCs w:val="24"/>
              </w:rPr>
              <w:t>E</w:t>
            </w:r>
            <w:r w:rsidRPr="001C10E5">
              <w:rPr>
                <w:rFonts w:ascii="Times New Roman" w:eastAsia="宋体" w:hAnsi="Times New Roman" w:cs="Times New Roman"/>
                <w:sz w:val="24"/>
                <w:szCs w:val="24"/>
              </w:rPr>
              <w:t>UR</w:t>
            </w:r>
          </w:p>
        </w:tc>
        <w:tc>
          <w:tcPr>
            <w:tcW w:w="1196" w:type="dxa"/>
          </w:tcPr>
          <w:p w14:paraId="63FF2491"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this study</w:t>
            </w:r>
          </w:p>
        </w:tc>
      </w:tr>
      <w:tr w:rsidR="00B17D77" w:rsidRPr="001C10E5" w14:paraId="1E9B8ACB" w14:textId="77777777" w:rsidTr="005D2EEB">
        <w:trPr>
          <w:trHeight w:val="290"/>
          <w:jc w:val="center"/>
        </w:trPr>
        <w:tc>
          <w:tcPr>
            <w:tcW w:w="1701" w:type="dxa"/>
            <w:vMerge/>
            <w:hideMark/>
          </w:tcPr>
          <w:p w14:paraId="5AD6A4D7" w14:textId="77777777" w:rsidR="00B17D77" w:rsidRPr="001C10E5" w:rsidRDefault="00B17D77" w:rsidP="005D2EEB">
            <w:pPr>
              <w:rPr>
                <w:rFonts w:ascii="Times New Roman" w:eastAsia="宋体" w:hAnsi="Times New Roman" w:cs="Times New Roman"/>
                <w:i/>
                <w:iCs/>
                <w:sz w:val="24"/>
                <w:szCs w:val="24"/>
              </w:rPr>
            </w:pPr>
          </w:p>
        </w:tc>
        <w:tc>
          <w:tcPr>
            <w:tcW w:w="222" w:type="dxa"/>
          </w:tcPr>
          <w:p w14:paraId="777EB920" w14:textId="77777777" w:rsidR="00B17D77" w:rsidRPr="001C10E5" w:rsidRDefault="00B17D77" w:rsidP="005D2EEB">
            <w:pPr>
              <w:rPr>
                <w:rFonts w:ascii="Times New Roman" w:eastAsia="宋体" w:hAnsi="Times New Roman" w:cs="Times New Roman"/>
                <w:sz w:val="24"/>
                <w:szCs w:val="24"/>
              </w:rPr>
            </w:pPr>
          </w:p>
        </w:tc>
        <w:tc>
          <w:tcPr>
            <w:tcW w:w="1290" w:type="dxa"/>
            <w:noWrap/>
            <w:hideMark/>
          </w:tcPr>
          <w:p w14:paraId="5390E57A"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TBS195</w:t>
            </w:r>
          </w:p>
        </w:tc>
        <w:tc>
          <w:tcPr>
            <w:tcW w:w="1035" w:type="dxa"/>
          </w:tcPr>
          <w:p w14:paraId="78C0660A"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Cbp-3</w:t>
            </w:r>
          </w:p>
        </w:tc>
        <w:tc>
          <w:tcPr>
            <w:tcW w:w="1061" w:type="dxa"/>
            <w:noWrap/>
            <w:hideMark/>
          </w:tcPr>
          <w:p w14:paraId="08177CFB"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 xml:space="preserve">33.57 </w:t>
            </w:r>
          </w:p>
        </w:tc>
        <w:tc>
          <w:tcPr>
            <w:tcW w:w="1227" w:type="dxa"/>
            <w:noWrap/>
            <w:hideMark/>
          </w:tcPr>
          <w:p w14:paraId="082259AA"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 xml:space="preserve">107.45 </w:t>
            </w:r>
          </w:p>
        </w:tc>
        <w:tc>
          <w:tcPr>
            <w:tcW w:w="997" w:type="dxa"/>
          </w:tcPr>
          <w:p w14:paraId="28D6963E"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hint="eastAsia"/>
                <w:sz w:val="24"/>
                <w:szCs w:val="24"/>
              </w:rPr>
              <w:t>A</w:t>
            </w:r>
            <w:r w:rsidRPr="001C10E5">
              <w:rPr>
                <w:rFonts w:ascii="Times New Roman" w:eastAsia="宋体" w:hAnsi="Times New Roman" w:cs="Times New Roman"/>
                <w:sz w:val="24"/>
                <w:szCs w:val="24"/>
              </w:rPr>
              <w:t>SI</w:t>
            </w:r>
          </w:p>
        </w:tc>
        <w:tc>
          <w:tcPr>
            <w:tcW w:w="1196" w:type="dxa"/>
          </w:tcPr>
          <w:p w14:paraId="4B4E86F0"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this study</w:t>
            </w:r>
          </w:p>
        </w:tc>
      </w:tr>
      <w:tr w:rsidR="00B17D77" w:rsidRPr="001C10E5" w14:paraId="3AD0E9BC" w14:textId="77777777" w:rsidTr="005D2EEB">
        <w:trPr>
          <w:trHeight w:val="290"/>
          <w:jc w:val="center"/>
        </w:trPr>
        <w:tc>
          <w:tcPr>
            <w:tcW w:w="1701" w:type="dxa"/>
            <w:vMerge/>
            <w:hideMark/>
          </w:tcPr>
          <w:p w14:paraId="50284CE9" w14:textId="77777777" w:rsidR="00B17D77" w:rsidRPr="001C10E5" w:rsidRDefault="00B17D77" w:rsidP="005D2EEB">
            <w:pPr>
              <w:rPr>
                <w:rFonts w:ascii="Times New Roman" w:eastAsia="宋体" w:hAnsi="Times New Roman" w:cs="Times New Roman"/>
                <w:i/>
                <w:iCs/>
                <w:sz w:val="24"/>
                <w:szCs w:val="24"/>
              </w:rPr>
            </w:pPr>
          </w:p>
        </w:tc>
        <w:tc>
          <w:tcPr>
            <w:tcW w:w="222" w:type="dxa"/>
          </w:tcPr>
          <w:p w14:paraId="351B6534" w14:textId="77777777" w:rsidR="00B17D77" w:rsidRPr="001C10E5" w:rsidRDefault="00B17D77" w:rsidP="005D2EEB">
            <w:pPr>
              <w:rPr>
                <w:rFonts w:ascii="Times New Roman" w:eastAsia="宋体" w:hAnsi="Times New Roman" w:cs="Times New Roman"/>
                <w:sz w:val="24"/>
                <w:szCs w:val="24"/>
              </w:rPr>
            </w:pPr>
          </w:p>
        </w:tc>
        <w:tc>
          <w:tcPr>
            <w:tcW w:w="1290" w:type="dxa"/>
            <w:noWrap/>
            <w:hideMark/>
          </w:tcPr>
          <w:p w14:paraId="77065E91"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TR83</w:t>
            </w:r>
          </w:p>
        </w:tc>
        <w:tc>
          <w:tcPr>
            <w:tcW w:w="1035" w:type="dxa"/>
          </w:tcPr>
          <w:p w14:paraId="4A66E958"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Cbp-12</w:t>
            </w:r>
          </w:p>
        </w:tc>
        <w:tc>
          <w:tcPr>
            <w:tcW w:w="1061" w:type="dxa"/>
            <w:noWrap/>
            <w:hideMark/>
          </w:tcPr>
          <w:p w14:paraId="6912BACB"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41.02</w:t>
            </w:r>
          </w:p>
        </w:tc>
        <w:tc>
          <w:tcPr>
            <w:tcW w:w="1227" w:type="dxa"/>
            <w:noWrap/>
            <w:hideMark/>
          </w:tcPr>
          <w:p w14:paraId="0E94F82F"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28.97</w:t>
            </w:r>
          </w:p>
        </w:tc>
        <w:tc>
          <w:tcPr>
            <w:tcW w:w="997" w:type="dxa"/>
          </w:tcPr>
          <w:p w14:paraId="0401CEE9" w14:textId="77777777" w:rsidR="00B17D77" w:rsidRPr="001C10E5" w:rsidRDefault="00B17D77" w:rsidP="005D2EEB">
            <w:pPr>
              <w:rPr>
                <w:rFonts w:ascii="Times New Roman" w:eastAsia="宋体" w:hAnsi="Times New Roman" w:cs="Times New Roman"/>
                <w:sz w:val="24"/>
                <w:szCs w:val="24"/>
              </w:rPr>
            </w:pPr>
            <w:r>
              <w:rPr>
                <w:rFonts w:ascii="Times New Roman" w:eastAsia="宋体" w:hAnsi="Times New Roman" w:cs="Times New Roman" w:hint="eastAsia"/>
                <w:sz w:val="24"/>
                <w:szCs w:val="24"/>
              </w:rPr>
              <w:t>M</w:t>
            </w:r>
            <w:r>
              <w:rPr>
                <w:rFonts w:ascii="Times New Roman" w:eastAsia="宋体" w:hAnsi="Times New Roman" w:cs="Times New Roman"/>
                <w:sz w:val="24"/>
                <w:szCs w:val="24"/>
              </w:rPr>
              <w:t>E</w:t>
            </w:r>
          </w:p>
        </w:tc>
        <w:tc>
          <w:tcPr>
            <w:tcW w:w="1196" w:type="dxa"/>
          </w:tcPr>
          <w:p w14:paraId="546B7E16"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this study</w:t>
            </w:r>
          </w:p>
        </w:tc>
      </w:tr>
      <w:tr w:rsidR="00B17D77" w:rsidRPr="001C10E5" w14:paraId="701C3677" w14:textId="77777777" w:rsidTr="005D2EEB">
        <w:trPr>
          <w:trHeight w:val="290"/>
          <w:jc w:val="center"/>
        </w:trPr>
        <w:tc>
          <w:tcPr>
            <w:tcW w:w="1701" w:type="dxa"/>
            <w:vMerge/>
            <w:hideMark/>
          </w:tcPr>
          <w:p w14:paraId="7BA39FAB" w14:textId="77777777" w:rsidR="00B17D77" w:rsidRPr="001C10E5" w:rsidRDefault="00B17D77" w:rsidP="005D2EEB">
            <w:pPr>
              <w:rPr>
                <w:rFonts w:ascii="Times New Roman" w:eastAsia="宋体" w:hAnsi="Times New Roman" w:cs="Times New Roman"/>
                <w:i/>
                <w:iCs/>
                <w:sz w:val="24"/>
                <w:szCs w:val="24"/>
              </w:rPr>
            </w:pPr>
          </w:p>
        </w:tc>
        <w:tc>
          <w:tcPr>
            <w:tcW w:w="222" w:type="dxa"/>
          </w:tcPr>
          <w:p w14:paraId="4F31632C" w14:textId="77777777" w:rsidR="00B17D77" w:rsidRPr="001C10E5" w:rsidRDefault="00B17D77" w:rsidP="005D2EEB">
            <w:pPr>
              <w:rPr>
                <w:rFonts w:ascii="Times New Roman" w:eastAsia="宋体" w:hAnsi="Times New Roman" w:cs="Times New Roman"/>
                <w:sz w:val="24"/>
                <w:szCs w:val="24"/>
              </w:rPr>
            </w:pPr>
          </w:p>
        </w:tc>
        <w:tc>
          <w:tcPr>
            <w:tcW w:w="1290" w:type="dxa"/>
            <w:noWrap/>
            <w:hideMark/>
          </w:tcPr>
          <w:p w14:paraId="34B67929"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TY118</w:t>
            </w:r>
          </w:p>
        </w:tc>
        <w:tc>
          <w:tcPr>
            <w:tcW w:w="1035" w:type="dxa"/>
          </w:tcPr>
          <w:p w14:paraId="5752DC21"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Cbp-4</w:t>
            </w:r>
          </w:p>
        </w:tc>
        <w:tc>
          <w:tcPr>
            <w:tcW w:w="1061" w:type="dxa"/>
            <w:noWrap/>
            <w:hideMark/>
          </w:tcPr>
          <w:p w14:paraId="20D3CDB5"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37.55</w:t>
            </w:r>
          </w:p>
        </w:tc>
        <w:tc>
          <w:tcPr>
            <w:tcW w:w="1227" w:type="dxa"/>
            <w:noWrap/>
            <w:hideMark/>
          </w:tcPr>
          <w:p w14:paraId="78876BEC"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112.32</w:t>
            </w:r>
          </w:p>
        </w:tc>
        <w:tc>
          <w:tcPr>
            <w:tcW w:w="997" w:type="dxa"/>
          </w:tcPr>
          <w:p w14:paraId="7E442E66"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hint="eastAsia"/>
                <w:sz w:val="24"/>
                <w:szCs w:val="24"/>
              </w:rPr>
              <w:t>A</w:t>
            </w:r>
            <w:r w:rsidRPr="001C10E5">
              <w:rPr>
                <w:rFonts w:ascii="Times New Roman" w:eastAsia="宋体" w:hAnsi="Times New Roman" w:cs="Times New Roman"/>
                <w:sz w:val="24"/>
                <w:szCs w:val="24"/>
              </w:rPr>
              <w:t>SI</w:t>
            </w:r>
          </w:p>
        </w:tc>
        <w:tc>
          <w:tcPr>
            <w:tcW w:w="1196" w:type="dxa"/>
          </w:tcPr>
          <w:p w14:paraId="18B4EE07"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this study</w:t>
            </w:r>
          </w:p>
        </w:tc>
      </w:tr>
      <w:tr w:rsidR="00B17D77" w:rsidRPr="001C10E5" w14:paraId="761B37B5" w14:textId="77777777" w:rsidTr="005D2EEB">
        <w:trPr>
          <w:trHeight w:val="290"/>
          <w:jc w:val="center"/>
        </w:trPr>
        <w:tc>
          <w:tcPr>
            <w:tcW w:w="1701" w:type="dxa"/>
            <w:noWrap/>
            <w:hideMark/>
          </w:tcPr>
          <w:p w14:paraId="05626EB7" w14:textId="77777777" w:rsidR="00B17D77" w:rsidRPr="001C10E5" w:rsidRDefault="00B17D77" w:rsidP="005D2EEB">
            <w:pPr>
              <w:rPr>
                <w:rFonts w:ascii="Times New Roman" w:eastAsia="宋体" w:hAnsi="Times New Roman" w:cs="Times New Roman"/>
                <w:i/>
                <w:iCs/>
                <w:sz w:val="24"/>
                <w:szCs w:val="24"/>
              </w:rPr>
            </w:pPr>
            <w:r w:rsidRPr="001C10E5">
              <w:rPr>
                <w:rFonts w:ascii="Times New Roman" w:eastAsia="宋体" w:hAnsi="Times New Roman" w:cs="Times New Roman"/>
                <w:i/>
                <w:iCs/>
                <w:sz w:val="24"/>
                <w:szCs w:val="24"/>
              </w:rPr>
              <w:t>Capsella grandiflora</w:t>
            </w:r>
          </w:p>
        </w:tc>
        <w:tc>
          <w:tcPr>
            <w:tcW w:w="222" w:type="dxa"/>
          </w:tcPr>
          <w:p w14:paraId="2C3E2325" w14:textId="77777777" w:rsidR="00B17D77" w:rsidRPr="001C10E5" w:rsidRDefault="00B17D77" w:rsidP="005D2EEB">
            <w:pPr>
              <w:rPr>
                <w:rFonts w:ascii="Times New Roman" w:eastAsia="宋体" w:hAnsi="Times New Roman" w:cs="Times New Roman"/>
                <w:sz w:val="24"/>
                <w:szCs w:val="24"/>
              </w:rPr>
            </w:pPr>
          </w:p>
        </w:tc>
        <w:tc>
          <w:tcPr>
            <w:tcW w:w="1290" w:type="dxa"/>
            <w:noWrap/>
            <w:hideMark/>
          </w:tcPr>
          <w:p w14:paraId="66D712EA"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81</w:t>
            </w:r>
          </w:p>
        </w:tc>
        <w:tc>
          <w:tcPr>
            <w:tcW w:w="1035" w:type="dxa"/>
          </w:tcPr>
          <w:p w14:paraId="63FD77FE"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hint="eastAsia"/>
                <w:sz w:val="24"/>
                <w:szCs w:val="24"/>
              </w:rPr>
              <w:t>-</w:t>
            </w:r>
          </w:p>
        </w:tc>
        <w:tc>
          <w:tcPr>
            <w:tcW w:w="1061" w:type="dxa"/>
            <w:noWrap/>
            <w:hideMark/>
          </w:tcPr>
          <w:p w14:paraId="0DF13513"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 xml:space="preserve">37.30 </w:t>
            </w:r>
          </w:p>
        </w:tc>
        <w:tc>
          <w:tcPr>
            <w:tcW w:w="1227" w:type="dxa"/>
            <w:noWrap/>
            <w:hideMark/>
          </w:tcPr>
          <w:p w14:paraId="798DDFA8"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 xml:space="preserve">22.06 </w:t>
            </w:r>
          </w:p>
        </w:tc>
        <w:tc>
          <w:tcPr>
            <w:tcW w:w="997" w:type="dxa"/>
          </w:tcPr>
          <w:p w14:paraId="52CA345B"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hint="eastAsia"/>
                <w:sz w:val="24"/>
                <w:szCs w:val="24"/>
              </w:rPr>
              <w:t>-</w:t>
            </w:r>
          </w:p>
        </w:tc>
        <w:tc>
          <w:tcPr>
            <w:tcW w:w="1196" w:type="dxa"/>
          </w:tcPr>
          <w:p w14:paraId="32475882"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fldChar w:fldCharType="begin" w:fldLock="1"/>
            </w:r>
            <w:r>
              <w:rPr>
                <w:rFonts w:ascii="Times New Roman" w:eastAsia="宋体" w:hAnsi="Times New Roman" w:cs="Times New Roman"/>
                <w:sz w:val="24"/>
                <w:szCs w:val="24"/>
              </w:rPr>
              <w:instrText>ADDIN CSL_CITATION {"citationItems":[{"id":"ITEM-1","itemData":{"DOI":"10.1111/nph.18542","ISSN":"14698137","PMID":"36254103","abstract":"Polyploidization, the process leading to the increase in chromosome sets, is a major evolutionary transition in plants. Whole-genome duplication (WGD) within the same species gives rise to autopolyploids, whereas allopolyploids result from a compound process with two distinct components: WGD and interspecific hybridization. To dissect the instant effects of WGD and hybridization on gene expression and phenotype, we created a series of synthetic hybrid and polyploid Capsella plants, including diploid hybrids, autotetraploids of both parental species, and two kinds of resynthesized allotetraploids with different orders of WGD and hybridization. Hybridization played a major role in shaping the relative expression pattern of the neo-allopolyploids, whereas WGD had almost no immediate effect on relative gene expression pattern but, nonetheless, still affected phenotypes. No transposable element-mediated genomic shock scenario was observed in either neo-hybrids or neo-polyploids. Finally, WGD and hybridization interacted and the distorting effects of WGD were less strong in hybrids. Whole-genome duplication may even improve hybrid fertility. In summary, while the initial relative gene expression pattern in neo-allotetraploids was almost entirely determined by hybridization, WGD only had trivial effects on relative expression patterns, both processes interacted and had a strong impact on physical attributes and meiotic behaviors.","author":[{"dropping-particle":"","family":"Duan","given":"Tianlin","non-dropping-particle":"","parse-names":false,"suffix":""},{"dropping-particle":"","family":"Sicard","given":"Adrien","non-dropping-particle":"","parse-names":false,"suffix":""},{"dropping-particle":"","family":"Glémin","given":"Sylvain","non-dropping-particle":"","parse-names":false,"suffix":""},{"dropping-particle":"","family":"Lascoux","given":"Martin","non-dropping-particle":"","parse-names":false,"suffix":""}],"container-title":"New Phytologist","id":"ITEM-1","issue":"1","issued":{"date-parts":[["2023","10","17"]]},"page":"339-353","publisher":"John Wiley &amp; Sons, Ltd","title":"Expression pattern of resynthesized allotetraploid Capsella is determined by hybridization, not whole-genome duplication","type":"article-journal","volume":"237"},"uris":["http://www.mendeley.com/documents/?uuid=dd3d473b-076d-3abb-8b3e-2d0f6c1227f1"]}],"mendeley":{"formattedCitation":"(Duan &lt;i&gt;et al.&lt;/i&gt;, 2023)","plainTextFormattedCitation":"(Duan et al., 2023)","previouslyFormattedCitation":"(Duan &lt;i&gt;et al.&lt;/i&gt;, 2022)"},"properties":{"noteIndex":0},"schema":"https://github.com/citation-style-language/schema/raw/master/csl-citation.json"}</w:instrText>
            </w:r>
            <w:r w:rsidRPr="001C10E5">
              <w:rPr>
                <w:rFonts w:ascii="Times New Roman" w:eastAsia="宋体" w:hAnsi="Times New Roman" w:cs="Times New Roman"/>
                <w:sz w:val="24"/>
                <w:szCs w:val="24"/>
              </w:rPr>
              <w:fldChar w:fldCharType="separate"/>
            </w:r>
            <w:r w:rsidRPr="00B62DED">
              <w:rPr>
                <w:rFonts w:ascii="Times New Roman" w:eastAsia="宋体" w:hAnsi="Times New Roman" w:cs="Times New Roman"/>
                <w:noProof/>
                <w:sz w:val="24"/>
                <w:szCs w:val="24"/>
              </w:rPr>
              <w:t xml:space="preserve">(Duan </w:t>
            </w:r>
            <w:r w:rsidRPr="00B62DED">
              <w:rPr>
                <w:rFonts w:ascii="Times New Roman" w:eastAsia="宋体" w:hAnsi="Times New Roman" w:cs="Times New Roman"/>
                <w:i/>
                <w:noProof/>
                <w:sz w:val="24"/>
                <w:szCs w:val="24"/>
              </w:rPr>
              <w:t>et al.</w:t>
            </w:r>
            <w:r w:rsidRPr="00B62DED">
              <w:rPr>
                <w:rFonts w:ascii="Times New Roman" w:eastAsia="宋体" w:hAnsi="Times New Roman" w:cs="Times New Roman"/>
                <w:noProof/>
                <w:sz w:val="24"/>
                <w:szCs w:val="24"/>
              </w:rPr>
              <w:t>, 2023)</w:t>
            </w:r>
            <w:r w:rsidRPr="001C10E5">
              <w:rPr>
                <w:rFonts w:ascii="Times New Roman" w:eastAsia="宋体" w:hAnsi="Times New Roman" w:cs="Times New Roman"/>
                <w:sz w:val="24"/>
                <w:szCs w:val="24"/>
              </w:rPr>
              <w:fldChar w:fldCharType="end"/>
            </w:r>
          </w:p>
        </w:tc>
      </w:tr>
      <w:tr w:rsidR="00B17D77" w:rsidRPr="001C10E5" w14:paraId="540D177B" w14:textId="77777777" w:rsidTr="005D2EEB">
        <w:trPr>
          <w:trHeight w:val="290"/>
          <w:jc w:val="center"/>
        </w:trPr>
        <w:tc>
          <w:tcPr>
            <w:tcW w:w="1701" w:type="dxa"/>
            <w:noWrap/>
            <w:hideMark/>
          </w:tcPr>
          <w:p w14:paraId="0D351BB5" w14:textId="77777777" w:rsidR="00B17D77" w:rsidRPr="001C10E5" w:rsidRDefault="00B17D77" w:rsidP="005D2EEB">
            <w:pPr>
              <w:rPr>
                <w:rFonts w:ascii="Times New Roman" w:eastAsia="宋体" w:hAnsi="Times New Roman" w:cs="Times New Roman"/>
                <w:i/>
                <w:iCs/>
                <w:sz w:val="24"/>
                <w:szCs w:val="24"/>
              </w:rPr>
            </w:pPr>
            <w:r w:rsidRPr="001C10E5">
              <w:rPr>
                <w:rFonts w:ascii="Times New Roman" w:eastAsia="宋体" w:hAnsi="Times New Roman" w:cs="Times New Roman"/>
                <w:i/>
                <w:iCs/>
                <w:sz w:val="24"/>
                <w:szCs w:val="24"/>
              </w:rPr>
              <w:t>Capsella orientalis</w:t>
            </w:r>
          </w:p>
        </w:tc>
        <w:tc>
          <w:tcPr>
            <w:tcW w:w="222" w:type="dxa"/>
          </w:tcPr>
          <w:p w14:paraId="4974B975" w14:textId="77777777" w:rsidR="00B17D77" w:rsidRPr="001C10E5" w:rsidRDefault="00B17D77" w:rsidP="005D2EEB">
            <w:pPr>
              <w:rPr>
                <w:rFonts w:ascii="Times New Roman" w:eastAsia="宋体" w:hAnsi="Times New Roman" w:cs="Times New Roman"/>
                <w:sz w:val="24"/>
                <w:szCs w:val="24"/>
              </w:rPr>
            </w:pPr>
          </w:p>
        </w:tc>
        <w:tc>
          <w:tcPr>
            <w:tcW w:w="1290" w:type="dxa"/>
            <w:noWrap/>
            <w:hideMark/>
          </w:tcPr>
          <w:p w14:paraId="1DFB9B04"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URAL-RUS5</w:t>
            </w:r>
          </w:p>
        </w:tc>
        <w:tc>
          <w:tcPr>
            <w:tcW w:w="1035" w:type="dxa"/>
          </w:tcPr>
          <w:p w14:paraId="5876B64D"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hint="eastAsia"/>
                <w:sz w:val="24"/>
                <w:szCs w:val="24"/>
              </w:rPr>
              <w:t>-</w:t>
            </w:r>
          </w:p>
        </w:tc>
        <w:tc>
          <w:tcPr>
            <w:tcW w:w="1061" w:type="dxa"/>
            <w:noWrap/>
            <w:hideMark/>
          </w:tcPr>
          <w:p w14:paraId="5D3C9D9C"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 xml:space="preserve">55.11 </w:t>
            </w:r>
          </w:p>
        </w:tc>
        <w:tc>
          <w:tcPr>
            <w:tcW w:w="1227" w:type="dxa"/>
            <w:noWrap/>
            <w:hideMark/>
          </w:tcPr>
          <w:p w14:paraId="79774A40"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t xml:space="preserve">61.39 </w:t>
            </w:r>
          </w:p>
        </w:tc>
        <w:tc>
          <w:tcPr>
            <w:tcW w:w="997" w:type="dxa"/>
          </w:tcPr>
          <w:p w14:paraId="70687E9F"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hint="eastAsia"/>
                <w:sz w:val="24"/>
                <w:szCs w:val="24"/>
              </w:rPr>
              <w:t>-</w:t>
            </w:r>
          </w:p>
        </w:tc>
        <w:tc>
          <w:tcPr>
            <w:tcW w:w="1196" w:type="dxa"/>
          </w:tcPr>
          <w:p w14:paraId="73CE7FE3" w14:textId="77777777" w:rsidR="00B17D77" w:rsidRPr="001C10E5" w:rsidRDefault="00B17D77" w:rsidP="005D2EEB">
            <w:pPr>
              <w:rPr>
                <w:rFonts w:ascii="Times New Roman" w:eastAsia="宋体" w:hAnsi="Times New Roman" w:cs="Times New Roman"/>
                <w:sz w:val="24"/>
                <w:szCs w:val="24"/>
              </w:rPr>
            </w:pPr>
            <w:r w:rsidRPr="001C10E5">
              <w:rPr>
                <w:rFonts w:ascii="Times New Roman" w:eastAsia="宋体" w:hAnsi="Times New Roman" w:cs="Times New Roman"/>
                <w:sz w:val="24"/>
                <w:szCs w:val="24"/>
              </w:rPr>
              <w:fldChar w:fldCharType="begin" w:fldLock="1"/>
            </w:r>
            <w:r>
              <w:rPr>
                <w:rFonts w:ascii="Times New Roman" w:eastAsia="宋体" w:hAnsi="Times New Roman" w:cs="Times New Roman"/>
                <w:sz w:val="24"/>
                <w:szCs w:val="24"/>
              </w:rPr>
              <w:instrText>ADDIN CSL_CITATION {"citationItems":[{"id":"ITEM-1","itemData":{"DOI":"10.1111/nph.18542","ISSN":"14698137","PMID":"36254103","abstract":"Polyploidization, the process leading to the increase in chromosome sets, is a major evolutionary transition in plants. Whole-genome duplication (WGD) within the same species gives rise to autopolyploids, whereas allopolyploids result from a compound process with two distinct components: WGD and interspecific hybridization. To dissect the instant effects of WGD and hybridization on gene expression and phenotype, we created a series of synthetic hybrid and polyploid Capsella plants, including diploid hybrids, autotetraploids of both parental species, and two kinds of resynthesized allotetraploids with different orders of WGD and hybridization. Hybridization played a major role in shaping the relative expression pattern of the neo-allopolyploids, whereas WGD had almost no immediate effect on relative gene expression pattern but, nonetheless, still affected phenotypes. No transposable element-mediated genomic shock scenario was observed in either neo-hybrids or neo-polyploids. Finally, WGD and hybridization interacted and the distorting effects of WGD were less strong in hybrids. Whole-genome duplication may even improve hybrid fertility. In summary, while the initial relative gene expression pattern in neo-allotetraploids was almost entirely determined by hybridization, WGD only had trivial effects on relative expression patterns, both processes interacted and had a strong impact on physical attributes and meiotic behaviors.","author":[{"dropping-particle":"","family":"Duan","given":"Tianlin","non-dropping-particle":"","parse-names":false,"suffix":""},{"dropping-particle":"","family":"Sicard","given":"Adrien","non-dropping-particle":"","parse-names":false,"suffix":""},{"dropping-particle":"","family":"Glémin","given":"Sylvain","non-dropping-particle":"","parse-names":false,"suffix":""},{"dropping-particle":"","family":"Lascoux","given":"Martin","non-dropping-particle":"","parse-names":false,"suffix":""}],"container-title":"New Phytologist","id":"ITEM-1","issue":"1","issued":{"date-parts":[["2023","10","17"]]},"page":"339-353","publisher":"John Wiley &amp; Sons, Ltd","title":"Expression pattern of resynthesized allotetraploid Capsella is determined by hybridization, not whole-genome duplication","type":"article-journal","volume":"237"},"uris":["http://www.mendeley.com/documents/?uuid=dd3d473b-076d-3abb-8b3e-2d0f6c1227f1"]}],"mendeley":{"formattedCitation":"(Duan &lt;i&gt;et al.&lt;/i&gt;, 2023)","plainTextFormattedCitation":"(Duan et al., 2023)","previouslyFormattedCitation":"(Duan &lt;i&gt;et al.&lt;/i&gt;, 2022)"},"properties":{"noteIndex":0},"schema":"https://github.com/citation-style-language/schema/raw/master/csl-citation.json"}</w:instrText>
            </w:r>
            <w:r w:rsidRPr="001C10E5">
              <w:rPr>
                <w:rFonts w:ascii="Times New Roman" w:eastAsia="宋体" w:hAnsi="Times New Roman" w:cs="Times New Roman"/>
                <w:sz w:val="24"/>
                <w:szCs w:val="24"/>
              </w:rPr>
              <w:fldChar w:fldCharType="separate"/>
            </w:r>
            <w:r w:rsidRPr="00B62DED">
              <w:rPr>
                <w:rFonts w:ascii="Times New Roman" w:eastAsia="宋体" w:hAnsi="Times New Roman" w:cs="Times New Roman"/>
                <w:noProof/>
                <w:sz w:val="24"/>
                <w:szCs w:val="24"/>
              </w:rPr>
              <w:t xml:space="preserve">(Duan </w:t>
            </w:r>
            <w:r w:rsidRPr="00B62DED">
              <w:rPr>
                <w:rFonts w:ascii="Times New Roman" w:eastAsia="宋体" w:hAnsi="Times New Roman" w:cs="Times New Roman"/>
                <w:i/>
                <w:noProof/>
                <w:sz w:val="24"/>
                <w:szCs w:val="24"/>
              </w:rPr>
              <w:t>et al.</w:t>
            </w:r>
            <w:r w:rsidRPr="00B62DED">
              <w:rPr>
                <w:rFonts w:ascii="Times New Roman" w:eastAsia="宋体" w:hAnsi="Times New Roman" w:cs="Times New Roman"/>
                <w:noProof/>
                <w:sz w:val="24"/>
                <w:szCs w:val="24"/>
              </w:rPr>
              <w:t>, 2023)</w:t>
            </w:r>
            <w:r w:rsidRPr="001C10E5">
              <w:rPr>
                <w:rFonts w:ascii="Times New Roman" w:eastAsia="宋体" w:hAnsi="Times New Roman" w:cs="Times New Roman"/>
                <w:sz w:val="24"/>
                <w:szCs w:val="24"/>
              </w:rPr>
              <w:fldChar w:fldCharType="end"/>
            </w:r>
          </w:p>
        </w:tc>
      </w:tr>
    </w:tbl>
    <w:bookmarkEnd w:id="1"/>
    <w:bookmarkEnd w:id="2"/>
    <w:p w14:paraId="154AB8CE" w14:textId="77777777" w:rsidR="00B17D77" w:rsidRDefault="00B17D77" w:rsidP="00B17D77">
      <w:pPr>
        <w:rPr>
          <w:rFonts w:ascii="Times New Roman" w:eastAsia="宋体" w:hAnsi="Times New Roman" w:cs="Times New Roman"/>
          <w:sz w:val="24"/>
          <w:szCs w:val="24"/>
        </w:rPr>
      </w:pPr>
      <w:r w:rsidRPr="001C10E5">
        <w:rPr>
          <w:rFonts w:ascii="Times New Roman" w:eastAsia="宋体" w:hAnsi="Times New Roman" w:cs="Times New Roman" w:hint="eastAsia"/>
          <w:sz w:val="24"/>
          <w:szCs w:val="24"/>
        </w:rPr>
        <w:t>*</w:t>
      </w:r>
      <w:r w:rsidRPr="001C10E5">
        <w:rPr>
          <w:rFonts w:ascii="Times New Roman" w:eastAsia="宋体" w:hAnsi="Times New Roman" w:cs="Times New Roman"/>
          <w:sz w:val="24"/>
          <w:szCs w:val="24"/>
        </w:rPr>
        <w:t xml:space="preserve"> The three major genetic clusters (populations) of natural </w:t>
      </w:r>
      <w:r w:rsidRPr="001C10E5">
        <w:rPr>
          <w:rFonts w:ascii="Times New Roman" w:eastAsia="宋体" w:hAnsi="Times New Roman" w:cs="Times New Roman"/>
          <w:i/>
          <w:iCs/>
          <w:sz w:val="24"/>
          <w:szCs w:val="24"/>
        </w:rPr>
        <w:t>C. bursa-pastoris</w:t>
      </w:r>
      <w:r w:rsidRPr="001C10E5">
        <w:rPr>
          <w:rFonts w:ascii="Times New Roman" w:eastAsia="宋体" w:hAnsi="Times New Roman" w:cs="Times New Roman"/>
          <w:sz w:val="24"/>
          <w:szCs w:val="24"/>
        </w:rPr>
        <w:t xml:space="preserve"> were Asian (ASI), Middle-East (ME)</w:t>
      </w:r>
      <w:r>
        <w:rPr>
          <w:rFonts w:ascii="Times New Roman" w:eastAsia="宋体" w:hAnsi="Times New Roman" w:cs="Times New Roman"/>
          <w:sz w:val="24"/>
          <w:szCs w:val="24"/>
        </w:rPr>
        <w:t>,</w:t>
      </w:r>
      <w:r w:rsidRPr="001C10E5">
        <w:rPr>
          <w:rFonts w:ascii="Times New Roman" w:eastAsia="宋体" w:hAnsi="Times New Roman" w:cs="Times New Roman"/>
          <w:sz w:val="24"/>
          <w:szCs w:val="24"/>
        </w:rPr>
        <w:t xml:space="preserve"> and Europe (EUR), defined by</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fldChar w:fldCharType="begin" w:fldLock="1"/>
      </w:r>
      <w:r>
        <w:rPr>
          <w:rFonts w:ascii="Times New Roman" w:eastAsia="宋体" w:hAnsi="Times New Roman" w:cs="Times New Roman"/>
          <w:sz w:val="24"/>
          <w:szCs w:val="24"/>
        </w:rPr>
        <w:instrText>ADDIN CSL_CITATION {"citationItems":[{"id":"ITEM-1","itemData":{"DOI":"10.1111/MEC.13537","ISSN":"1365-294X","PMID":"26797895","abstract":"Population structure is a potential problem when testing for adaptive phenotypic differences among populations. The observed phenotypic differences among populations can simply be due to genetic drift, and if the genetic distance between them is not considered, the differentiation may be falsely interpreted as adaptive. Conversely, adaptive and demographic processes might have been tightly associated and correcting for the population structure may lead to false negatives. Here, we evaluated this problem in the cosmopolitan weed Capsella bursa-pastoris. We used RNA-Seq to analyse gene expression differences among 24 accessions, which belonged to a much larger group that had been previously characterized for flowering time and circadian rhythm and were genotyped using genotyping-by-sequencing (GBS) technique. We found that clustering of accessions for gene expression retrieved the same three clusters that were obtained with GBS data previously, namely Europe, the Middle East and Asia. Moreover, the three groups were also differentiated for both flowering time and circadian rhythm variation. Correction for population genetic structure when analysing differential gene expression analysis removed all differences among the three groups. This may suggest that most differences are neutral and simply reflect population history. However, geographical variation in flowering time and circadian rhythm indicated that the distribution of adaptive traits might be confounded by population structure. To bypass this confounding effect, we compared gene expression differentiation between flowering ecotypes within the genetic groups. Among the differentially expressed genes, FLOWERING LOCUS C was the strongest candidate for local adaptation in regulation of flowering time.","author":[{"dropping-particle":"","family":"Kryvokhyzha","given":"Dmytro","non-dropping-particle":"","parse-names":false,"suffix":""},{"dropping-particle":"","family":"Holm","given":"Karl","non-dropping-particle":"","parse-names":false,"suffix":""},{"dropping-particle":"","family":"Chen","given":"Jun","non-dropping-particle":"","parse-names":false,"suffix":""},{"dropping-particle":"","family":"Cornille","given":"Amandine","non-dropping-particle":"","parse-names":false,"suffix":""},{"dropping-particle":"","family":"Glémin","given":"Sylvain","non-dropping-particle":"","parse-names":false,"suffix":""},{"dropping-particle":"","family":"Wright","given":"Stephen I.","non-dropping-particle":"","parse-names":false,"suffix":""},{"dropping-particle":"","family":"Lagercrantz","given":"Ulf","non-dropping-particle":"","parse-names":false,"suffix":""},{"dropping-particle":"","family":"Lascoux","given":"Martin","non-dropping-particle":"","parse-names":false,"suffix":""}],"container-title":"Molecular Ecology","id":"ITEM-1","issue":"5","issued":{"date-parts":[["2016","3","1"]]},"page":"1106-1121","publisher":"John Wiley &amp; Sons, Ltd","title":"The influence of population structure on gene expression and flowering time variation in the ubiquitous weed Capsella bursa-pastoris (Brassicaceae)","type":"article-journal","volume":"25"},"uris":["http://www.mendeley.com/documents/?uuid=3db690f2-d865-34cc-bf76-d51430cba074"]},{"id":"ITEM-2","itemData":{"DOI":"10.1371/journal.pgen.1007949","ISSN":"15537404","PMID":"30768594","abstract":"Allopolyploidy is generally perceived as a major source of evolutionary novelties and as an instantaneous way to create isolation barriers. However, we do not have a clear understanding of how two subgenomes evolve and interact once they have fused in an allopolyploid species nor how isolated they are from their relatives. Here, we address these questions by analyzing genomic and transcriptomic data of allotetraploid Capsella bursa-pastoris in three differentiated populations, Asia, Europe, and the Middle East. We phased the two subgenomes, one descended from the outcrossing and highly diverse Capsella grandiflora (Cbp Cg ) and the other one from the selfing and genetically depauperate Capsella orientalis (Cbp Co ). For each subgenome, we assessed its relationship with the diploid relatives, temporal changes of effective population size (N e ), signatures of positive and negative selection, and gene expression patterns. In all three regions, N e of the two subgenomes decreased gradually over time and the Cbp Co subgenome accumulated more deleterious changes than Cbp Cg . There were signs of widespread admixture between C. bursa-pastoris and its diploid relatives. The two subgenomes were impacted differentially depending on geographic region suggesting either strong interploidy gene flow or multiple origins of C. bursa-pastoris. Selective sweeps were more common on the Cbp Cg subgenome in Europe and the Middle East, and on the Cbp Co subgenome in Asia. In contrast, differences in expression were limited with the Cbp Cg subgenome slightly more expressed than Cbp Co in Europe and the Middle-East. In summary, after more than 100,000 generations of co-existence, the two subgenomes of C. bursa-pastoris still retained a strong signature of parental legacy but their evolutionary trajectory strongly varied across geographic regions.","author":[{"dropping-particle":"","family":"Kryvokhyzha","given":"Dmytro","non-dropping-particle":"","parse-names":false,"suffix":""},{"dropping-particle":"","family":"Salcedo","given":"Adriana","non-dropping-particle":"","parse-names":false,"suffix":""},{"dropping-particle":"","family":"Eriksson","given":"Mimmi C.","non-dropping-particle":"","parse-names":false,"suffix":""},{"dropping-particle":"","family":"Duan","given":"Tianlin","non-dropping-particle":"","parse-names":false,"suffix":""},{"dropping-particle":"","family":"Tawari","given":"Nilesh","non-dropping-particle":"","parse-names":false,"suffix":""},{"dropping-particle":"","family":"Chen","given":"Jun","non-dropping-particle":"","parse-names":false,"suffix":""},{"dropping-particle":"","family":"Guerrina","given":"Maria","non-dropping-particle":"","parse-names":false,"suffix":""},{"dropping-particle":"","family":"Kreiner","given":"Julia M.","non-dropping-particle":"","parse-names":false,"suffix":""},{"dropping-particle":"V.","family":"Kent","given":"Tyler","non-dropping-particle":"","parse-names":false,"suffix":""},{"dropping-particle":"","family":"Lagercrantz","given":"Ulf","non-dropping-particle":"","parse-names":false,"suffix":""},{"dropping-particle":"","family":"Stinchcombe","given":"John R.","non-dropping-particle":"","parse-names":false,"suffix":""},{"dropping-particle":"","family":"Glémin","given":"Sylvain","non-dropping-particle":"","parse-names":false,"suffix":""},{"dropping-particle":"","family":"Wright","given":"Stephen I.","non-dropping-particle":"","parse-names":false,"suffix":""},{"dropping-particle":"","family":"Lascoux","given":"Martin","non-dropping-particle":"","parse-names":false,"suffix":""}],"container-title":"PLoS Genetics","id":"ITEM-2","issue":"2","issued":{"date-parts":[["2019","2","1"]]},"page":"e1007949","publisher":"Public Library of Science","title":"Parental legacy, demography, and admixture influenced the evolution of the two subgenomes of the tetraploid Capsella bursa-pastoris (Brassicaceae)","type":"article-journal","volume":"15"},"uris":["http://www.mendeley.com/documents/?uuid=81956d20-c4a6-3024-9dd6-e98143a1a5d4"]}],"mendeley":{"formattedCitation":"(Kryvokhyzha &lt;i&gt;et al.&lt;/i&gt;, 2016, 2019)","manualFormatting":"Kryvokhyzha et al. (2016, 2019)","plainTextFormattedCitation":"(Kryvokhyzha et al., 2016, 2019)","previouslyFormattedCitation":"(Kryvokhyzha &lt;i&gt;et al.&lt;/i&gt;, 2016, 2019)"},"properties":{"noteIndex":0},"schema":"https://github.com/citation-style-language/schema/raw/master/csl-citation.json"}</w:instrText>
      </w:r>
      <w:r>
        <w:rPr>
          <w:rFonts w:ascii="Times New Roman" w:eastAsia="宋体" w:hAnsi="Times New Roman" w:cs="Times New Roman"/>
          <w:sz w:val="24"/>
          <w:szCs w:val="24"/>
        </w:rPr>
        <w:fldChar w:fldCharType="separate"/>
      </w:r>
      <w:r w:rsidRPr="00E845A9">
        <w:rPr>
          <w:rFonts w:ascii="Times New Roman" w:eastAsia="宋体" w:hAnsi="Times New Roman" w:cs="Times New Roman"/>
          <w:noProof/>
          <w:sz w:val="24"/>
          <w:szCs w:val="24"/>
        </w:rPr>
        <w:t xml:space="preserve">Kryvokhyzha </w:t>
      </w:r>
      <w:r w:rsidRPr="00E845A9">
        <w:rPr>
          <w:rFonts w:ascii="Times New Roman" w:eastAsia="宋体" w:hAnsi="Times New Roman" w:cs="Times New Roman"/>
          <w:i/>
          <w:noProof/>
          <w:sz w:val="24"/>
          <w:szCs w:val="24"/>
        </w:rPr>
        <w:t>et al.</w:t>
      </w:r>
      <w:r>
        <w:rPr>
          <w:rFonts w:ascii="Times New Roman" w:eastAsia="宋体" w:hAnsi="Times New Roman" w:cs="Times New Roman"/>
          <w:noProof/>
          <w:sz w:val="24"/>
          <w:szCs w:val="24"/>
        </w:rPr>
        <w:t xml:space="preserve"> (</w:t>
      </w:r>
      <w:r w:rsidRPr="00E845A9">
        <w:rPr>
          <w:rFonts w:ascii="Times New Roman" w:eastAsia="宋体" w:hAnsi="Times New Roman" w:cs="Times New Roman"/>
          <w:noProof/>
          <w:sz w:val="24"/>
          <w:szCs w:val="24"/>
        </w:rPr>
        <w:t>2016, 2019)</w:t>
      </w:r>
      <w:r>
        <w:rPr>
          <w:rFonts w:ascii="Times New Roman" w:eastAsia="宋体" w:hAnsi="Times New Roman" w:cs="Times New Roman"/>
          <w:sz w:val="24"/>
          <w:szCs w:val="24"/>
        </w:rPr>
        <w:fldChar w:fldCharType="end"/>
      </w:r>
      <w:r w:rsidRPr="001C10E5">
        <w:rPr>
          <w:rFonts w:ascii="Times New Roman" w:eastAsia="宋体" w:hAnsi="Times New Roman" w:cs="Times New Roman"/>
          <w:sz w:val="24"/>
          <w:szCs w:val="24"/>
        </w:rPr>
        <w:t>.</w:t>
      </w:r>
      <w:r>
        <w:rPr>
          <w:rFonts w:ascii="Times New Roman" w:eastAsia="宋体" w:hAnsi="Times New Roman" w:cs="Times New Roman"/>
          <w:sz w:val="24"/>
          <w:szCs w:val="24"/>
        </w:rPr>
        <w:t xml:space="preserve"> </w:t>
      </w:r>
    </w:p>
    <w:p w14:paraId="5766B4E6" w14:textId="77777777" w:rsidR="009548C5" w:rsidRDefault="009548C5"/>
    <w:sectPr w:rsidR="009548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zNzC2NDMxMzE2NjdW0lEKTi0uzszPAykwrAUAUC/ZCCwAAAA="/>
  </w:docVars>
  <w:rsids>
    <w:rsidRoot w:val="009548C5"/>
    <w:rsid w:val="009548C5"/>
    <w:rsid w:val="00B17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76296"/>
  <w15:chartTrackingRefBased/>
  <w15:docId w15:val="{750B833C-C8A9-42B4-A824-3CE8CB0C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D77"/>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网格型1"/>
    <w:basedOn w:val="a1"/>
    <w:next w:val="a3"/>
    <w:uiPriority w:val="39"/>
    <w:rsid w:val="00B17D77"/>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17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2115</Words>
  <Characters>12060</Characters>
  <Application>Microsoft Office Word</Application>
  <DocSecurity>0</DocSecurity>
  <Lines>100</Lines>
  <Paragraphs>28</Paragraphs>
  <ScaleCrop>false</ScaleCrop>
  <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Tianlin</dc:creator>
  <cp:keywords/>
  <dc:description/>
  <cp:lastModifiedBy>Tianlin</cp:lastModifiedBy>
  <cp:revision>2</cp:revision>
  <dcterms:created xsi:type="dcterms:W3CDTF">2023-12-10T08:26:00Z</dcterms:created>
  <dcterms:modified xsi:type="dcterms:W3CDTF">2023-12-10T08:28:00Z</dcterms:modified>
</cp:coreProperties>
</file>