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6">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7">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8">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9">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0">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1">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b w:val="1"/>
                <w:color w:val="ff0000"/>
                <w:sz w:val="18"/>
                <w:szCs w:val="18"/>
                <w:highlight w:val="yellow"/>
              </w:rPr>
            </w:pPr>
            <w:r w:rsidDel="00000000" w:rsidR="00000000" w:rsidRPr="00000000">
              <w:rPr>
                <w:rFonts w:ascii="Noto Sans" w:cs="Noto Sans" w:eastAsia="Noto Sans" w:hAnsi="Noto Sans"/>
                <w:color w:val="434343"/>
                <w:sz w:val="18"/>
                <w:szCs w:val="18"/>
                <w:rtl w:val="0"/>
              </w:rPr>
              <w:t xml:space="preserve">The availability of the behavioral data and the modeling code are separately described in their corresponding Methods sections.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2">
              <w:r w:rsidDel="00000000" w:rsidR="00000000" w:rsidRPr="00000000">
                <w:rPr>
                  <w:rFonts w:ascii="Noto Sans" w:cs="Noto Sans" w:eastAsia="Noto Sans" w:hAnsi="Noto Sans"/>
                  <w:color w:val="434343"/>
                  <w:sz w:val="18"/>
                  <w:szCs w:val="18"/>
                  <w:rtl w:val="0"/>
                </w:rPr>
                <w:t xml:space="preserve"> </w:t>
              </w:r>
            </w:hyperlink>
            <w:hyperlink r:id="rId13">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32">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4">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Methods: Animal subjects</w:t>
            </w:r>
          </w:p>
          <w:p w:rsidR="00000000" w:rsidDel="00000000" w:rsidP="00000000" w:rsidRDefault="00000000" w:rsidRPr="00000000" w14:paraId="0000003A">
            <w:pPr>
              <w:rPr>
                <w:rFonts w:ascii="Noto Sans" w:cs="Noto Sans" w:eastAsia="Noto Sans" w:hAnsi="Noto Sans"/>
                <w:b w:val="1"/>
                <w:color w:val="ff0000"/>
                <w:sz w:val="18"/>
                <w:szCs w:val="18"/>
                <w:highlight w:val="yellow"/>
              </w:rPr>
            </w:pPr>
            <w:r w:rsidDel="00000000" w:rsidR="00000000" w:rsidRPr="00000000">
              <w:rPr>
                <w:rFonts w:ascii="Noto Sans" w:cs="Noto Sans" w:eastAsia="Noto Sans" w:hAnsi="Noto Sans"/>
                <w:color w:val="434343"/>
                <w:sz w:val="18"/>
                <w:szCs w:val="18"/>
                <w:rtl w:val="0"/>
              </w:rPr>
              <w:t xml:space="preserve">Wild-type C57BL/6J adult mice (</w:t>
            </w:r>
            <w:r w:rsidDel="00000000" w:rsidR="00000000" w:rsidRPr="00000000">
              <w:rPr>
                <w:rFonts w:ascii="Noto Sans" w:cs="Noto Sans" w:eastAsia="Noto Sans" w:hAnsi="Noto Sans"/>
                <w:color w:val="434343"/>
                <w:sz w:val="18"/>
                <w:szCs w:val="18"/>
                <w:rtl w:val="0"/>
              </w:rPr>
              <w:t xml:space="preserve">RRID:IMSR_JAX:000664</w:t>
            </w:r>
            <w:r w:rsidDel="00000000" w:rsidR="00000000" w:rsidRPr="00000000">
              <w:rPr>
                <w:rFonts w:ascii="Noto Sans" w:cs="Noto Sans" w:eastAsia="Noto Sans" w:hAnsi="Noto Sans"/>
                <w:color w:val="434343"/>
                <w:sz w:val="18"/>
                <w:szCs w:val="18"/>
                <w:rtl w:val="0"/>
              </w:rPr>
              <w:t xml:space="preserve">) of both sexes, ages 2.5–4 months at the beginning of behavioral training, were used in this study (as </w:t>
            </w:r>
            <w:r w:rsidDel="00000000" w:rsidR="00000000" w:rsidRPr="00000000">
              <w:rPr>
                <w:rFonts w:ascii="Noto Sans" w:cs="Noto Sans" w:eastAsia="Noto Sans" w:hAnsi="Noto Sans"/>
                <w:color w:val="434343"/>
                <w:sz w:val="18"/>
                <w:szCs w:val="18"/>
                <w:rtl w:val="0"/>
              </w:rPr>
              <w:t xml:space="preserve">indicated</w:t>
            </w:r>
            <w:r w:rsidDel="00000000" w:rsidR="00000000" w:rsidRPr="00000000">
              <w:rPr>
                <w:rFonts w:ascii="Noto Sans" w:cs="Noto Sans" w:eastAsia="Noto Sans" w:hAnsi="Noto Sans"/>
                <w:color w:val="434343"/>
                <w:sz w:val="18"/>
                <w:szCs w:val="18"/>
                <w:rtl w:val="0"/>
              </w:rPr>
              <w:t xml:space="preserve"> in Methods)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0">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1">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C">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D">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54">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5">
      <w:pPr>
        <w:spacing w:before="80" w:line="227" w:lineRule="auto"/>
        <w:rPr>
          <w:rFonts w:ascii="Noto Sans" w:cs="Noto Sans" w:eastAsia="Noto Sans" w:hAnsi="Noto Sans"/>
          <w:b w:val="1"/>
          <w:color w:val="434343"/>
          <w:sz w:val="24"/>
          <w:szCs w:val="24"/>
        </w:rPr>
      </w:pPr>
      <w:bookmarkStart w:colFirst="0" w:colLast="0" w:name="_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6">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E">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F">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67">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6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6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spacing w:line="225" w:lineRule="auto"/>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Note done. Sample size was set to 9 mice per cohort and limited by availability of equipment and research personnel, given the required number of behavioral sessions.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w:t>
            </w:r>
            <w:r w:rsidDel="00000000" w:rsidR="00000000" w:rsidRPr="00000000">
              <w:rPr>
                <w:rFonts w:ascii="Noto Sans" w:cs="Noto Sans" w:eastAsia="Noto Sans" w:hAnsi="Noto Sans"/>
                <w:color w:val="434343"/>
                <w:sz w:val="18"/>
                <w:szCs w:val="18"/>
                <w:rtl w:val="0"/>
              </w:rPr>
              <w:t xml:space="preserve">Methods: Passive exposure’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Not done.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Passive exposure’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E">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F">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8">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A">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B">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C">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line="225" w:lineRule="auto"/>
              <w:rPr>
                <w:rFonts w:ascii="Noto Sans" w:cs="Noto Sans" w:eastAsia="Noto Sans" w:hAnsi="Noto Sans"/>
                <w:b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4">
            <w:pPr>
              <w:spacing w:line="225" w:lineRule="auto"/>
              <w:rPr>
                <w:rFonts w:ascii="Noto Sans" w:cs="Noto Sans" w:eastAsia="Noto Sans" w:hAnsi="Noto Sans"/>
                <w:b w:val="1"/>
                <w:color w:val="ff0000"/>
                <w:sz w:val="18"/>
                <w:szCs w:val="18"/>
                <w:highlight w:val="yellow"/>
              </w:rPr>
            </w:pPr>
            <w:r w:rsidDel="00000000" w:rsidR="00000000" w:rsidRPr="00000000">
              <w:rPr>
                <w:rFonts w:ascii="Noto Sans" w:cs="Noto Sans" w:eastAsia="Noto Sans" w:hAnsi="Noto Sans"/>
                <w:color w:val="434343"/>
                <w:sz w:val="18"/>
                <w:szCs w:val="18"/>
                <w:rtl w:val="0"/>
              </w:rPr>
              <w:t xml:space="preserve">All procedures were carried out in accordance with National Institutes of Health Standards and were approved by the University of Oregon Institutional Animal Care and Use Committee (Protocol #21-26).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A2">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A3">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A4">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As described in Results, we identified that the learning performance of mice was bimodal, so for the analyses in Figures 2 D-G and Figure 3, only mice in the fast learning group were used, as defined by a mixture of Gaussian fit.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B">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C">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D">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2493.37499999999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2">
            <w:pPr>
              <w:spacing w:line="225" w:lineRule="auto"/>
              <w:rPr>
                <w:rFonts w:ascii="Noto Sans" w:cs="Noto Sans" w:eastAsia="Noto Sans" w:hAnsi="Noto Sans"/>
                <w:b w:val="1"/>
                <w:color w:val="ff0000"/>
                <w:sz w:val="18"/>
                <w:szCs w:val="18"/>
                <w:highlight w:val="yellow"/>
              </w:rPr>
            </w:pPr>
            <w:r w:rsidDel="00000000" w:rsidR="00000000" w:rsidRPr="00000000">
              <w:rPr>
                <w:rFonts w:ascii="Noto Sans" w:cs="Noto Sans" w:eastAsia="Noto Sans" w:hAnsi="Noto Sans"/>
                <w:color w:val="434343"/>
                <w:sz w:val="18"/>
                <w:szCs w:val="18"/>
                <w:rtl w:val="0"/>
              </w:rPr>
              <w:t xml:space="preserve">To test for bimodality, a Bayesian Information Criterion (BIC) was used on Gaussian Mixture Model fits. To test for differences in distributions, we used the non-parametric Wilcoxon rank-sum tests (since we could not ensure the normality of our metrics).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3">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7">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As indicated in “Methods: Analysis of behavioral data”, the behavioral data collected in this study is freely available on Zenodo.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DOI of the dataset is </w:t>
            </w:r>
            <w:hyperlink r:id="rId14">
              <w:r w:rsidDel="00000000" w:rsidR="00000000" w:rsidRPr="00000000">
                <w:rPr>
                  <w:rFonts w:ascii="Noto Sans" w:cs="Noto Sans" w:eastAsia="Noto Sans" w:hAnsi="Noto Sans"/>
                  <w:color w:val="1155cc"/>
                  <w:sz w:val="18"/>
                  <w:szCs w:val="18"/>
                  <w:u w:val="single"/>
                  <w:rtl w:val="0"/>
                </w:rPr>
                <w:t xml:space="preserve">10.5281/zenodo.10360066</w:t>
              </w:r>
            </w:hyperlink>
            <w:r w:rsidDel="00000000" w:rsidR="00000000" w:rsidRPr="00000000">
              <w:rPr>
                <w:rFonts w:ascii="Noto Sans" w:cs="Noto Sans" w:eastAsia="Noto Sans" w:hAnsi="Noto Sans"/>
                <w:color w:val="434343"/>
                <w:sz w:val="18"/>
                <w:szCs w:val="18"/>
                <w:rtl w:val="0"/>
              </w:rPr>
              <w:t xml:space="preserve">, and it is released under a Creative Commons Attribution license.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3">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4">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5">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As indicated in “Methods: Modeling”, the modeling code for this study is freely available on Github.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URL of the code repository is </w:t>
            </w:r>
            <w:hyperlink r:id="rId15">
              <w:r w:rsidDel="00000000" w:rsidR="00000000" w:rsidRPr="00000000">
                <w:rPr>
                  <w:rFonts w:ascii="Noto Sans" w:cs="Noto Sans" w:eastAsia="Noto Sans" w:hAnsi="Noto Sans"/>
                  <w:color w:val="1155cc"/>
                  <w:sz w:val="18"/>
                  <w:szCs w:val="18"/>
                  <w:u w:val="single"/>
                  <w:rtl w:val="0"/>
                </w:rPr>
                <w:t xml:space="preserve">https://github.com/cschmidat/behaviour-models</w:t>
              </w:r>
            </w:hyperlink>
            <w:r w:rsidDel="00000000" w:rsidR="00000000" w:rsidRPr="00000000">
              <w:rPr>
                <w:rtl w:val="0"/>
              </w:rPr>
            </w:r>
          </w:p>
          <w:p w:rsidR="00000000" w:rsidDel="00000000" w:rsidP="00000000" w:rsidRDefault="00000000" w:rsidRPr="00000000" w14:paraId="000000C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code is available under a GPL license.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0">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3">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D4">
      <w:pPr>
        <w:spacing w:before="60" w:line="227" w:lineRule="auto"/>
        <w:rPr>
          <w:rFonts w:ascii="Noto Sans" w:cs="Noto Sans" w:eastAsia="Noto Sans" w:hAnsi="Noto Sans"/>
          <w:b w:val="1"/>
          <w:color w:val="434343"/>
          <w:sz w:val="24"/>
          <w:szCs w:val="24"/>
        </w:rPr>
      </w:pPr>
      <w:bookmarkStart w:colFirst="0" w:colLast="0" w:name="_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D5">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6">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D">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E">
      <w:pPr>
        <w:spacing w:before="80" w:lineRule="auto"/>
        <w:rPr/>
      </w:pPr>
      <w:bookmarkStart w:colFirst="0" w:colLast="0" w:name="_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color w:val="ff0000"/>
        </w:rPr>
      </w:pPr>
      <w:r w:rsidDel="00000000" w:rsidR="00000000" w:rsidRPr="00000000">
        <w:rPr>
          <w:rtl w:val="0"/>
        </w:rPr>
        <w:t xml:space="preserve">* We provide the following guidance regarding transparent reporting and statistics; we also refer authors to </w:t>
      </w:r>
      <w:hyperlink r:id="rId16">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Sample-size estimation</w:t>
      </w:r>
    </w:p>
    <w:p w:rsidR="00000000" w:rsidDel="00000000" w:rsidP="00000000" w:rsidRDefault="00000000" w:rsidRPr="00000000" w14:paraId="000000E3">
      <w:pPr>
        <w:numPr>
          <w:ilvl w:val="0"/>
          <w:numId w:val="2"/>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E4">
      <w:pPr>
        <w:numPr>
          <w:ilvl w:val="0"/>
          <w:numId w:val="2"/>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E5">
      <w:pPr>
        <w:numPr>
          <w:ilvl w:val="0"/>
          <w:numId w:val="2"/>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b w:val="1"/>
          <w:rtl w:val="0"/>
        </w:rPr>
        <w:t xml:space="preserve">Replicates</w:t>
      </w:r>
    </w:p>
    <w:p w:rsidR="00000000" w:rsidDel="00000000" w:rsidP="00000000" w:rsidRDefault="00000000" w:rsidRPr="00000000" w14:paraId="000000E8">
      <w:pPr>
        <w:numPr>
          <w:ilvl w:val="0"/>
          <w:numId w:val="4"/>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9">
      <w:pPr>
        <w:numPr>
          <w:ilvl w:val="0"/>
          <w:numId w:val="4"/>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A">
      <w:pPr>
        <w:numPr>
          <w:ilvl w:val="0"/>
          <w:numId w:val="4"/>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B">
      <w:pPr>
        <w:numPr>
          <w:ilvl w:val="0"/>
          <w:numId w:val="4"/>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C">
      <w:pPr>
        <w:numPr>
          <w:ilvl w:val="0"/>
          <w:numId w:val="4"/>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D">
      <w:pPr>
        <w:numPr>
          <w:ilvl w:val="0"/>
          <w:numId w:val="4"/>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Statistical reporting</w:t>
      </w:r>
    </w:p>
    <w:p w:rsidR="00000000" w:rsidDel="00000000" w:rsidP="00000000" w:rsidRDefault="00000000" w:rsidRPr="00000000" w14:paraId="000000F0">
      <w:pPr>
        <w:numPr>
          <w:ilvl w:val="0"/>
          <w:numId w:val="3"/>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F1">
      <w:pPr>
        <w:numPr>
          <w:ilvl w:val="0"/>
          <w:numId w:val="3"/>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F2">
      <w:pPr>
        <w:numPr>
          <w:ilvl w:val="0"/>
          <w:numId w:val="3"/>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F3">
      <w:pPr>
        <w:numPr>
          <w:ilvl w:val="0"/>
          <w:numId w:val="3"/>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b w:val="1"/>
          <w:rtl w:val="0"/>
        </w:rPr>
        <w:t xml:space="preserve">Group allocation</w:t>
      </w:r>
    </w:p>
    <w:p w:rsidR="00000000" w:rsidDel="00000000" w:rsidP="00000000" w:rsidRDefault="00000000" w:rsidRPr="00000000" w14:paraId="000000F6">
      <w:pPr>
        <w:numPr>
          <w:ilvl w:val="0"/>
          <w:numId w:val="1"/>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7">
      <w:pPr>
        <w:numPr>
          <w:ilvl w:val="0"/>
          <w:numId w:val="1"/>
        </w:numPr>
        <w:ind w:left="720" w:hanging="360"/>
        <w:rPr/>
      </w:pPr>
      <w:r w:rsidDel="00000000" w:rsidR="00000000" w:rsidRPr="00000000">
        <w:rPr>
          <w:rtl w:val="0"/>
        </w:rPr>
        <w:t xml:space="preserve">Indicate if masking was used during group allocation, data collection and/or data analysis</w:t>
      </w:r>
    </w:p>
    <w:sectPr>
      <w:headerReference r:id="rId17" w:type="default"/>
      <w:headerReference r:id="rId18" w:type="first"/>
      <w:footerReference r:id="rId19"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2" name="image2.jpg"/>
          <a:graphic>
            <a:graphicData uri="http://schemas.openxmlformats.org/drawingml/2006/picture">
              <pic:pic>
                <pic:nvPicPr>
                  <pic:cNvPr descr="A picture containing text, clipart&#10;&#10;Description automatically generated" id="0" name="image2.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3506679</wp:posOffset>
          </wp:positionH>
          <wp:positionV relativeFrom="paragraph">
            <wp:posOffset>-443901</wp:posOffset>
          </wp:positionV>
          <wp:extent cx="3390900" cy="1038225"/>
          <wp:effectExtent b="0" l="0" r="0" t="0"/>
          <wp:wrapSquare wrapText="bothSides" distB="0" distT="0" distL="114300" distR="114300"/>
          <wp:docPr descr="A picture containing background pattern&#10;&#10;Description automatically generated" id="1" name="image1.jpg"/>
          <a:graphic>
            <a:graphicData uri="http://schemas.openxmlformats.org/drawingml/2006/picture">
              <pic:pic>
                <pic:nvPicPr>
                  <pic:cNvPr descr="A picture containing background pattern&#10;&#10;Description automatically generated" id="0" name="image1.jpg"/>
                  <pic:cNvPicPr preferRelativeResize="0"/>
                </pic:nvPicPr>
                <pic:blipFill>
                  <a:blip r:embed="rId2"/>
                  <a:srcRect b="0" l="55162" r="0" t="0"/>
                  <a:stretch>
                    <a:fillRect/>
                  </a:stretch>
                </pic:blipFill>
                <pic:spPr>
                  <a:xfrm>
                    <a:off x="0" y="0"/>
                    <a:ext cx="3390900" cy="10382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viewer.elifesciences.org/author-guide/journal-policies" TargetMode="External"/><Relationship Id="rId10" Type="http://schemas.openxmlformats.org/officeDocument/2006/relationships/hyperlink" Target="https://doi.org/10.1038/d41586-020-01751-5" TargetMode="External"/><Relationship Id="rId13" Type="http://schemas.openxmlformats.org/officeDocument/2006/relationships/hyperlink" Target="https://scicrunch.org/resources" TargetMode="External"/><Relationship Id="rId12" Type="http://schemas.openxmlformats.org/officeDocument/2006/relationships/hyperlink" Target="https://scicrunch.org/resou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losbiology.org/article/info:doi/10.1371/journal.pbio.1000412" TargetMode="External"/><Relationship Id="rId15" Type="http://schemas.openxmlformats.org/officeDocument/2006/relationships/hyperlink" Target="https://github.com/cschmidat/behaviour-models" TargetMode="External"/><Relationship Id="rId14" Type="http://schemas.openxmlformats.org/officeDocument/2006/relationships/hyperlink" Target="https://zenodo.org/doi/10.5281/zenodo.10360066" TargetMode="External"/><Relationship Id="rId17" Type="http://schemas.openxmlformats.org/officeDocument/2006/relationships/header" Target="header2.xml"/><Relationship Id="rId16" Type="http://schemas.openxmlformats.org/officeDocument/2006/relationships/hyperlink" Target="https://doi.org/10.7554/eLife.48175"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osf.io/xfpn4/" TargetMode="External"/><Relationship Id="rId18" Type="http://schemas.openxmlformats.org/officeDocument/2006/relationships/header" Target="header1.xml"/><Relationship Id="rId7" Type="http://schemas.openxmlformats.org/officeDocument/2006/relationships/hyperlink" Target="http://www.equator-network.org/%20" TargetMode="External"/><Relationship Id="rId8" Type="http://schemas.openxmlformats.org/officeDocument/2006/relationships/hyperlink" Target="http://biosharing.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