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Key Resources Table in methods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Key Resources Table in methods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tl w:val="0"/>
              </w:rPr>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26">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8">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 methods in the sections preparation of monocyte-derived DCs section and in vivo migration assay for the preparation of bone marrow derived DCs.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4">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 vivo migration assay section in methods.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tl w:val="0"/>
              </w:rPr>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0">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Bacterial strain and antigens section in methods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C">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Patient blood donors ‘section in methods and Table I.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rFonts w:ascii="Noto Sans" w:cs="Noto Sans" w:eastAsia="Noto Sans" w:hAnsi="Noto Sans"/>
                <w:b w:val="1"/>
                <w:color w:val="434343"/>
                <w:sz w:val="18"/>
                <w:szCs w:val="18"/>
              </w:rPr>
            </w:pPr>
            <w:r w:rsidDel="00000000" w:rsidR="00000000" w:rsidRPr="00000000">
              <w:rPr>
                <w:rtl w:val="0"/>
              </w:rPr>
            </w:r>
          </w:p>
        </w:tc>
      </w:tr>
    </w:tbl>
    <w:p w:rsidR="00000000" w:rsidDel="00000000" w:rsidP="00000000" w:rsidRDefault="00000000" w:rsidRPr="00000000" w14:paraId="00000053">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4">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5">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E">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This calculation was included in the protocol submitted to the Institutional Animal Care and Use of the Experimentation Animals Committee of the Institute of Experimental Medicine (IMEX, Buenos Aires) which was approved in 2021 as stated in the section Study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x</w:t>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C">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sz w:val="18"/>
                <w:szCs w:val="18"/>
              </w:rPr>
            </w:pPr>
            <w:r w:rsidDel="00000000" w:rsidR="00000000" w:rsidRPr="00000000">
              <w:rPr>
                <w:rFonts w:ascii="Noto Sans" w:cs="Noto Sans" w:eastAsia="Noto Sans" w:hAnsi="Noto Sans"/>
                <w:color w:val="434343"/>
                <w:sz w:val="18"/>
                <w:szCs w:val="18"/>
                <w:rtl w:val="0"/>
              </w:rPr>
              <w:t xml:space="preserve">Each assay, which included human-derived DCs, was performed with a number of donors specified in each figure legend at a rate of two donors per time as stated in the statistics section in methods.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Each independent experiment corresponds to 1 donor as stated in the statistics section in methods.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Study approval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Study approval section.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9E">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F">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A0">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9">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Statistics section in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2">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Section “CD16+ monocytes from TB patients show increased glycolytic capacity” in results.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rPr>
                <w:rFonts w:ascii="Noto Sans" w:cs="Noto Sans" w:eastAsia="Noto Sans" w:hAnsi="Noto Sans"/>
                <w:b w:val="1"/>
                <w:color w:val="434343"/>
                <w:sz w:val="16"/>
                <w:szCs w:val="16"/>
                <w:highlight w:val="white"/>
              </w:rPr>
            </w:pPr>
            <w:r w:rsidDel="00000000" w:rsidR="00000000" w:rsidRPr="00000000">
              <w:rPr>
                <w:rtl w:val="0"/>
              </w:rPr>
            </w:r>
          </w:p>
          <w:p w:rsidR="00000000" w:rsidDel="00000000" w:rsidP="00000000" w:rsidRDefault="00000000" w:rsidRPr="00000000" w14:paraId="000000C0">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1">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2">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line="225" w:lineRule="auto"/>
              <w:rPr>
                <w:rFonts w:ascii="Noto Sans" w:cs="Noto Sans" w:eastAsia="Noto Sans" w:hAnsi="Noto Sans"/>
                <w:color w:val="434343"/>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CF">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D0">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D1">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2">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D9">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A">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Sample-size estimation</w:t>
      </w:r>
    </w:p>
    <w:p w:rsidR="00000000" w:rsidDel="00000000" w:rsidP="00000000" w:rsidRDefault="00000000" w:rsidRPr="00000000" w14:paraId="000000DF">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E0">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E1">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tl w:val="0"/>
        </w:rPr>
        <w:t xml:space="preserve">Replicates</w:t>
      </w:r>
    </w:p>
    <w:p w:rsidR="00000000" w:rsidDel="00000000" w:rsidP="00000000" w:rsidRDefault="00000000" w:rsidRPr="00000000" w14:paraId="000000E4">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5">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6">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7">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8">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9">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Statistical reporting</w:t>
      </w:r>
    </w:p>
    <w:p w:rsidR="00000000" w:rsidDel="00000000" w:rsidP="00000000" w:rsidRDefault="00000000" w:rsidRPr="00000000" w14:paraId="000000EC">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E">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F">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Group allocation</w:t>
      </w:r>
    </w:p>
    <w:p w:rsidR="00000000" w:rsidDel="00000000" w:rsidP="00000000" w:rsidRDefault="00000000" w:rsidRPr="00000000" w14:paraId="000000F2">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3">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6"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5" name="image2.jpg"/>
          <a:graphic>
            <a:graphicData uri="http://schemas.openxmlformats.org/drawingml/2006/picture">
              <pic:pic>
                <pic:nvPicPr>
                  <pic:cNvPr descr="A picture containing background pattern&#10;&#10;Description automatically generated" id="0" name="image2.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4E2C31"/>
    <w:pPr>
      <w:tabs>
        <w:tab w:val="center" w:pos="4513"/>
        <w:tab w:val="right" w:pos="9026"/>
      </w:tabs>
    </w:pPr>
  </w:style>
  <w:style w:type="character" w:styleId="EncabezadoCar" w:customStyle="1">
    <w:name w:val="Encabezado Car"/>
    <w:basedOn w:val="Fuentedeprrafopredeter"/>
    <w:link w:val="Encabezado"/>
    <w:uiPriority w:val="99"/>
    <w:rsid w:val="004E2C31"/>
  </w:style>
  <w:style w:type="paragraph" w:styleId="Piedepgina">
    <w:name w:val="footer"/>
    <w:basedOn w:val="Normal"/>
    <w:link w:val="PiedepginaCar"/>
    <w:uiPriority w:val="99"/>
    <w:unhideWhenUsed w:val="1"/>
    <w:rsid w:val="004E2C31"/>
    <w:pPr>
      <w:tabs>
        <w:tab w:val="center" w:pos="4513"/>
        <w:tab w:val="right" w:pos="9026"/>
      </w:tabs>
    </w:pPr>
  </w:style>
  <w:style w:type="character" w:styleId="PiedepginaCar" w:customStyle="1">
    <w:name w:val="Pie de página Car"/>
    <w:basedOn w:val="Fuentedeprrafopredeter"/>
    <w:link w:val="Piedepgina"/>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NJmYwzpsvLTse35eGLSLRqpL/A==">CgMxLjAyCGguZ2pkZ3hzMgloLjMwajB6bGwyCWguMWZvYjl0ZTIJaC4zem55c2g3OAByITF0RFZvejZMWTQ4c1prcEQ2TUFwSjRJdWcwYUVHcldhcg==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2024-06-05T12:32:00Z</dcterms:created>
  <dc:creator>Usuario</dc:creator>
</cp:coreProperties>
</file>