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jc w:val="left"/>
              <w:rPr>
                <w:rFonts w:ascii="Noto Sans" w:hAnsi="Noto Sans" w:eastAsia="Noto Sans" w:cs="Noto Sans"/>
                <w:bCs/>
                <w:color w:val="434343"/>
                <w:sz w:val="18"/>
                <w:szCs w:val="18"/>
              </w:rPr>
            </w:pPr>
            <w:r>
              <w:rPr>
                <w:rFonts w:ascii="Noto Sans" w:hAnsi="Noto Sans" w:eastAsia="Noto Sans" w:cs="Noto Sans"/>
                <w:color w:val="434343"/>
                <w:sz w:val="18"/>
                <w:szCs w:val="18"/>
              </w:rPr>
              <w:t>This information can be found in the “</w:t>
            </w:r>
            <w:r>
              <w:rPr>
                <w:rFonts w:hint="eastAsia" w:ascii="Noto Sans" w:hAnsi="Noto Sans" w:eastAsia="Noto Sans" w:cs="Noto Sans"/>
                <w:color w:val="434343"/>
                <w:sz w:val="18"/>
                <w:szCs w:val="18"/>
              </w:rPr>
              <w:t>Reagents and</w:t>
            </w:r>
            <w:r>
              <w:rPr>
                <w:rFonts w:hint="eastAsia" w:ascii="Noto Sans" w:hAnsi="Noto Sans" w:eastAsia="宋体" w:cs="Noto Sans"/>
                <w:color w:val="434343"/>
                <w:sz w:val="18"/>
                <w:szCs w:val="18"/>
                <w:lang w:eastAsia="zh-CN"/>
              </w:rPr>
              <w:t xml:space="preserve"> </w:t>
            </w:r>
            <w:r>
              <w:rPr>
                <w:rFonts w:hint="eastAsia" w:ascii="Noto Sans" w:hAnsi="Noto Sans" w:eastAsia="Noto Sans" w:cs="Noto Sans"/>
                <w:color w:val="434343"/>
                <w:sz w:val="18"/>
                <w:szCs w:val="18"/>
              </w:rPr>
              <w:t>materials</w:t>
            </w:r>
            <w:r>
              <w:rPr>
                <w:rFonts w:ascii="Noto Sans" w:hAnsi="Noto Sans" w:eastAsia="Noto Sans" w:cs="Noto Sans"/>
                <w:color w:val="434343"/>
                <w:sz w:val="18"/>
                <w:szCs w:val="18"/>
              </w:rPr>
              <w:t xml:space="preserve">” section of </w:t>
            </w:r>
            <w:r>
              <w:rPr>
                <w:rFonts w:hint="eastAsia" w:ascii="Noto Sans" w:hAnsi="Noto Sans" w:eastAsia="Noto Sans" w:cs="Noto Sans"/>
                <w:color w:val="434343"/>
                <w:sz w:val="18"/>
                <w:szCs w:val="18"/>
              </w:rPr>
              <w:t>Materials and Methods</w:t>
            </w:r>
            <w:r>
              <w:rPr>
                <w:rFonts w:ascii="Noto Sans" w:hAnsi="Noto Sans" w:eastAsia="Noto Sans" w:cs="Noto Sans"/>
                <w:color w:val="434343"/>
                <w:sz w:val="18"/>
                <w:szCs w:val="18"/>
              </w:rPr>
              <w:t xml:space="preserve">. </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Information about primers used in RT-qPCR experiments can be found in the “Table 1. Primer sequences for the quantitative real-time PCR analysis of mRTECs and mouse tissues”.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This information can be found in the “NET extraction and cell culture” section of Materials and Methods.</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vAlign w:val="top"/>
          </w:tcPr>
          <w:p>
            <w:pPr>
              <w:rPr>
                <w:rFonts w:ascii="Noto Sans" w:hAnsi="Noto Sans" w:eastAsia="Noto Sans" w:cs="Noto Sans"/>
                <w:bCs/>
                <w:color w:val="434343"/>
                <w:sz w:val="18"/>
                <w:szCs w:val="18"/>
              </w:rPr>
            </w:pPr>
            <w:r>
              <w:rPr>
                <w:rFonts w:ascii="Noto Sans" w:hAnsi="Noto Sans" w:eastAsia="Noto Sans" w:cs="Noto Sans"/>
                <w:color w:val="434343"/>
                <w:sz w:val="18"/>
                <w:szCs w:val="18"/>
              </w:rPr>
              <w:t>This information can be found in the “</w:t>
            </w:r>
            <w:r>
              <w:rPr>
                <w:rFonts w:hint="eastAsia" w:ascii="Noto Sans" w:hAnsi="Noto Sans" w:eastAsia="Noto Sans" w:cs="Noto Sans"/>
                <w:color w:val="434343"/>
                <w:sz w:val="18"/>
                <w:szCs w:val="18"/>
              </w:rPr>
              <w:t>Neutrophil isolation</w:t>
            </w:r>
            <w:r>
              <w:rPr>
                <w:rFonts w:ascii="Noto Sans" w:hAnsi="Noto Sans" w:eastAsia="Noto Sans" w:cs="Noto Sans"/>
                <w:color w:val="434343"/>
                <w:sz w:val="18"/>
                <w:szCs w:val="18"/>
              </w:rPr>
              <w:t xml:space="preserve">” section of </w:t>
            </w:r>
            <w:r>
              <w:rPr>
                <w:rFonts w:hint="eastAsia" w:ascii="Noto Sans" w:hAnsi="Noto Sans" w:eastAsia="Noto Sans" w:cs="Noto Sans"/>
                <w:color w:val="434343"/>
                <w:sz w:val="18"/>
                <w:szCs w:val="18"/>
              </w:rPr>
              <w:t xml:space="preserve"> Materials and Methods</w:t>
            </w:r>
            <w:r>
              <w:rPr>
                <w:rFonts w:ascii="Noto Sans" w:hAnsi="Noto Sans" w:eastAsia="Noto Sans" w:cs="Noto Sans"/>
                <w:color w:val="434343"/>
                <w:sz w:val="18"/>
                <w:szCs w:val="18"/>
              </w:rPr>
              <w:t xml:space="preserve">. In this study we </w:t>
            </w:r>
            <w:r>
              <w:rPr>
                <w:rFonts w:hint="eastAsia" w:ascii="Noto Sans" w:hAnsi="Noto Sans" w:eastAsia="Noto Sans" w:cs="Noto Sans"/>
                <w:color w:val="434343"/>
                <w:sz w:val="18"/>
                <w:szCs w:val="18"/>
              </w:rPr>
              <w:t>isolate</w:t>
            </w:r>
            <w:r>
              <w:rPr>
                <w:rFonts w:hint="eastAsia" w:ascii="Noto Sans" w:hAnsi="Noto Sans" w:eastAsia="宋体" w:cs="Noto Sans"/>
                <w:color w:val="434343"/>
                <w:sz w:val="18"/>
                <w:szCs w:val="18"/>
                <w:lang w:eastAsia="zh-CN"/>
              </w:rPr>
              <w:t>d</w:t>
            </w:r>
            <w:r>
              <w:rPr>
                <w:rFonts w:hint="eastAsia" w:ascii="Noto Sans" w:hAnsi="Noto Sans" w:eastAsia="Noto Sans" w:cs="Noto Sans"/>
                <w:color w:val="434343"/>
                <w:sz w:val="18"/>
                <w:szCs w:val="18"/>
              </w:rPr>
              <w:t xml:space="preserve"> and purif</w:t>
            </w:r>
            <w:r>
              <w:rPr>
                <w:rFonts w:hint="eastAsia" w:ascii="Noto Sans" w:hAnsi="Noto Sans" w:eastAsia="宋体" w:cs="Noto Sans"/>
                <w:color w:val="434343"/>
                <w:sz w:val="18"/>
                <w:szCs w:val="18"/>
                <w:lang w:eastAsia="zh-CN"/>
              </w:rPr>
              <w:t>ied</w:t>
            </w:r>
            <w:r>
              <w:rPr>
                <w:rFonts w:hint="eastAsia" w:ascii="Noto Sans" w:hAnsi="Noto Sans" w:eastAsia="Noto Sans" w:cs="Noto Sans"/>
                <w:color w:val="434343"/>
                <w:sz w:val="18"/>
                <w:szCs w:val="18"/>
              </w:rPr>
              <w:t xml:space="preserve"> mouse renal tissue-derived primary neutrophils, </w:t>
            </w:r>
            <w:r>
              <w:rPr>
                <w:rFonts w:hint="eastAsia" w:ascii="Noto Sans" w:hAnsi="Noto Sans" w:eastAsia="宋体" w:cs="Noto Sans"/>
                <w:color w:val="434343"/>
                <w:sz w:val="18"/>
                <w:szCs w:val="18"/>
                <w:lang w:eastAsia="zh-CN"/>
              </w:rPr>
              <w:t>b</w:t>
            </w:r>
            <w:r>
              <w:rPr>
                <w:rFonts w:hint="eastAsia" w:ascii="Noto Sans" w:hAnsi="Noto Sans" w:eastAsia="Noto Sans" w:cs="Noto Sans"/>
                <w:color w:val="434343"/>
                <w:sz w:val="18"/>
                <w:szCs w:val="18"/>
              </w:rPr>
              <w:t>ackground information of the mice can be found in the "Mouse model of AAN" section of Materials and Methods.</w:t>
            </w:r>
            <w:r>
              <w:rPr>
                <w:rFonts w:hint="eastAsia" w:ascii="Noto Sans" w:hAnsi="Noto Sans" w:eastAsia="宋体" w:cs="Noto Sans"/>
                <w:color w:val="434343"/>
                <w:sz w:val="18"/>
                <w:szCs w:val="18"/>
                <w:lang w:eastAsia="zh-CN"/>
              </w:rPr>
              <w:t xml:space="preserve"> A</w:t>
            </w:r>
            <w:r>
              <w:rPr>
                <w:rFonts w:hint="eastAsia" w:ascii="Noto Sans" w:hAnsi="Noto Sans" w:eastAsia="Noto Sans" w:cs="Noto Sans"/>
                <w:color w:val="434343"/>
                <w:sz w:val="18"/>
                <w:szCs w:val="18"/>
              </w:rPr>
              <w:t xml:space="preserve"> single-cell suspension was prepared using a gentleMACS™ Dissociator and the Multi Tissue Dissociation Kit 2 (Miltenyi Biotec, Cologne, Germany). We separated and purified the neutrophils using Anti-Ly6G MicroBeads (Miltenyi Biotec) magnetic separation with an autoMACS Pro Separator (Miltenyi Biotec), according to the manufacturer’s instructions. Neutrophils were extracted and cultured for an additional 1 h.</w:t>
            </w:r>
            <w:r>
              <w:rPr>
                <w:rFonts w:ascii="Noto Sans" w:hAnsi="Noto Sans" w:eastAsia="Noto Sans" w:cs="Noto Sans"/>
                <w:color w:val="434343"/>
                <w:sz w:val="18"/>
                <w:szCs w:val="18"/>
              </w:rPr>
              <w:t>.</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This information can be found in the “Mouse model of AAN” </w:t>
            </w:r>
            <w:r>
              <w:rPr>
                <w:rFonts w:hint="eastAsia" w:ascii="Noto Sans" w:hAnsi="Noto Sans" w:eastAsia="宋体" w:cs="Noto Sans"/>
                <w:bCs/>
                <w:color w:val="434343"/>
                <w:sz w:val="18"/>
                <w:szCs w:val="18"/>
                <w:lang w:eastAsia="zh-CN"/>
              </w:rPr>
              <w:t xml:space="preserve">and </w:t>
            </w:r>
            <w:r>
              <w:rPr>
                <w:rFonts w:hint="default" w:ascii="Noto Sans" w:hAnsi="Noto Sans" w:eastAsia="宋体" w:cs="Noto Sans"/>
                <w:bCs/>
                <w:color w:val="434343"/>
                <w:sz w:val="18"/>
                <w:szCs w:val="18"/>
                <w:lang w:eastAsia="zh-CN"/>
              </w:rPr>
              <w:t>“</w:t>
            </w:r>
            <w:r>
              <w:rPr>
                <w:rFonts w:hint="eastAsia" w:ascii="Noto Sans" w:hAnsi="Noto Sans" w:eastAsia="宋体" w:cs="Noto Sans"/>
                <w:bCs/>
                <w:color w:val="434343"/>
                <w:sz w:val="18"/>
                <w:szCs w:val="18"/>
                <w:lang w:eastAsia="zh-CN"/>
              </w:rPr>
              <w:t>Generation of PSTPIP2 conditional knock-in mice and treatment</w:t>
            </w:r>
            <w:r>
              <w:rPr>
                <w:rFonts w:hint="default" w:ascii="Noto Sans" w:hAnsi="Noto Sans" w:eastAsia="宋体" w:cs="Noto Sans"/>
                <w:bCs/>
                <w:color w:val="434343"/>
                <w:sz w:val="18"/>
                <w:szCs w:val="18"/>
                <w:lang w:eastAsia="zh-CN"/>
              </w:rPr>
              <w:t>”</w:t>
            </w:r>
            <w:r>
              <w:rPr>
                <w:rFonts w:hint="eastAsia" w:ascii="Noto Sans" w:hAnsi="Noto Sans" w:eastAsia="Noto Sans" w:cs="Noto Sans"/>
                <w:bCs/>
                <w:color w:val="434343"/>
                <w:sz w:val="18"/>
                <w:szCs w:val="18"/>
              </w:rPr>
              <w:t xml:space="preserve">section of Materials and Methods. </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This information can be found in the “Clinical features of the patients with kidney diseases” section of </w:t>
            </w:r>
            <w:r>
              <w:rPr>
                <w:rFonts w:hint="eastAsia" w:ascii="Noto Sans" w:hAnsi="Noto Sans" w:eastAsia="宋体" w:cs="Noto Sans"/>
                <w:bCs/>
                <w:color w:val="434343"/>
                <w:sz w:val="18"/>
                <w:szCs w:val="18"/>
                <w:lang w:val="en-US" w:eastAsia="zh-CN"/>
              </w:rPr>
              <w:t>manuscript</w:t>
            </w:r>
            <w:r>
              <w:rPr>
                <w:rFonts w:hint="eastAsia" w:ascii="Noto Sans" w:hAnsi="Noto Sans" w:eastAsia="Noto Sans" w:cs="Noto Sans"/>
                <w:bCs/>
                <w:color w:val="434343"/>
                <w:sz w:val="18"/>
                <w:szCs w:val="18"/>
              </w:rPr>
              <w:t xml:space="preserve"> and in more details in the Table</w:t>
            </w:r>
            <w:r>
              <w:rPr>
                <w:rFonts w:hint="eastAsia" w:ascii="Noto Sans" w:hAnsi="Noto Sans" w:eastAsia="宋体" w:cs="Noto Sans"/>
                <w:bCs/>
                <w:color w:val="434343"/>
                <w:sz w:val="18"/>
                <w:szCs w:val="18"/>
                <w:lang w:val="en-US" w:eastAsia="zh-CN"/>
              </w:rPr>
              <w:t xml:space="preserve"> </w:t>
            </w:r>
            <w:r>
              <w:rPr>
                <w:rFonts w:hint="eastAsia" w:ascii="Noto Sans" w:hAnsi="Noto Sans" w:eastAsia="Noto Sans" w:cs="Noto Sans"/>
                <w:bCs/>
                <w:color w:val="434343"/>
                <w:sz w:val="18"/>
                <w:szCs w:val="18"/>
              </w:rPr>
              <w:t>2.</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No power calculations were made as the study was exploratory in nature with very limited previous data to support the calculations. Sample sizes were determined in part by feasibility.</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This information can be found in the “</w:t>
            </w:r>
            <w:r>
              <w:rPr>
                <w:rFonts w:hint="eastAsia" w:ascii="Noto Sans" w:hAnsi="Noto Sans" w:eastAsia="Noto Sans" w:cs="Noto Sans"/>
                <w:color w:val="434343"/>
                <w:sz w:val="18"/>
                <w:szCs w:val="18"/>
              </w:rPr>
              <w:t xml:space="preserve">Mouse model of AAN </w:t>
            </w:r>
            <w:r>
              <w:rPr>
                <w:rFonts w:ascii="Noto Sans" w:hAnsi="Noto Sans" w:eastAsia="Noto Sans" w:cs="Noto Sans"/>
                <w:color w:val="434343"/>
                <w:sz w:val="18"/>
                <w:szCs w:val="18"/>
              </w:rPr>
              <w:t>” section of Materials and</w:t>
            </w:r>
            <w:r>
              <w:rPr>
                <w:rFonts w:hint="eastAsia" w:ascii="Noto Sans" w:hAnsi="Noto Sans" w:eastAsia="宋体" w:cs="Noto Sans"/>
                <w:color w:val="434343"/>
                <w:sz w:val="18"/>
                <w:szCs w:val="18"/>
                <w:lang w:val="en-US" w:eastAsia="zh-CN"/>
              </w:rPr>
              <w:t xml:space="preserve"> </w:t>
            </w:r>
            <w:r>
              <w:rPr>
                <w:rFonts w:ascii="Noto Sans" w:hAnsi="Noto Sans" w:eastAsia="Noto Sans" w:cs="Noto Sans"/>
                <w:color w:val="434343"/>
                <w:sz w:val="18"/>
                <w:szCs w:val="18"/>
              </w:rPr>
              <w:t>Methods.</w:t>
            </w:r>
            <w:r>
              <w:rPr>
                <w:rFonts w:hint="eastAsia" w:ascii="Noto Sans" w:hAnsi="Noto Sans" w:eastAsia="Noto Sans" w:cs="Noto Sans"/>
                <w:color w:val="434343"/>
                <w:sz w:val="18"/>
                <w:szCs w:val="18"/>
              </w:rPr>
              <w:t xml:space="preserve"> All mice were</w:t>
            </w:r>
            <w:r>
              <w:rPr>
                <w:rFonts w:hint="eastAsia" w:ascii="Noto Sans" w:hAnsi="Noto Sans" w:eastAsia="宋体" w:cs="Noto Sans"/>
                <w:color w:val="434343"/>
                <w:sz w:val="18"/>
                <w:szCs w:val="18"/>
                <w:lang w:val="en-US" w:eastAsia="zh-CN"/>
              </w:rPr>
              <w:t xml:space="preserve"> </w:t>
            </w:r>
            <w:r>
              <w:rPr>
                <w:rFonts w:hint="eastAsia" w:ascii="Noto Sans" w:hAnsi="Noto Sans" w:eastAsia="Noto Sans" w:cs="Noto Sans"/>
                <w:color w:val="434343"/>
                <w:sz w:val="18"/>
                <w:szCs w:val="18"/>
              </w:rPr>
              <w:t>randomly assigned to a treatment group and housed in a comfortable environment with a 12 h/12 h light/dark cycle for 1 week before experimentation.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This information can be found  in the figure legends describing each individual experiment.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vAlign w:val="top"/>
          </w:tcPr>
          <w:p>
            <w:pPr>
              <w:spacing w:line="225" w:lineRule="auto"/>
              <w:rPr>
                <w:rFonts w:ascii="Noto Sans" w:hAnsi="Noto Sans" w:eastAsia="Noto Sans" w:cs="Noto Sans"/>
                <w:color w:val="000000" w:themeColor="text1"/>
                <w:sz w:val="18"/>
                <w:szCs w:val="18"/>
                <w:highlight w:val="yellow"/>
                <w:lang w:val="en-US" w:eastAsia="en-GB" w:bidi="ar-SA"/>
                <w14:textFill>
                  <w14:solidFill>
                    <w14:schemeClr w14:val="tx1"/>
                  </w14:solidFill>
                </w14:textFill>
              </w:rPr>
            </w:pPr>
            <w:r>
              <w:rPr>
                <w:rFonts w:hint="eastAsia" w:ascii="Noto Sans" w:hAnsi="Noto Sans" w:eastAsia="Noto Sans" w:cs="Noto Sans"/>
                <w:color w:val="434343"/>
                <w:sz w:val="18"/>
                <w:szCs w:val="18"/>
              </w:rPr>
              <w:t>This information can be found  in the figure legends describing each individual experiment.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
                <w:color w:val="434343"/>
                <w:sz w:val="18"/>
                <w:szCs w:val="18"/>
                <w:lang w:val="en-US" w:eastAsia="zh-CN"/>
              </w:rPr>
            </w:pPr>
            <w:r>
              <w:rPr>
                <w:rFonts w:hint="eastAsia" w:ascii="Noto Sans" w:hAnsi="Noto Sans" w:eastAsia="Noto Sans" w:cs="Noto Sans"/>
                <w:bCs/>
                <w:color w:val="434343"/>
                <w:sz w:val="18"/>
                <w:szCs w:val="18"/>
              </w:rPr>
              <w:t xml:space="preserve">This information can be found in the “Clinical features of the patients with kidney diseases” section </w:t>
            </w:r>
            <w:r>
              <w:rPr>
                <w:rFonts w:hint="eastAsia" w:ascii="Noto Sans" w:hAnsi="Noto Sans" w:eastAsia="宋体" w:cs="Noto Sans"/>
                <w:bC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 xml:space="preserve">This information can be found in the “Study approval” </w:t>
            </w:r>
            <w:r>
              <w:rPr>
                <w:rFonts w:hint="eastAsia" w:ascii="Noto Sans" w:hAnsi="Noto Sans" w:eastAsia="宋体" w:cs="Noto Sans"/>
                <w:bCs/>
                <w:color w:val="434343"/>
                <w:sz w:val="18"/>
                <w:szCs w:val="18"/>
                <w:lang w:val="en-US" w:eastAsia="zh-CN"/>
              </w:rPr>
              <w:t xml:space="preserve">and </w:t>
            </w:r>
            <w:r>
              <w:rPr>
                <w:rFonts w:ascii="Noto Sans" w:hAnsi="Noto Sans" w:eastAsia="Noto Sans" w:cs="Noto Sans"/>
                <w:color w:val="434343"/>
                <w:sz w:val="18"/>
                <w:szCs w:val="18"/>
              </w:rPr>
              <w:t>“</w:t>
            </w:r>
            <w:r>
              <w:rPr>
                <w:rFonts w:hint="eastAsia" w:ascii="Noto Sans" w:hAnsi="Noto Sans" w:eastAsia="Noto Sans" w:cs="Noto Sans"/>
                <w:color w:val="434343"/>
                <w:sz w:val="18"/>
                <w:szCs w:val="18"/>
              </w:rPr>
              <w:t xml:space="preserve">Mouse model of AAN </w:t>
            </w:r>
            <w:r>
              <w:rPr>
                <w:rFonts w:ascii="Noto Sans" w:hAnsi="Noto Sans" w:eastAsia="Noto Sans" w:cs="Noto Sans"/>
                <w:color w:val="434343"/>
                <w:sz w:val="18"/>
                <w:szCs w:val="18"/>
              </w:rPr>
              <w:t>”</w:t>
            </w:r>
            <w:r>
              <w:rPr>
                <w:rFonts w:hint="eastAsia" w:ascii="Noto Sans" w:hAnsi="Noto Sans" w:eastAsia="宋体" w:cs="Noto Sans"/>
                <w:color w:val="434343"/>
                <w:sz w:val="18"/>
                <w:szCs w:val="18"/>
                <w:lang w:val="en-US" w:eastAsia="zh-CN"/>
              </w:rPr>
              <w:t xml:space="preserve"> </w:t>
            </w:r>
            <w:r>
              <w:rPr>
                <w:rFonts w:hint="eastAsia" w:ascii="Noto Sans" w:hAnsi="Noto Sans" w:eastAsia="Noto Sans" w:cs="Noto Sans"/>
                <w:bCs/>
                <w:color w:val="434343"/>
                <w:sz w:val="18"/>
                <w:szCs w:val="18"/>
              </w:rPr>
              <w:t xml:space="preserve">section </w:t>
            </w:r>
            <w:r>
              <w:rPr>
                <w:rFonts w:hint="eastAsia" w:ascii="Noto Sans" w:hAnsi="Noto Sans" w:eastAsia="宋体" w:cs="Noto Sans"/>
                <w:bC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This information can be found in the “</w:t>
            </w:r>
            <w:r>
              <w:rPr>
                <w:rFonts w:hint="eastAsia" w:ascii="Noto Sans" w:hAnsi="Noto Sans" w:eastAsia="Noto Sans" w:cs="Noto Sans"/>
                <w:color w:val="434343"/>
                <w:sz w:val="18"/>
                <w:szCs w:val="18"/>
              </w:rPr>
              <w:t>Ethical Statement</w:t>
            </w:r>
            <w:r>
              <w:rPr>
                <w:rFonts w:ascii="Noto Sans" w:hAnsi="Noto Sans" w:eastAsia="Noto Sans" w:cs="Noto Sans"/>
                <w:color w:val="434343"/>
                <w:sz w:val="18"/>
                <w:szCs w:val="18"/>
              </w:rPr>
              <w:t>” section</w:t>
            </w:r>
            <w:r>
              <w:rPr>
                <w:rFonts w:hint="eastAsia" w:ascii="Noto Sans" w:hAnsi="Noto Sans" w:eastAsia="宋体" w:cs="Noto Sans"/>
                <w:color w:val="434343"/>
                <w:sz w:val="18"/>
                <w:szCs w:val="18"/>
                <w:lang w:val="en-US" w:eastAsia="zh-CN"/>
              </w:rPr>
              <w: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Noto Sans" w:cs="Noto Sans"/>
                <w:bCs/>
                <w:color w:val="434343"/>
                <w:sz w:val="18"/>
                <w:szCs w:val="18"/>
              </w:rPr>
              <w:t>All patients with various kidney diseases were included in this study</w:t>
            </w:r>
            <w:r>
              <w:rPr>
                <w:rFonts w:hint="eastAsia" w:ascii="Noto Sans" w:hAnsi="Noto Sans" w:eastAsia="宋体" w:cs="Noto Sans"/>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eastAsia" w:ascii="Noto Sans" w:hAnsi="Noto Sans" w:eastAsia="宋体" w:cs="Noto Sans"/>
                <w:bCs/>
                <w:color w:val="434343"/>
                <w:sz w:val="18"/>
                <w:szCs w:val="18"/>
                <w:lang w:eastAsia="zh-CN"/>
              </w:rPr>
            </w:pPr>
            <w:r>
              <w:rPr>
                <w:rFonts w:ascii="Noto Sans" w:hAnsi="Noto Sans" w:eastAsia="Noto Sans" w:cs="Noto Sans"/>
                <w:color w:val="434343"/>
                <w:sz w:val="18"/>
                <w:szCs w:val="18"/>
              </w:rPr>
              <w:t>This information can be found in the “Statistical analysis” section of Materials and Methods</w:t>
            </w:r>
            <w:r>
              <w:rPr>
                <w:rFonts w:hint="eastAsia" w:ascii="Noto Sans" w:hAnsi="Noto Sans" w:eastAsia="宋体" w:cs="Noto Sans"/>
                <w:color w:val="434343"/>
                <w:sz w:val="18"/>
                <w:szCs w:val="18"/>
                <w:lang w:val="en-US" w:eastAsia="zh-CN"/>
              </w:rPr>
              <w:t xml:space="preserve"> </w:t>
            </w:r>
            <w:r>
              <w:rPr>
                <w:rFonts w:ascii="Noto Sans" w:hAnsi="Noto Sans" w:eastAsia="Noto Sans" w:cs="Noto Sans"/>
                <w:color w:val="434343"/>
                <w:sz w:val="18"/>
                <w:szCs w:val="18"/>
              </w:rPr>
              <w:t>as well as in the figure legends describing each individual experiment.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color w:val="434343"/>
                <w:sz w:val="18"/>
                <w:szCs w:val="18"/>
              </w:rPr>
              <w:t xml:space="preserve">The data availability statement is included in the manuscript on page </w:t>
            </w:r>
            <w:r>
              <w:rPr>
                <w:rFonts w:hint="eastAsia" w:ascii="Noto Sans" w:hAnsi="Noto Sans" w:eastAsia="宋体" w:cs="Noto Sans"/>
                <w:color w:val="434343"/>
                <w:sz w:val="18"/>
                <w:szCs w:val="18"/>
                <w:lang w:val="en-US" w:eastAsia="zh-CN"/>
              </w:rPr>
              <w:t>40</w:t>
            </w:r>
            <w:bookmarkStart w:id="4" w:name="_GoBack"/>
            <w:bookmarkEnd w:id="4"/>
            <w:r>
              <w:rPr>
                <w:rFonts w:ascii="Noto Sans" w:hAnsi="Noto Sans" w:eastAsia="Noto Sans" w:cs="Noto Sans"/>
                <w:color w:val="434343"/>
                <w:sz w:val="18"/>
                <w:szCs w:val="18"/>
              </w:rPr>
              <w:t xml:space="preserve">, after the </w:t>
            </w:r>
            <w:r>
              <w:rPr>
                <w:rFonts w:hint="eastAsia" w:ascii="Noto Sans" w:hAnsi="Noto Sans" w:eastAsia="Noto Sans" w:cs="Noto Sans"/>
                <w:color w:val="434343"/>
                <w:sz w:val="18"/>
                <w:szCs w:val="18"/>
              </w:rPr>
              <w:t>Materials and Methods</w:t>
            </w:r>
            <w:r>
              <w:rPr>
                <w:rFonts w:ascii="Noto Sans" w:hAnsi="Noto Sans" w:eastAsia="Noto Sans" w:cs="Noto Sans"/>
                <w:color w:val="434343"/>
                <w:sz w:val="18"/>
                <w:szCs w:val="18"/>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N/A</w:t>
            </w: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Relevant guidelines have been followed (ARRIVE).</w:t>
            </w:r>
          </w:p>
          <w:p>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3NjgwNWU1ZGZmMjljYjg2MDY5MTNlOWQzYTBjYTcifQ=="/>
  </w:docVars>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18BA4890"/>
    <w:rsid w:val="2EA439E9"/>
    <w:rsid w:val="365F17E4"/>
    <w:rsid w:val="716030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8</Pages>
  <Words>1635</Words>
  <Characters>9853</Characters>
  <Lines>67</Lines>
  <Paragraphs>18</Paragraphs>
  <TotalTime>8</TotalTime>
  <ScaleCrop>false</ScaleCrop>
  <LinksUpToDate>false</LinksUpToDate>
  <CharactersWithSpaces>11379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duchanglin</dc:creator>
  <cp:lastModifiedBy>了尘</cp:lastModifiedBy>
  <dcterms:modified xsi:type="dcterms:W3CDTF">2023-12-23T17:08:10Z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81B4BB60D88243DCB0446AE0FC09AB4A_13</vt:lpwstr>
  </property>
</Properties>
</file>