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8" w:type="dxa"/>
        <w:tblLayout w:type="fixed"/>
        <w:tblLook w:val="04A0" w:firstRow="1" w:lastRow="0" w:firstColumn="1" w:lastColumn="0" w:noHBand="0" w:noVBand="1"/>
      </w:tblPr>
      <w:tblGrid>
        <w:gridCol w:w="1587"/>
        <w:gridCol w:w="1295"/>
        <w:gridCol w:w="1088"/>
        <w:gridCol w:w="1984"/>
        <w:gridCol w:w="1702"/>
        <w:gridCol w:w="1416"/>
        <w:gridCol w:w="6096"/>
      </w:tblGrid>
      <w:tr w:rsidR="00AF1C2B" w:rsidRPr="00B85FED" w14:paraId="24CFD507" w14:textId="77777777">
        <w:tc>
          <w:tcPr>
            <w:tcW w:w="15167" w:type="dxa"/>
            <w:gridSpan w:val="7"/>
            <w:tcBorders>
              <w:top w:val="nil"/>
              <w:left w:val="nil"/>
              <w:right w:val="nil"/>
            </w:tcBorders>
          </w:tcPr>
          <w:p w14:paraId="0AD83E04" w14:textId="3BDD92C4" w:rsidR="00AF1C2B" w:rsidRDefault="00E10BED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Supplementary File 2a</w:t>
            </w: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Genetic associations in the GWA analysis of the ancestral and evolved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TuMV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isolates including all loci. Table shows the most strongly associated SNP in each peak, and annotated genes within the region spanned by significantly associated SNPs.</w:t>
            </w:r>
          </w:p>
        </w:tc>
      </w:tr>
      <w:tr w:rsidR="00AF1C2B" w14:paraId="3F9E5E72" w14:textId="77777777">
        <w:tc>
          <w:tcPr>
            <w:tcW w:w="1586" w:type="dxa"/>
            <w:tcBorders>
              <w:left w:val="nil"/>
              <w:right w:val="nil"/>
            </w:tcBorders>
          </w:tcPr>
          <w:p w14:paraId="542C4283" w14:textId="77777777" w:rsidR="00AF1C2B" w:rsidRDefault="00E10BED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Chromosome</w:t>
            </w:r>
          </w:p>
        </w:tc>
        <w:tc>
          <w:tcPr>
            <w:tcW w:w="1295" w:type="dxa"/>
            <w:tcBorders>
              <w:left w:val="nil"/>
              <w:right w:val="nil"/>
            </w:tcBorders>
          </w:tcPr>
          <w:p w14:paraId="410074AE" w14:textId="77777777" w:rsidR="00AF1C2B" w:rsidRDefault="00E10BED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Position</w:t>
            </w:r>
          </w:p>
        </w:tc>
        <w:tc>
          <w:tcPr>
            <w:tcW w:w="1088" w:type="dxa"/>
            <w:tcBorders>
              <w:left w:val="nil"/>
              <w:right w:val="nil"/>
            </w:tcBorders>
          </w:tcPr>
          <w:p w14:paraId="49890FED" w14:textId="77777777" w:rsidR="00AF1C2B" w:rsidRDefault="00E10BED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Symbol" w:eastAsia="Symbol" w:hAnsi="Symbol" w:cs="Symbol"/>
                <w:b/>
                <w:bCs/>
                <w:lang w:val="en-US"/>
              </w:rPr>
              <w:t></w:t>
            </w:r>
            <w:r>
              <w:rPr>
                <w:rFonts w:ascii="Symbol" w:eastAsia="Symbol" w:hAnsi="Symbol" w:cs="Symbol"/>
                <w:b/>
                <w:bCs/>
                <w:lang w:val="en-US"/>
              </w:rPr>
              <w:t></w:t>
            </w: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log</w:t>
            </w:r>
            <w:r>
              <w:rPr>
                <w:rFonts w:ascii="Times New Roman" w:eastAsia="Calibri" w:hAnsi="Times New Roman" w:cs="Times New Roman"/>
                <w:b/>
                <w:bCs/>
                <w:vertAlign w:val="subscript"/>
                <w:lang w:val="en-US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en-US"/>
              </w:rPr>
              <w:t>P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2A34D356" w14:textId="77777777" w:rsidR="00AF1C2B" w:rsidRDefault="00E10BED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Allele frequency</w:t>
            </w:r>
          </w:p>
        </w:tc>
        <w:tc>
          <w:tcPr>
            <w:tcW w:w="1702" w:type="dxa"/>
            <w:tcBorders>
              <w:left w:val="nil"/>
              <w:right w:val="nil"/>
            </w:tcBorders>
          </w:tcPr>
          <w:p w14:paraId="479C54B9" w14:textId="77777777" w:rsidR="00AF1C2B" w:rsidRDefault="00E10BED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Effect</w:t>
            </w:r>
          </w:p>
        </w:tc>
        <w:tc>
          <w:tcPr>
            <w:tcW w:w="1416" w:type="dxa"/>
            <w:tcBorders>
              <w:left w:val="nil"/>
              <w:right w:val="nil"/>
            </w:tcBorders>
          </w:tcPr>
          <w:p w14:paraId="536B05D0" w14:textId="77777777" w:rsidR="00AF1C2B" w:rsidRDefault="00E10BED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Genes</w:t>
            </w:r>
          </w:p>
        </w:tc>
        <w:tc>
          <w:tcPr>
            <w:tcW w:w="6096" w:type="dxa"/>
            <w:tcBorders>
              <w:left w:val="nil"/>
              <w:right w:val="nil"/>
            </w:tcBorders>
          </w:tcPr>
          <w:p w14:paraId="4BCAD6C7" w14:textId="77777777" w:rsidR="00AF1C2B" w:rsidRDefault="00E10BED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Function</w:t>
            </w:r>
          </w:p>
        </w:tc>
      </w:tr>
      <w:tr w:rsidR="00AF1C2B" w:rsidRPr="00B85FED" w14:paraId="456E2B59" w14:textId="77777777">
        <w:tc>
          <w:tcPr>
            <w:tcW w:w="1586" w:type="dxa"/>
            <w:tcBorders>
              <w:left w:val="nil"/>
              <w:bottom w:val="nil"/>
              <w:right w:val="nil"/>
            </w:tcBorders>
            <w:vAlign w:val="bottom"/>
          </w:tcPr>
          <w:p w14:paraId="399A0033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295" w:type="dxa"/>
            <w:tcBorders>
              <w:left w:val="nil"/>
              <w:bottom w:val="nil"/>
              <w:right w:val="nil"/>
            </w:tcBorders>
            <w:vAlign w:val="bottom"/>
          </w:tcPr>
          <w:p w14:paraId="640674A0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6,167,132</w:t>
            </w:r>
          </w:p>
        </w:tc>
        <w:tc>
          <w:tcPr>
            <w:tcW w:w="1088" w:type="dxa"/>
            <w:tcBorders>
              <w:left w:val="nil"/>
              <w:bottom w:val="nil"/>
              <w:right w:val="nil"/>
            </w:tcBorders>
            <w:vAlign w:val="bottom"/>
          </w:tcPr>
          <w:p w14:paraId="66B4FEA1" w14:textId="77777777" w:rsidR="00AF1C2B" w:rsidRDefault="00E10BE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10.603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vAlign w:val="bottom"/>
          </w:tcPr>
          <w:p w14:paraId="489964E4" w14:textId="77777777" w:rsidR="00AF1C2B" w:rsidRDefault="00E10BE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0.036</w:t>
            </w:r>
          </w:p>
        </w:tc>
        <w:tc>
          <w:tcPr>
            <w:tcW w:w="1702" w:type="dxa"/>
            <w:tcBorders>
              <w:left w:val="nil"/>
              <w:bottom w:val="nil"/>
              <w:right w:val="nil"/>
            </w:tcBorders>
            <w:vAlign w:val="bottom"/>
          </w:tcPr>
          <w:p w14:paraId="3FC06914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isolate-specific</w:t>
            </w:r>
          </w:p>
        </w:tc>
        <w:tc>
          <w:tcPr>
            <w:tcW w:w="1416" w:type="dxa"/>
            <w:tcBorders>
              <w:left w:val="nil"/>
              <w:bottom w:val="nil"/>
              <w:right w:val="nil"/>
            </w:tcBorders>
            <w:vAlign w:val="bottom"/>
          </w:tcPr>
          <w:p w14:paraId="538BED78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MAIN</w:t>
            </w:r>
          </w:p>
        </w:tc>
        <w:tc>
          <w:tcPr>
            <w:tcW w:w="6096" w:type="dxa"/>
            <w:tcBorders>
              <w:left w:val="nil"/>
              <w:bottom w:val="nil"/>
              <w:right w:val="nil"/>
            </w:tcBorders>
            <w:vAlign w:val="bottom"/>
          </w:tcPr>
          <w:p w14:paraId="3A220031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Meristem development and transposon silencing</w:t>
            </w:r>
          </w:p>
        </w:tc>
      </w:tr>
      <w:tr w:rsidR="00AF1C2B" w14:paraId="31C2F58C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1BD1D" w14:textId="77777777" w:rsidR="00AF1C2B" w:rsidRDefault="00AF1C2B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0DBD3" w14:textId="77777777" w:rsidR="00AF1C2B" w:rsidRDefault="00AF1C2B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E02C5" w14:textId="77777777" w:rsidR="00AF1C2B" w:rsidRDefault="00AF1C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FD2697" w14:textId="77777777" w:rsidR="00AF1C2B" w:rsidRDefault="00AF1C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E65B1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0144A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AT1G17940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71E53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Endosomal targeting</w:t>
            </w:r>
          </w:p>
        </w:tc>
      </w:tr>
      <w:tr w:rsidR="00AF1C2B" w14:paraId="3A6E8847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2D9D3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B3597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12,086,029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3B5B3" w14:textId="77777777" w:rsidR="00AF1C2B" w:rsidRDefault="00E10BE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8.511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E77AF" w14:textId="77777777" w:rsidR="00AF1C2B" w:rsidRDefault="00E10BE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0.031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23E61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isolate-specific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FE5DA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AT1G33320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1DB7F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Methionine biosynthesis</w:t>
            </w:r>
          </w:p>
        </w:tc>
      </w:tr>
      <w:tr w:rsidR="00AF1C2B" w:rsidRPr="00B85FED" w14:paraId="18B746A0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6EF06C" w14:textId="77777777" w:rsidR="00AF1C2B" w:rsidRDefault="00AF1C2B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A36E6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90352" w14:textId="77777777" w:rsidR="00AF1C2B" w:rsidRDefault="00AF1C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164F6" w14:textId="77777777" w:rsidR="00AF1C2B" w:rsidRDefault="00AF1C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B1B17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B2683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AT1G33330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12B4E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RNA metabolism and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translation release</w:t>
            </w:r>
          </w:p>
        </w:tc>
      </w:tr>
      <w:tr w:rsidR="00AF1C2B" w:rsidRPr="00B85FED" w14:paraId="2E3B6846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D2232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5A93C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A512C" w14:textId="77777777" w:rsidR="00AF1C2B" w:rsidRDefault="00AF1C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8A774" w14:textId="77777777" w:rsidR="00AF1C2B" w:rsidRDefault="00AF1C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CD5E5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69A58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FAS4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BE7E0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Helicase activity, regulation of RNA metabolism</w:t>
            </w:r>
          </w:p>
        </w:tc>
      </w:tr>
      <w:tr w:rsidR="00AF1C2B" w:rsidRPr="00B85FED" w14:paraId="23B37A09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C0E7C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6488B6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21,740,662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D638A" w14:textId="77777777" w:rsidR="00AF1C2B" w:rsidRDefault="00E10BE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8.119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09288" w14:textId="77777777" w:rsidR="00AF1C2B" w:rsidRDefault="00E10BE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0.031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2265F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common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708D7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RXW8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B038A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GDSL-like lipase/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acylhydrolase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; cell differentiation</w:t>
            </w:r>
          </w:p>
        </w:tc>
      </w:tr>
      <w:tr w:rsidR="00AF1C2B" w14:paraId="5F14B695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D67E3" w14:textId="77777777" w:rsidR="00AF1C2B" w:rsidRDefault="00AF1C2B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74749" w14:textId="77777777" w:rsidR="00AF1C2B" w:rsidRDefault="00AF1C2B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66A80" w14:textId="77777777" w:rsidR="00AF1C2B" w:rsidRDefault="00AF1C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08611" w14:textId="77777777" w:rsidR="00AF1C2B" w:rsidRDefault="00AF1C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424A7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ED27E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RPP7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DEB9E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LRR disease-resistance protein</w:t>
            </w:r>
          </w:p>
        </w:tc>
      </w:tr>
      <w:tr w:rsidR="00AF1C2B" w14:paraId="47297192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D5616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C494E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22,508,950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521D4" w14:textId="77777777" w:rsidR="00AF1C2B" w:rsidRDefault="00E10BE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9.534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FC2D1" w14:textId="77777777" w:rsidR="00AF1C2B" w:rsidRDefault="00E10BE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0.031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1AF0E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isolate-specific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591D6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AT1G61100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8B234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TIR disease-resistance protein</w:t>
            </w:r>
          </w:p>
        </w:tc>
      </w:tr>
      <w:tr w:rsidR="00AF1C2B" w14:paraId="4E337805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6D179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EC3DB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2,348,583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C8B8A" w14:textId="77777777" w:rsidR="00AF1C2B" w:rsidRDefault="00E10BE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8.146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204F3" w14:textId="77777777" w:rsidR="00AF1C2B" w:rsidRDefault="00E10BE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0.033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4B3A0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common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BB055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GNAT6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870FE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Acyl-CoA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N-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acetyltransferase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protein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modification</w:t>
            </w:r>
            <w:proofErr w:type="spellEnd"/>
          </w:p>
        </w:tc>
      </w:tr>
      <w:tr w:rsidR="00AF1C2B" w:rsidRPr="00B85FED" w14:paraId="5EC6248A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0370D" w14:textId="77777777" w:rsidR="00AF1C2B" w:rsidRDefault="00AF1C2B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CC264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A59E9" w14:textId="77777777" w:rsidR="00AF1C2B" w:rsidRDefault="00AF1C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8027A" w14:textId="77777777" w:rsidR="00AF1C2B" w:rsidRDefault="00AF1C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4036D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41EE0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RAD7A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14CA4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Nucleotide-excision repair, response to UV-C radiation</w:t>
            </w:r>
          </w:p>
        </w:tc>
      </w:tr>
      <w:tr w:rsidR="00AF1C2B" w14:paraId="0EACDDB6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4B0CD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F8D2E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2,945,626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C7D5FB" w14:textId="77777777" w:rsidR="00AF1C2B" w:rsidRDefault="00E10BE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8.551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8E7D5" w14:textId="77777777" w:rsidR="00AF1C2B" w:rsidRDefault="00E10BE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0.033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2CB92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common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856D0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CAS1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73AEF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Cycloartenol synthase; pollen development</w:t>
            </w:r>
          </w:p>
        </w:tc>
      </w:tr>
      <w:tr w:rsidR="00AF1C2B" w14:paraId="13A26F6C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23E66" w14:textId="77777777" w:rsidR="00AF1C2B" w:rsidRDefault="00AF1C2B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09A21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5E457" w14:textId="77777777" w:rsidR="00AF1C2B" w:rsidRDefault="00AF1C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5BD4A" w14:textId="77777777" w:rsidR="00AF1C2B" w:rsidRDefault="00AF1C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8B97FF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302DA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AT2G07120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150B8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F-box associated ubiquitination</w:t>
            </w:r>
          </w:p>
        </w:tc>
      </w:tr>
      <w:tr w:rsidR="00AF1C2B" w:rsidRPr="00B85FED" w14:paraId="120AF445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94E23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76EA0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5,927,469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BEF21" w14:textId="77777777" w:rsidR="00AF1C2B" w:rsidRDefault="00E10BE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74.278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19A42" w14:textId="77777777" w:rsidR="00AF1C2B" w:rsidRDefault="00E10BE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0.034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7A493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common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189FF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ALD1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7D960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AGD2-like defense protein, systemic acquired resistance</w:t>
            </w:r>
          </w:p>
        </w:tc>
      </w:tr>
      <w:tr w:rsidR="00AF1C2B" w14:paraId="0F8E2A61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49BDFA" w14:textId="77777777" w:rsidR="00AF1C2B" w:rsidRDefault="00AF1C2B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A0187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96C7C" w14:textId="77777777" w:rsidR="00AF1C2B" w:rsidRDefault="00AF1C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3C615" w14:textId="77777777" w:rsidR="00AF1C2B" w:rsidRDefault="00AF1C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30958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8A3629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AT2G14070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C776C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Wound repair</w:t>
            </w:r>
          </w:p>
        </w:tc>
      </w:tr>
      <w:tr w:rsidR="00AF1C2B" w14:paraId="02F2BD94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C81ED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1429F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357D92" w14:textId="77777777" w:rsidR="00AF1C2B" w:rsidRDefault="00AF1C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EF92C" w14:textId="77777777" w:rsidR="00AF1C2B" w:rsidRDefault="00AF1C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9D5A2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54C02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AT2G14080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1A1A4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TIR-LRR-NBS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disease-resistance protein</w:t>
            </w:r>
          </w:p>
        </w:tc>
      </w:tr>
      <w:tr w:rsidR="00AF1C2B" w14:paraId="51E6A018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F79F2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60A54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6FD56" w14:textId="77777777" w:rsidR="00AF1C2B" w:rsidRDefault="00AF1C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1B301" w14:textId="77777777" w:rsidR="00AF1C2B" w:rsidRDefault="00AF1C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D1F07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C3E71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CALS5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421EF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Callose synthesis</w:t>
            </w:r>
          </w:p>
        </w:tc>
      </w:tr>
      <w:tr w:rsidR="00AF1C2B" w14:paraId="579D9D29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8A37F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4EC64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ADAD70" w14:textId="77777777" w:rsidR="00AF1C2B" w:rsidRDefault="00AF1C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39E37" w14:textId="77777777" w:rsidR="00AF1C2B" w:rsidRDefault="00AF1C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399FFD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B77FE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CYP705A13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6FEE7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Cytochrome P450</w:t>
            </w:r>
          </w:p>
        </w:tc>
      </w:tr>
      <w:tr w:rsidR="00AF1C2B" w14:paraId="30F25174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32567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ED5C2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B3830" w14:textId="77777777" w:rsidR="00AF1C2B" w:rsidRDefault="00AF1C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75292" w14:textId="77777777" w:rsidR="00AF1C2B" w:rsidRDefault="00AF1C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7694F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FAD00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AT2G14110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CC6C6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Haloacid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 dehalogenase-like hydrolase; protein modification</w:t>
            </w:r>
          </w:p>
        </w:tc>
      </w:tr>
      <w:tr w:rsidR="00AF1C2B" w:rsidRPr="00B85FED" w14:paraId="4FC9FC1E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B9978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B71A1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2E994" w14:textId="77777777" w:rsidR="00AF1C2B" w:rsidRDefault="00AF1C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7C688" w14:textId="77777777" w:rsidR="00AF1C2B" w:rsidRDefault="00AF1C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81B4E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C7F9D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DRP3B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882AD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Membranes fission and fusion, viral replication</w:t>
            </w:r>
          </w:p>
        </w:tc>
      </w:tr>
      <w:tr w:rsidR="00AF1C2B" w14:paraId="4BB6F172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D9D980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9CBBB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6,763,787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9A2AB" w14:textId="77777777" w:rsidR="00AF1C2B" w:rsidRDefault="00E10BE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11.198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25CE0" w14:textId="77777777" w:rsidR="00AF1C2B" w:rsidRDefault="00E10BE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0.033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1E6A5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common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A5002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AT2G15500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C5788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RNA binding</w:t>
            </w:r>
          </w:p>
        </w:tc>
      </w:tr>
      <w:tr w:rsidR="00AF1C2B" w14:paraId="796D99A8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9719D" w14:textId="77777777" w:rsidR="00AF1C2B" w:rsidRDefault="00AF1C2B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86DA6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35C6F" w14:textId="77777777" w:rsidR="00AF1C2B" w:rsidRDefault="00AF1C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3DF414" w14:textId="77777777" w:rsidR="00AF1C2B" w:rsidRDefault="00AF1C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9705F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E89C78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CTL03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764AA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Protein ubiquitination; meristem development</w:t>
            </w:r>
          </w:p>
        </w:tc>
      </w:tr>
      <w:tr w:rsidR="00AF1C2B" w14:paraId="31829029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CC24E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A72958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9C3F3" w14:textId="77777777" w:rsidR="00AF1C2B" w:rsidRDefault="00AF1C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F16D9" w14:textId="77777777" w:rsidR="00AF1C2B" w:rsidRDefault="00AF1C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C46F1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A69A9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FDA9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457A0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F-Box family protein</w:t>
            </w:r>
          </w:p>
        </w:tc>
      </w:tr>
      <w:tr w:rsidR="00AF1C2B" w14:paraId="71E0553A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13242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2051C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8,198,266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AFC2E" w14:textId="77777777" w:rsidR="00AF1C2B" w:rsidRDefault="00E10BE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8.115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C9580A" w14:textId="77777777" w:rsidR="00AF1C2B" w:rsidRDefault="00E10BE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0.045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33D9D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isolate-specific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FA2E6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AT2G18920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393CDB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Hypothetical protein</w:t>
            </w:r>
          </w:p>
        </w:tc>
      </w:tr>
      <w:tr w:rsidR="00AF1C2B" w14:paraId="5E1A1812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290B3" w14:textId="77777777" w:rsidR="00AF1C2B" w:rsidRDefault="00AF1C2B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5FBF8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023DF" w14:textId="77777777" w:rsidR="00AF1C2B" w:rsidRDefault="00AF1C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D067E" w14:textId="77777777" w:rsidR="00AF1C2B" w:rsidRDefault="00AF1C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ED981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AF983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AT2G18938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2F3A6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Transmembrane protein</w:t>
            </w:r>
          </w:p>
        </w:tc>
      </w:tr>
      <w:tr w:rsidR="00AF1C2B" w:rsidRPr="00B85FED" w14:paraId="0D4462D5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A528B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D5678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10,663,084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B075F" w14:textId="77777777" w:rsidR="00AF1C2B" w:rsidRDefault="00E10BE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9.721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68FD2" w14:textId="77777777" w:rsidR="00AF1C2B" w:rsidRDefault="00E10BE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0.031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829A1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isolate-specific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1E420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GFS9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962E9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Membrane trafficking in the Golgi apparatus</w:t>
            </w:r>
          </w:p>
        </w:tc>
      </w:tr>
      <w:tr w:rsidR="00AF1C2B" w:rsidRPr="00B85FED" w14:paraId="5B3730E2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04539" w14:textId="77777777" w:rsidR="00AF1C2B" w:rsidRDefault="00AF1C2B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BC45E5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21FC8" w14:textId="77777777" w:rsidR="00AF1C2B" w:rsidRDefault="00AF1C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A2156" w14:textId="77777777" w:rsidR="00AF1C2B" w:rsidRDefault="00AF1C2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7DA672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76B2F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BIR2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7C903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LRR negative regulator of pattern-triggered immunity</w:t>
            </w:r>
          </w:p>
        </w:tc>
      </w:tr>
      <w:tr w:rsidR="00AF1C2B" w14:paraId="3CF2A827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B422A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62CF6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12,668,171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F79BD4" w14:textId="77777777" w:rsidR="00AF1C2B" w:rsidRDefault="00E10BE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10.388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1F246" w14:textId="77777777" w:rsidR="00AF1C2B" w:rsidRDefault="00E10BE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0.039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85499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common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26473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AT3G31005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454B6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Pseudogene of </w:t>
            </w: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AT1G66520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PDE194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)</w:t>
            </w:r>
          </w:p>
        </w:tc>
      </w:tr>
      <w:tr w:rsidR="00AF1C2B" w:rsidRPr="00B85FED" w14:paraId="7FCBEE20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29B86F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95531E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3,920,265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262BD" w14:textId="77777777" w:rsidR="00AF1C2B" w:rsidRDefault="00E10BE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10.467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2D961" w14:textId="77777777" w:rsidR="00AF1C2B" w:rsidRDefault="00E10BE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0.039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A4DA7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isolate-specific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203B2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AT4G06688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4793D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Myosin-heavy-chain-like protein</w:t>
            </w:r>
          </w:p>
        </w:tc>
      </w:tr>
      <w:tr w:rsidR="00AF1C2B" w14:paraId="28D4FEB9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B4114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C750F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10,050,611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37D4B" w14:textId="77777777" w:rsidR="00AF1C2B" w:rsidRDefault="00E10BE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7.782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A6C9B" w14:textId="77777777" w:rsidR="00AF1C2B" w:rsidRDefault="00E10BE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0.093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53F4A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common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9D093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AT5G28053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3774F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LINE transposon element</w:t>
            </w:r>
          </w:p>
        </w:tc>
      </w:tr>
      <w:tr w:rsidR="00AF1C2B" w:rsidRPr="00B85FED" w14:paraId="71E53945" w14:textId="77777777">
        <w:tc>
          <w:tcPr>
            <w:tcW w:w="1586" w:type="dxa"/>
            <w:tcBorders>
              <w:top w:val="nil"/>
              <w:left w:val="nil"/>
              <w:right w:val="nil"/>
            </w:tcBorders>
          </w:tcPr>
          <w:p w14:paraId="0E3CBDC7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right w:val="nil"/>
            </w:tcBorders>
          </w:tcPr>
          <w:p w14:paraId="4B49221B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16,238,180</w:t>
            </w:r>
          </w:p>
        </w:tc>
        <w:tc>
          <w:tcPr>
            <w:tcW w:w="1088" w:type="dxa"/>
            <w:tcBorders>
              <w:top w:val="nil"/>
              <w:left w:val="nil"/>
              <w:right w:val="nil"/>
            </w:tcBorders>
          </w:tcPr>
          <w:p w14:paraId="4FAE4318" w14:textId="77777777" w:rsidR="00AF1C2B" w:rsidRDefault="00E10BE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8.597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bottom"/>
          </w:tcPr>
          <w:p w14:paraId="6B50CF06" w14:textId="77777777" w:rsidR="00AF1C2B" w:rsidRDefault="00E10BE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0.035</w:t>
            </w:r>
          </w:p>
        </w:tc>
        <w:tc>
          <w:tcPr>
            <w:tcW w:w="1702" w:type="dxa"/>
            <w:tcBorders>
              <w:top w:val="nil"/>
              <w:left w:val="nil"/>
              <w:right w:val="nil"/>
            </w:tcBorders>
            <w:vAlign w:val="bottom"/>
          </w:tcPr>
          <w:p w14:paraId="16231B2F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isolate-specific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  <w:vAlign w:val="bottom"/>
          </w:tcPr>
          <w:p w14:paraId="5BD6933E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AT5G40540</w:t>
            </w:r>
          </w:p>
        </w:tc>
        <w:tc>
          <w:tcPr>
            <w:tcW w:w="6096" w:type="dxa"/>
            <w:tcBorders>
              <w:top w:val="nil"/>
              <w:left w:val="nil"/>
              <w:right w:val="nil"/>
            </w:tcBorders>
            <w:vAlign w:val="bottom"/>
          </w:tcPr>
          <w:p w14:paraId="51DBA211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Protein kinase superfamily protein; signal tran</w:t>
            </w:r>
            <w:r w:rsidR="00B85FED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s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duction</w:t>
            </w:r>
          </w:p>
        </w:tc>
      </w:tr>
    </w:tbl>
    <w:p w14:paraId="01D2F6C5" w14:textId="77777777" w:rsidR="00AF1C2B" w:rsidRDefault="00E10BED">
      <w:pPr>
        <w:spacing w:line="360" w:lineRule="auto"/>
        <w:rPr>
          <w:lang w:val="en-US"/>
        </w:rPr>
      </w:pPr>
      <w:r w:rsidRPr="00B85FED">
        <w:rPr>
          <w:lang w:val="en-US"/>
        </w:rPr>
        <w:lastRenderedPageBreak/>
        <w:br w:type="page"/>
      </w:r>
    </w:p>
    <w:tbl>
      <w:tblPr>
        <w:tblStyle w:val="TableGrid"/>
        <w:tblW w:w="15168" w:type="dxa"/>
        <w:tblLayout w:type="fixed"/>
        <w:tblLook w:val="04A0" w:firstRow="1" w:lastRow="0" w:firstColumn="1" w:lastColumn="0" w:noHBand="0" w:noVBand="1"/>
      </w:tblPr>
      <w:tblGrid>
        <w:gridCol w:w="1587"/>
        <w:gridCol w:w="1295"/>
        <w:gridCol w:w="1088"/>
        <w:gridCol w:w="1984"/>
        <w:gridCol w:w="1702"/>
        <w:gridCol w:w="1416"/>
        <w:gridCol w:w="6096"/>
      </w:tblGrid>
      <w:tr w:rsidR="00AF1C2B" w:rsidRPr="00B85FED" w14:paraId="7422696E" w14:textId="77777777">
        <w:tc>
          <w:tcPr>
            <w:tcW w:w="15167" w:type="dxa"/>
            <w:gridSpan w:val="7"/>
            <w:tcBorders>
              <w:top w:val="nil"/>
              <w:left w:val="nil"/>
              <w:right w:val="nil"/>
            </w:tcBorders>
          </w:tcPr>
          <w:p w14:paraId="155189DC" w14:textId="005EA6E2" w:rsidR="00AF1C2B" w:rsidRDefault="00E10BED">
            <w:pPr>
              <w:pageBreakBefore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lastRenderedPageBreak/>
              <w:t>Supplementary File 2b</w:t>
            </w: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.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Genetic associations in the GWA analysis of the ancestral and evolved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TuMV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isolates that included the SNP at Chr2:5927469 as a covariate. Table shows the most strongly associated SNP in each peak, and annotated genes within the region spanned by significantly associated SNPs.</w:t>
            </w:r>
          </w:p>
        </w:tc>
      </w:tr>
      <w:tr w:rsidR="00AF1C2B" w14:paraId="2158B8F9" w14:textId="77777777">
        <w:tc>
          <w:tcPr>
            <w:tcW w:w="1586" w:type="dxa"/>
            <w:tcBorders>
              <w:left w:val="nil"/>
              <w:right w:val="nil"/>
            </w:tcBorders>
          </w:tcPr>
          <w:p w14:paraId="67338DC1" w14:textId="77777777" w:rsidR="00AF1C2B" w:rsidRDefault="00E10B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Chromosome</w:t>
            </w:r>
          </w:p>
        </w:tc>
        <w:tc>
          <w:tcPr>
            <w:tcW w:w="1295" w:type="dxa"/>
            <w:tcBorders>
              <w:left w:val="nil"/>
              <w:right w:val="nil"/>
            </w:tcBorders>
          </w:tcPr>
          <w:p w14:paraId="3FD21B6D" w14:textId="77777777" w:rsidR="00AF1C2B" w:rsidRDefault="00E10B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Position</w:t>
            </w:r>
          </w:p>
        </w:tc>
        <w:tc>
          <w:tcPr>
            <w:tcW w:w="1088" w:type="dxa"/>
            <w:tcBorders>
              <w:left w:val="nil"/>
              <w:right w:val="nil"/>
            </w:tcBorders>
          </w:tcPr>
          <w:p w14:paraId="7A72F72A" w14:textId="77777777" w:rsidR="00AF1C2B" w:rsidRDefault="00E10B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Symbol" w:eastAsia="Symbol" w:hAnsi="Symbol" w:cs="Symbol"/>
                <w:b/>
                <w:bCs/>
                <w:lang w:val="en-US"/>
              </w:rPr>
              <w:t></w:t>
            </w:r>
            <w:r>
              <w:rPr>
                <w:rFonts w:ascii="Symbol" w:eastAsia="Symbol" w:hAnsi="Symbol" w:cs="Symbol"/>
                <w:b/>
                <w:bCs/>
                <w:lang w:val="en-US"/>
              </w:rPr>
              <w:t></w:t>
            </w: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log</w:t>
            </w:r>
            <w:r>
              <w:rPr>
                <w:rFonts w:ascii="Times New Roman" w:eastAsia="Calibri" w:hAnsi="Times New Roman" w:cs="Times New Roman"/>
                <w:b/>
                <w:bCs/>
                <w:vertAlign w:val="subscript"/>
                <w:lang w:val="en-US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en-US"/>
              </w:rPr>
              <w:t>P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27810CE8" w14:textId="77777777" w:rsidR="00AF1C2B" w:rsidRDefault="00E10B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Allele frequency</w:t>
            </w:r>
          </w:p>
        </w:tc>
        <w:tc>
          <w:tcPr>
            <w:tcW w:w="1702" w:type="dxa"/>
            <w:tcBorders>
              <w:left w:val="nil"/>
              <w:right w:val="nil"/>
            </w:tcBorders>
          </w:tcPr>
          <w:p w14:paraId="1CD8E37F" w14:textId="77777777" w:rsidR="00AF1C2B" w:rsidRDefault="00E10B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Effect</w:t>
            </w:r>
          </w:p>
        </w:tc>
        <w:tc>
          <w:tcPr>
            <w:tcW w:w="1416" w:type="dxa"/>
            <w:tcBorders>
              <w:left w:val="nil"/>
              <w:right w:val="nil"/>
            </w:tcBorders>
          </w:tcPr>
          <w:p w14:paraId="479C2FFD" w14:textId="77777777" w:rsidR="00AF1C2B" w:rsidRDefault="00E10B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Genes</w:t>
            </w:r>
          </w:p>
        </w:tc>
        <w:tc>
          <w:tcPr>
            <w:tcW w:w="6096" w:type="dxa"/>
            <w:tcBorders>
              <w:left w:val="nil"/>
              <w:right w:val="nil"/>
            </w:tcBorders>
          </w:tcPr>
          <w:p w14:paraId="4DE9E73C" w14:textId="77777777" w:rsidR="00AF1C2B" w:rsidRDefault="00E10B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Function</w:t>
            </w:r>
          </w:p>
        </w:tc>
      </w:tr>
      <w:tr w:rsidR="00AF1C2B" w:rsidRPr="00B85FED" w14:paraId="6BF1E904" w14:textId="77777777">
        <w:tc>
          <w:tcPr>
            <w:tcW w:w="1586" w:type="dxa"/>
            <w:tcBorders>
              <w:left w:val="nil"/>
              <w:bottom w:val="nil"/>
              <w:right w:val="nil"/>
            </w:tcBorders>
            <w:vAlign w:val="bottom"/>
          </w:tcPr>
          <w:p w14:paraId="63BCE991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295" w:type="dxa"/>
            <w:tcBorders>
              <w:left w:val="nil"/>
              <w:bottom w:val="nil"/>
              <w:right w:val="nil"/>
            </w:tcBorders>
            <w:vAlign w:val="bottom"/>
          </w:tcPr>
          <w:p w14:paraId="615959F5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6,167,132</w:t>
            </w:r>
          </w:p>
        </w:tc>
        <w:tc>
          <w:tcPr>
            <w:tcW w:w="1088" w:type="dxa"/>
            <w:tcBorders>
              <w:left w:val="nil"/>
              <w:bottom w:val="nil"/>
              <w:right w:val="nil"/>
            </w:tcBorders>
            <w:vAlign w:val="bottom"/>
          </w:tcPr>
          <w:p w14:paraId="3BDCF6A1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11.030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vAlign w:val="bottom"/>
          </w:tcPr>
          <w:p w14:paraId="26EE442C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0.036</w:t>
            </w:r>
          </w:p>
        </w:tc>
        <w:tc>
          <w:tcPr>
            <w:tcW w:w="1702" w:type="dxa"/>
            <w:tcBorders>
              <w:left w:val="nil"/>
              <w:bottom w:val="nil"/>
              <w:right w:val="nil"/>
            </w:tcBorders>
            <w:vAlign w:val="bottom"/>
          </w:tcPr>
          <w:p w14:paraId="1DBA22FB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isolate-specific</w:t>
            </w:r>
          </w:p>
        </w:tc>
        <w:tc>
          <w:tcPr>
            <w:tcW w:w="1416" w:type="dxa"/>
            <w:tcBorders>
              <w:left w:val="nil"/>
              <w:bottom w:val="nil"/>
              <w:right w:val="nil"/>
            </w:tcBorders>
            <w:vAlign w:val="bottom"/>
          </w:tcPr>
          <w:p w14:paraId="08DCA63E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MAIN</w:t>
            </w:r>
          </w:p>
        </w:tc>
        <w:tc>
          <w:tcPr>
            <w:tcW w:w="6096" w:type="dxa"/>
            <w:tcBorders>
              <w:left w:val="nil"/>
              <w:bottom w:val="nil"/>
              <w:right w:val="nil"/>
            </w:tcBorders>
            <w:vAlign w:val="bottom"/>
          </w:tcPr>
          <w:p w14:paraId="13E24EB3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Meristem development and transposon silencing</w:t>
            </w:r>
          </w:p>
        </w:tc>
      </w:tr>
      <w:tr w:rsidR="00AF1C2B" w14:paraId="0ABAF1F3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51CF0" w14:textId="77777777" w:rsidR="00AF1C2B" w:rsidRDefault="00AF1C2B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3FEFA" w14:textId="77777777" w:rsidR="00AF1C2B" w:rsidRDefault="00AF1C2B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983DA" w14:textId="77777777" w:rsidR="00AF1C2B" w:rsidRDefault="00AF1C2B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42387" w14:textId="77777777" w:rsidR="00AF1C2B" w:rsidRDefault="00AF1C2B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3CA02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99201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AT1G17940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3240F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Endosomal targeting</w:t>
            </w:r>
          </w:p>
        </w:tc>
      </w:tr>
      <w:tr w:rsidR="00AF1C2B" w14:paraId="6270193E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0A7FB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93013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12,086,029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609A4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8.686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3CB006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0.031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988AE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isolate-specific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D6562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AT1G33320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74934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Methionine biosynthesis</w:t>
            </w:r>
          </w:p>
        </w:tc>
      </w:tr>
      <w:tr w:rsidR="00AF1C2B" w:rsidRPr="00B85FED" w14:paraId="2DBCBE34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855910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65FC0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437A5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793BB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B17CA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C9CB1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AT1G33330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3F2F7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RNA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metabolism and translation release</w:t>
            </w:r>
          </w:p>
        </w:tc>
      </w:tr>
      <w:tr w:rsidR="00AF1C2B" w:rsidRPr="00B85FED" w14:paraId="2B25E300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D9ADE1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0542D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A081A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5D1C5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D4404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711EF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FAS4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7FEC7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Helicase activity, regulation of RNA metabolism</w:t>
            </w:r>
          </w:p>
        </w:tc>
      </w:tr>
      <w:tr w:rsidR="00AF1C2B" w14:paraId="27B968CC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22E25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3135A9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22,508,950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43D4E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9.567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0B9EB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0.031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94B61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isolate-specific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DAE5D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AT1G61100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715BA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TIR disease-resistance protein</w:t>
            </w:r>
          </w:p>
        </w:tc>
      </w:tr>
      <w:tr w:rsidR="00AF1C2B" w14:paraId="159F656D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626FD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27953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8,198,266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52E95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8.624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8E444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0.045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9F240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isolate-specific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F4A4F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AT2G18920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527000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Hypothetical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protein</w:t>
            </w:r>
          </w:p>
        </w:tc>
      </w:tr>
      <w:tr w:rsidR="00AF1C2B" w14:paraId="58109AE5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2CDA2" w14:textId="77777777" w:rsidR="00AF1C2B" w:rsidRDefault="00AF1C2B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77AD2" w14:textId="77777777" w:rsidR="00AF1C2B" w:rsidRDefault="00AF1C2B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FA241" w14:textId="77777777" w:rsidR="00AF1C2B" w:rsidRDefault="00AF1C2B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07AE5" w14:textId="77777777" w:rsidR="00AF1C2B" w:rsidRDefault="00AF1C2B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77084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4632D" w14:textId="77777777" w:rsidR="00AF1C2B" w:rsidRDefault="00E10BE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AT2G18938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D8C6A" w14:textId="77777777" w:rsidR="00AF1C2B" w:rsidRDefault="00E10BE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Transmembrane protein</w:t>
            </w:r>
          </w:p>
        </w:tc>
      </w:tr>
      <w:tr w:rsidR="00AF1C2B" w14:paraId="4B4D3186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31B9C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6F009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10,663,084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3643C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10.323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918E8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0.031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D3E38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isolate-specific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8BE31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GFS9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51B18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Golgi apparatus</w:t>
            </w:r>
          </w:p>
        </w:tc>
      </w:tr>
      <w:tr w:rsidR="00AF1C2B" w:rsidRPr="00B85FED" w14:paraId="7F66D19A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1B84B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8148E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93014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6345A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3264E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14E5B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BIR2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7F8F6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LRR negative regulator of pattern-triggered immunity</w:t>
            </w:r>
          </w:p>
        </w:tc>
      </w:tr>
      <w:tr w:rsidR="00AF1C2B" w:rsidRPr="00B85FED" w14:paraId="42BB06BF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3F1CA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F9B24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273,465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F75DD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8.121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98B8F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0.170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BB27C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isolate-specific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B0819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FRIGIDA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2AB1C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Negative regulator of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flowering development</w:t>
            </w:r>
          </w:p>
        </w:tc>
      </w:tr>
      <w:tr w:rsidR="00AF1C2B" w14:paraId="1373E32A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EA25C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75627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0C885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9728F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C7C11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060C8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AT4G00651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DB2DF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Iron superoxide dismutase; protein modification</w:t>
            </w:r>
          </w:p>
        </w:tc>
      </w:tr>
      <w:tr w:rsidR="00AF1C2B" w:rsidRPr="00B85FED" w14:paraId="12A9E311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E870A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F8117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8563A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0C71C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3676C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D36371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RH8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AAB49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RNA helicase; intracellular transport of viral proteins</w:t>
            </w:r>
          </w:p>
        </w:tc>
      </w:tr>
      <w:tr w:rsidR="00AF1C2B" w:rsidRPr="00B85FED" w14:paraId="4E4CC044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8CAF6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0EF34B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3,920,265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8595E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9.994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92BD1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0.039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29B0A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isolate-specific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28542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AT4G00668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EF86A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Myosin-heavy-chain-like protein</w:t>
            </w:r>
          </w:p>
        </w:tc>
      </w:tr>
      <w:tr w:rsidR="00AF1C2B" w14:paraId="609E197C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8CEA9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D210E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16,556,249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9F313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9.155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EE357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0.032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4465D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common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C3BBF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AT4G34690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CDFAF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Transmembrane protein</w:t>
            </w:r>
          </w:p>
        </w:tc>
      </w:tr>
      <w:tr w:rsidR="00AF1C2B" w14:paraId="1C1B1ACD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48CE1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D5D9E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D53FC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BBF5E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9444E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E1EEE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CIB22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56BF3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Mitochondrial subunit; photorespiration</w:t>
            </w:r>
          </w:p>
        </w:tc>
      </w:tr>
      <w:tr w:rsidR="00AF1C2B" w:rsidRPr="00B85FED" w14:paraId="0654832C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FF5ED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A5B90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794AF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FAA3B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27D2A" w14:textId="77777777" w:rsidR="00AF1C2B" w:rsidRDefault="00AF1C2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89C09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ADC2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6CEB3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Arginine decarboxylase; response to ABA and JA</w:t>
            </w:r>
          </w:p>
        </w:tc>
      </w:tr>
      <w:tr w:rsidR="00AF1C2B" w14:paraId="445D7853" w14:textId="77777777"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8CFCD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8DABD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2,386,447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C7AD2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7.976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0B54A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0.037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79A0C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common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D80BF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GRP16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1022F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Flower development</w:t>
            </w:r>
          </w:p>
        </w:tc>
      </w:tr>
      <w:tr w:rsidR="00AF1C2B" w:rsidRPr="00B85FED" w14:paraId="0419B314" w14:textId="77777777">
        <w:tc>
          <w:tcPr>
            <w:tcW w:w="1586" w:type="dxa"/>
            <w:tcBorders>
              <w:top w:val="nil"/>
              <w:left w:val="nil"/>
              <w:right w:val="nil"/>
            </w:tcBorders>
            <w:vAlign w:val="bottom"/>
          </w:tcPr>
          <w:p w14:paraId="50DDEB48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right w:val="nil"/>
            </w:tcBorders>
            <w:vAlign w:val="bottom"/>
          </w:tcPr>
          <w:p w14:paraId="6C980EE8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16,238,180</w:t>
            </w:r>
          </w:p>
        </w:tc>
        <w:tc>
          <w:tcPr>
            <w:tcW w:w="1088" w:type="dxa"/>
            <w:tcBorders>
              <w:top w:val="nil"/>
              <w:left w:val="nil"/>
              <w:right w:val="nil"/>
            </w:tcBorders>
            <w:vAlign w:val="bottom"/>
          </w:tcPr>
          <w:p w14:paraId="2080CDBF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8.236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bottom"/>
          </w:tcPr>
          <w:p w14:paraId="0861EEC8" w14:textId="77777777" w:rsidR="00AF1C2B" w:rsidRDefault="00E10BED">
            <w:pPr>
              <w:jc w:val="righ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0.035</w:t>
            </w:r>
          </w:p>
        </w:tc>
        <w:tc>
          <w:tcPr>
            <w:tcW w:w="1702" w:type="dxa"/>
            <w:tcBorders>
              <w:top w:val="nil"/>
              <w:left w:val="nil"/>
              <w:right w:val="nil"/>
            </w:tcBorders>
            <w:vAlign w:val="bottom"/>
          </w:tcPr>
          <w:p w14:paraId="301232B1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isolate-specific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  <w:vAlign w:val="bottom"/>
          </w:tcPr>
          <w:p w14:paraId="452F8771" w14:textId="77777777" w:rsidR="00AF1C2B" w:rsidRDefault="00E10BE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  <w:lang w:val="en-US"/>
              </w:rPr>
              <w:t>AT5G40540</w:t>
            </w:r>
          </w:p>
        </w:tc>
        <w:tc>
          <w:tcPr>
            <w:tcW w:w="6096" w:type="dxa"/>
            <w:tcBorders>
              <w:top w:val="nil"/>
              <w:left w:val="nil"/>
              <w:right w:val="nil"/>
            </w:tcBorders>
            <w:vAlign w:val="bottom"/>
          </w:tcPr>
          <w:p w14:paraId="4B6BDD68" w14:textId="77777777" w:rsidR="00AF1C2B" w:rsidRDefault="00E10BE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Protein kinase superfamily protein; signal transduction</w:t>
            </w:r>
          </w:p>
        </w:tc>
      </w:tr>
    </w:tbl>
    <w:p w14:paraId="68F7C700" w14:textId="77777777" w:rsidR="00AF1C2B" w:rsidRDefault="00AF1C2B">
      <w:pPr>
        <w:spacing w:line="360" w:lineRule="auto"/>
        <w:rPr>
          <w:lang w:val="en-US"/>
        </w:rPr>
      </w:pPr>
    </w:p>
    <w:sectPr w:rsidR="00AF1C2B">
      <w:pgSz w:w="16838" w:h="11906" w:orient="landscape"/>
      <w:pgMar w:top="1701" w:right="1417" w:bottom="1701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2B"/>
    <w:rsid w:val="00AF1C2B"/>
    <w:rsid w:val="00B85FED"/>
    <w:rsid w:val="00E1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DC034"/>
  <w15:docId w15:val="{E7F756D1-0183-B44B-BBA5-F384AA3D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_tradn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neNumbering">
    <w:name w:val="Line Numbering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table" w:styleId="TableGrid">
    <w:name w:val="Table Grid"/>
    <w:basedOn w:val="TableNormal"/>
    <w:uiPriority w:val="39"/>
    <w:rsid w:val="000D7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85FED"/>
    <w:pPr>
      <w:suppressAutoHyphens w:val="0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Elena Fito</dc:creator>
  <dc:description/>
  <cp:lastModifiedBy>Tara Bristow</cp:lastModifiedBy>
  <cp:revision>2</cp:revision>
  <cp:lastPrinted>2023-12-07T16:31:00Z</cp:lastPrinted>
  <dcterms:created xsi:type="dcterms:W3CDTF">2024-01-02T09:38:00Z</dcterms:created>
  <dcterms:modified xsi:type="dcterms:W3CDTF">2024-01-02T09:38:00Z</dcterms:modified>
  <dc:language>en-GB</dc:language>
</cp:coreProperties>
</file>