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A1" w:rsidRPr="00400594" w:rsidRDefault="008048A1" w:rsidP="008048A1">
      <w:pPr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Supplemental Table 2</w:t>
      </w:r>
      <w:r w:rsidRPr="00042159">
        <w:rPr>
          <w:b/>
          <w:i/>
          <w:color w:val="000000" w:themeColor="text1"/>
          <w:sz w:val="24"/>
          <w:szCs w:val="24"/>
        </w:rPr>
        <w:t>.</w:t>
      </w:r>
      <w:r w:rsidRPr="0039608A">
        <w:rPr>
          <w:b/>
          <w:color w:val="000000" w:themeColor="text1"/>
          <w:sz w:val="24"/>
          <w:szCs w:val="24"/>
        </w:rPr>
        <w:t xml:space="preserve"> </w:t>
      </w:r>
      <w:r w:rsidRPr="00042159">
        <w:rPr>
          <w:color w:val="000000" w:themeColor="text1"/>
          <w:sz w:val="24"/>
          <w:szCs w:val="24"/>
        </w:rPr>
        <w:t xml:space="preserve">Mean data of EUS EMG activity at 5- days post-injury following HPCD or ampakine CX1739 treatment. Intact (n = 8), SCI (n = 7) groups. Data </w:t>
      </w:r>
      <w:proofErr w:type="gramStart"/>
      <w:r w:rsidRPr="00042159">
        <w:rPr>
          <w:color w:val="000000" w:themeColor="text1"/>
          <w:sz w:val="24"/>
          <w:szCs w:val="24"/>
        </w:rPr>
        <w:t>are presented</w:t>
      </w:r>
      <w:proofErr w:type="gramEnd"/>
      <w:r w:rsidRPr="00042159">
        <w:rPr>
          <w:color w:val="000000" w:themeColor="text1"/>
          <w:sz w:val="24"/>
          <w:szCs w:val="24"/>
        </w:rPr>
        <w:t xml:space="preserve"> as Mean ± SD.</w:t>
      </w:r>
    </w:p>
    <w:tbl>
      <w:tblPr>
        <w:tblStyle w:val="TableGrid"/>
        <w:tblpPr w:leftFromText="180" w:rightFromText="180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84"/>
        <w:gridCol w:w="1506"/>
        <w:gridCol w:w="1890"/>
        <w:gridCol w:w="2162"/>
        <w:gridCol w:w="1615"/>
      </w:tblGrid>
      <w:tr w:rsidR="008048A1" w:rsidRPr="00531F99" w:rsidTr="00537FCA">
        <w:trPr>
          <w:trHeight w:val="720"/>
        </w:trPr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sz w:val="24"/>
                <w:szCs w:val="24"/>
              </w:rPr>
              <w:br w:type="page"/>
            </w:r>
            <w:r w:rsidRPr="00531F99">
              <w:rPr>
                <w:rFonts w:cs="Arial"/>
                <w:b/>
                <w:color w:val="000000"/>
              </w:rPr>
              <w:t>Group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31F99">
              <w:rPr>
                <w:rFonts w:cs="Arial"/>
                <w:b/>
                <w:color w:val="000000"/>
              </w:rPr>
              <w:t>Treatment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Default="008048A1" w:rsidP="00537FC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Duration</w:t>
            </w:r>
          </w:p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(s)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Default="008048A1" w:rsidP="00537FCA">
            <w:pPr>
              <w:jc w:val="center"/>
              <w:rPr>
                <w:rFonts w:cs="Arial"/>
                <w:b/>
                <w:color w:val="000000"/>
              </w:rPr>
            </w:pPr>
            <w:r w:rsidRPr="00531F99">
              <w:rPr>
                <w:rFonts w:cs="Arial"/>
                <w:b/>
                <w:color w:val="000000"/>
              </w:rPr>
              <w:t>Threshold</w:t>
            </w:r>
          </w:p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(</w:t>
            </w:r>
            <w:r w:rsidRPr="00531F99">
              <w:rPr>
                <w:rFonts w:cs="Arial"/>
                <w:b/>
                <w:i/>
                <w:color w:val="000000"/>
              </w:rPr>
              <w:t>cmH</w:t>
            </w:r>
            <w:r w:rsidRPr="00531F99">
              <w:rPr>
                <w:rFonts w:cs="Arial"/>
                <w:b/>
                <w:i/>
                <w:color w:val="000000"/>
                <w:vertAlign w:val="subscript"/>
              </w:rPr>
              <w:t>2</w:t>
            </w:r>
            <w:r w:rsidRPr="00531F99">
              <w:rPr>
                <w:rFonts w:cs="Arial"/>
                <w:b/>
                <w:i/>
                <w:color w:val="000000"/>
              </w:rPr>
              <w:t>O</w:t>
            </w:r>
            <w:r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 xml:space="preserve">Area under the curve </w:t>
            </w:r>
            <w:r w:rsidRPr="00531F99">
              <w:rPr>
                <w:rFonts w:cs="Arial"/>
                <w:b/>
                <w:i/>
                <w:color w:val="000000"/>
              </w:rPr>
              <w:t>(</w:t>
            </w:r>
            <w:proofErr w:type="spellStart"/>
            <w:r>
              <w:rPr>
                <w:rFonts w:cs="Arial"/>
                <w:b/>
                <w:i/>
                <w:color w:val="000000"/>
              </w:rPr>
              <w:t>a.u</w:t>
            </w:r>
            <w:proofErr w:type="spellEnd"/>
            <w:r>
              <w:rPr>
                <w:rFonts w:cs="Arial"/>
                <w:b/>
                <w:i/>
                <w:color w:val="000000"/>
              </w:rPr>
              <w:t>.</w:t>
            </w:r>
            <w:r w:rsidRPr="00531F99">
              <w:rPr>
                <w:rFonts w:cs="Arial"/>
                <w:b/>
                <w:i/>
                <w:color w:val="000000"/>
              </w:rPr>
              <w:t>)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color w:val="000000"/>
              </w:rPr>
              <w:t>RMS</w:t>
            </w:r>
            <w:r w:rsidRPr="00D053F4">
              <w:rPr>
                <w:rFonts w:cs="Arial"/>
                <w:b/>
                <w:color w:val="000000"/>
                <w:vertAlign w:val="subscript"/>
              </w:rPr>
              <w:t>peak</w:t>
            </w:r>
            <w:proofErr w:type="spellEnd"/>
            <w:r>
              <w:rPr>
                <w:rFonts w:cs="Arial"/>
                <w:b/>
                <w:color w:val="000000"/>
              </w:rPr>
              <w:t xml:space="preserve"> EMG </w:t>
            </w:r>
            <w:r w:rsidRPr="00531F99">
              <w:rPr>
                <w:rFonts w:cs="Arial"/>
                <w:b/>
                <w:i/>
                <w:color w:val="000000"/>
              </w:rPr>
              <w:t>(</w:t>
            </w:r>
            <w:proofErr w:type="spellStart"/>
            <w:r>
              <w:rPr>
                <w:rFonts w:cs="Arial"/>
                <w:b/>
                <w:i/>
                <w:color w:val="000000"/>
              </w:rPr>
              <w:t>a.u</w:t>
            </w:r>
            <w:proofErr w:type="spellEnd"/>
            <w:r>
              <w:rPr>
                <w:rFonts w:cs="Arial"/>
                <w:b/>
                <w:i/>
                <w:color w:val="000000"/>
              </w:rPr>
              <w:t>.</w:t>
            </w:r>
            <w:r w:rsidRPr="00531F99">
              <w:rPr>
                <w:rFonts w:cs="Arial"/>
                <w:b/>
                <w:i/>
                <w:color w:val="000000"/>
              </w:rPr>
              <w:t>)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Intact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Baseline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3</w:t>
            </w:r>
            <w:r>
              <w:t>.0</w:t>
            </w:r>
            <w:r w:rsidRPr="008A61CA">
              <w:t xml:space="preserve"> ± 0.9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27.6 ± 3.7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0.3 ± 0.2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0.1 ± 0.1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HPCD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3.6 ± 1.5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24 ± 6.2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0.3 ± 0.2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0.1 ± 0.1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3.8 ± 1.6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19.7 ± 5.7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0.4 ± 0.2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0.2 ± 0.2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10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3.7 ± 0.7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17.1 ± 5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0.4 ± 0.2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0.1 ± 0.1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bottom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4.2 ± 1.3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15.6 ± 2.7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0.4 ± 0.3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0.1 ± 0.1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 w:val="restart"/>
            <w:tcBorders>
              <w:top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121D2">
              <w:rPr>
                <w:rFonts w:cs="Arial"/>
                <w:b/>
                <w:color w:val="000000"/>
              </w:rPr>
              <w:t>SCI</w:t>
            </w:r>
          </w:p>
          <w:p w:rsidR="008048A1" w:rsidRPr="009121D2" w:rsidRDefault="008048A1" w:rsidP="00537FCA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Baseline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10.2 ± 3.9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27.4 ± 7.1</w:t>
            </w:r>
          </w:p>
        </w:tc>
        <w:tc>
          <w:tcPr>
            <w:tcW w:w="2162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2.4 ± 1.2</w:t>
            </w:r>
          </w:p>
        </w:tc>
        <w:tc>
          <w:tcPr>
            <w:tcW w:w="1615" w:type="dxa"/>
            <w:tcBorders>
              <w:top w:val="single" w:sz="12" w:space="0" w:color="auto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0.3 ± 0.3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HPCD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9.4 ± 3.4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24.7 ± 6.6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2.6 ± 2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0.5 ± 0.4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9.2 ± 3.2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17.3 ± 8.8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2.2 ± 1.5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0.4 ± 0.4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right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10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8.8 ± 2.7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11.5 ± 5.2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1.6 ± 1.5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0.3 ± 0.3</w:t>
            </w:r>
          </w:p>
        </w:tc>
      </w:tr>
      <w:tr w:rsidR="008048A1" w:rsidRPr="00531F99" w:rsidTr="00537FCA">
        <w:trPr>
          <w:trHeight w:val="360"/>
        </w:trPr>
        <w:tc>
          <w:tcPr>
            <w:tcW w:w="900" w:type="dxa"/>
            <w:vMerge/>
            <w:tcBorders>
              <w:bottom w:val="single" w:sz="12" w:space="0" w:color="auto"/>
              <w:right w:val="single" w:sz="4" w:space="0" w:color="D9D9D9" w:themeColor="background1" w:themeShade="D9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</w:tcBorders>
            <w:vAlign w:val="center"/>
          </w:tcPr>
          <w:p w:rsidR="008048A1" w:rsidRPr="00531F99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531F99">
              <w:rPr>
                <w:rFonts w:cs="Arial"/>
                <w:color w:val="000000"/>
              </w:rPr>
              <w:t>15 mg/Kg</w:t>
            </w:r>
          </w:p>
        </w:tc>
        <w:tc>
          <w:tcPr>
            <w:tcW w:w="1506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9.1 ± 1.8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9.7 ± 4.4</w:t>
            </w:r>
          </w:p>
        </w:tc>
        <w:tc>
          <w:tcPr>
            <w:tcW w:w="2162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1.5 ± 1.7</w:t>
            </w:r>
          </w:p>
        </w:tc>
        <w:tc>
          <w:tcPr>
            <w:tcW w:w="1615" w:type="dxa"/>
            <w:tcBorders>
              <w:top w:val="single" w:sz="4" w:space="0" w:color="D9D9D9" w:themeColor="background1" w:themeShade="D9"/>
              <w:bottom w:val="single" w:sz="12" w:space="0" w:color="auto"/>
            </w:tcBorders>
          </w:tcPr>
          <w:p w:rsidR="008048A1" w:rsidRPr="009121D2" w:rsidRDefault="008048A1" w:rsidP="00537FCA">
            <w:pPr>
              <w:jc w:val="center"/>
              <w:rPr>
                <w:rFonts w:cs="Arial"/>
                <w:sz w:val="24"/>
                <w:szCs w:val="24"/>
              </w:rPr>
            </w:pPr>
            <w:r w:rsidRPr="008A61CA">
              <w:t>0.3 ± 0.3</w:t>
            </w:r>
          </w:p>
        </w:tc>
      </w:tr>
    </w:tbl>
    <w:p w:rsidR="008048A1" w:rsidRPr="00CD1FE2" w:rsidRDefault="008048A1" w:rsidP="008048A1">
      <w:pPr>
        <w:spacing w:line="480" w:lineRule="auto"/>
        <w:jc w:val="both"/>
        <w:rPr>
          <w:b/>
          <w:bCs/>
          <w:sz w:val="24"/>
          <w:szCs w:val="24"/>
        </w:rPr>
      </w:pPr>
    </w:p>
    <w:p w:rsidR="008048A1" w:rsidRDefault="008048A1" w:rsidP="008048A1"/>
    <w:p w:rsidR="000A544A" w:rsidRDefault="000A544A">
      <w:bookmarkStart w:id="0" w:name="_GoBack"/>
      <w:bookmarkEnd w:id="0"/>
    </w:p>
    <w:sectPr w:rsidR="000A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A1"/>
    <w:rsid w:val="000A544A"/>
    <w:rsid w:val="0080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7E96A-8686-41C5-A3DB-3C98E112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8A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610</Characters>
  <Application>Microsoft Office Word</Application>
  <DocSecurity>0</DocSecurity>
  <Lines>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and Health Professions, UF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Rana, Sabhya</dc:creator>
  <cp:keywords/>
  <dc:description/>
  <cp:lastModifiedBy>Rana, Sabhya</cp:lastModifiedBy>
  <cp:revision>1</cp:revision>
  <dcterms:created xsi:type="dcterms:W3CDTF">2024-02-12T20:03:00Z</dcterms:created>
  <dcterms:modified xsi:type="dcterms:W3CDTF">2024-02-12T20:04:00Z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471c285c-74da-4b86-900a-6309dc5e3277</vt:lpwstr>
  </property>
</Properties>
</file>