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360" w:lineRule="auto"/>
        <w:rPr>
          <w:rFonts w:ascii="Times New Roman" w:cs="Times New Roman" w:eastAsia="Times New Roman" w:hAnsi="Times New Roman"/>
          <w:b w:val="1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360" w:lineRule="auto"/>
        <w:rPr>
          <w:rFonts w:ascii="Times New Roman" w:cs="Times New Roman" w:eastAsia="Times New Roman" w:hAnsi="Times New Roman"/>
          <w:color w:val="2021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rtl w:val="0"/>
        </w:rPr>
        <w:t xml:space="preserve">Supplementary File 1. Within-host model parameter estimates.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rtl w:val="0"/>
        </w:rPr>
        <w:t xml:space="preserve">We used a nonlinear mixed-effects method to fit a within-host model of viral kinetics to the viral titer measurements from 208 patients, 104 were treated with Paxlovid and 104 did not receive any antiviral drugs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(Traynard et al., 2020)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rtl w:val="0"/>
        </w:rPr>
        <w:t xml:space="preserve">. The reported medians and variation across individuals (95% interpercentile ranges) integrate both fixed and random effects estimates for each parameter.</w:t>
      </w:r>
    </w:p>
    <w:tbl>
      <w:tblPr>
        <w:tblStyle w:val="Table1"/>
        <w:tblW w:w="10820.0" w:type="dxa"/>
        <w:jc w:val="left"/>
        <w:tblInd w:w="-30.0" w:type="dxa"/>
        <w:tblLayout w:type="fixed"/>
        <w:tblLook w:val="0400"/>
      </w:tblPr>
      <w:tblGrid>
        <w:gridCol w:w="4300"/>
        <w:gridCol w:w="3780"/>
        <w:gridCol w:w="1820"/>
        <w:gridCol w:w="920"/>
        <w:tblGridChange w:id="0">
          <w:tblGrid>
            <w:gridCol w:w="4300"/>
            <w:gridCol w:w="3780"/>
            <w:gridCol w:w="1820"/>
            <w:gridCol w:w="9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before="120" w:line="36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2"/>
                <w:sz w:val="24"/>
                <w:szCs w:val="24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before="12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2"/>
                <w:rtl w:val="0"/>
              </w:rPr>
              <w:t xml:space="preserve">Estimated median [95% interpercentile range] across infected individuals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before="120" w:line="36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Cell infection 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in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vertAlign w:val="superscript"/>
                <w:rtl w:val="0"/>
              </w:rPr>
              <w:t xml:space="preserve">-9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mL/Copies in days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 (</w:t>
            </w:r>
            <m:oMath>
              <m:r>
                <w:rPr>
                  <w:rFonts w:ascii="Times New Roman" w:cs="Times New Roman" w:eastAsia="Times New Roman" w:hAnsi="Times New Roman"/>
                  <w:color w:val="202122"/>
                  <w:sz w:val="24"/>
                  <w:szCs w:val="24"/>
                  <w:shd w:fill="f8f9fa" w:val="clear"/>
                </w:rPr>
                <m:t xml:space="preserve">β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17.14 [12.60, 21.75]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before="120" w:line="36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Rate in log10 for the interferon-induced conversion of target cells to refractory cells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05050"/>
                <w:sz w:val="24"/>
                <w:szCs w:val="24"/>
                <w:highlight w:val="white"/>
                <w:rtl w:val="0"/>
              </w:rPr>
              <w:t xml:space="preserve">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-9.78 [-10.68, -5.54]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before="120" w:line="36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Rate in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 at which refractory cells become target cells again (𝜌)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5.27 [4.63, 6.00]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before="120" w:line="36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Infected cell clearance rate in days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 (</w:t>
            </w:r>
            <m:oMath>
              <m:r>
                <m:t>δ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0.48 [0.28, 1.02]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before="120" w:line="36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Virus production rate 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021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Copies/ mL in days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05050"/>
                <w:sz w:val="24"/>
                <w:szCs w:val="24"/>
                <w:rtl w:val="0"/>
              </w:rPr>
              <w:t xml:space="preserve">𝜋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69.39 [55.75, 78.63]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before="120" w:line="360" w:lineRule="auto"/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Maximum antiviral efficacy (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color w:val="202122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color w:val="202122"/>
                      <w:sz w:val="24"/>
                      <w:szCs w:val="24"/>
                    </w:rPr>
                    <m:t xml:space="preserve">ϵ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color w:val="202122"/>
                      <w:sz w:val="24"/>
                      <w:szCs w:val="24"/>
                    </w:rPr>
                    <m:t xml:space="preserve">max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202122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0.91 [0.91, 0.92]</w:t>
            </w:r>
          </w:p>
        </w:tc>
      </w:tr>
    </w:tbl>
    <w:p w:rsidR="00000000" w:rsidDel="00000000" w:rsidP="00000000" w:rsidRDefault="00000000" w:rsidRPr="00000000" w14:paraId="00000011">
      <w:pPr>
        <w:spacing w:after="200" w:before="200" w:line="360" w:lineRule="auto"/>
        <w:rPr>
          <w:rFonts w:ascii="Times New Roman" w:cs="Times New Roman" w:eastAsia="Times New Roman" w:hAnsi="Times New Roman"/>
          <w:b w:val="1"/>
          <w:color w:val="2021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perpile.com/c/R88YH4/MRaJ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