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spacing w:after="0" w:before="120" w:line="360" w:lineRule="auto"/>
        <w:rPr/>
      </w:pPr>
      <w:bookmarkStart w:colFirst="0" w:colLast="0" w:name="_ih8m8ccpnmd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rtl w:val="0"/>
        </w:rPr>
        <w:t xml:space="preserve">Supplementary File 2. Population-wide parameter estimates for the within-host model.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The table provides population-wide fixed and random effects estimates for the viral dynamic parameters, whereas Supplementary File 1 provides the estimated median and variation across individuals for each parameter. The values assume that antiviral efficacy follows a logit-normal distribution and all other parameters follow log normal distributions*. Values in parentheses are relative standard errors (RSE) as a percent. </w:t>
      </w:r>
      <w:r w:rsidDel="00000000" w:rsidR="00000000" w:rsidRPr="00000000">
        <w:rPr>
          <w:rtl w:val="0"/>
        </w:rPr>
      </w:r>
    </w:p>
    <w:tbl>
      <w:tblPr>
        <w:tblStyle w:val="Table1"/>
        <w:tblW w:w="10840.0" w:type="dxa"/>
        <w:jc w:val="left"/>
        <w:tblInd w:w="-30.0" w:type="dxa"/>
        <w:tblLayout w:type="fixed"/>
        <w:tblLook w:val="0400"/>
      </w:tblPr>
      <w:tblGrid>
        <w:gridCol w:w="4700"/>
        <w:gridCol w:w="1860"/>
        <w:gridCol w:w="1860"/>
        <w:gridCol w:w="1600"/>
        <w:gridCol w:w="820"/>
        <w:tblGridChange w:id="0">
          <w:tblGrid>
            <w:gridCol w:w="4700"/>
            <w:gridCol w:w="1860"/>
            <w:gridCol w:w="1860"/>
            <w:gridCol w:w="1600"/>
            <w:gridCol w:w="8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  <w:rtl w:val="0"/>
              </w:rPr>
              <w:t xml:space="preserve">Fixed effect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  <w:rtl w:val="0"/>
              </w:rPr>
              <w:t xml:space="preserve">Random effect SD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Cell infection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in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mL/Copies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m:oMath>
              <m:r>
                <w:rPr>
                  <w:rFonts w:ascii="Times New Roman" w:cs="Times New Roman" w:eastAsia="Times New Roman" w:hAnsi="Times New Roman"/>
                  <w:color w:val="202122"/>
                  <w:sz w:val="24"/>
                  <w:szCs w:val="24"/>
                  <w:shd w:fill="f8f9fa" w:val="clear"/>
                </w:rPr>
                <m:t xml:space="preserve">β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17.26 (12)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 (29)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Rate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rtl w:val="0"/>
              </w:rPr>
              <w:t xml:space="preserve">log10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for the interferon-induced conversion of target cells to refractory cells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4"/>
                <w:szCs w:val="24"/>
                <w:highlight w:val="white"/>
                <w:rtl w:val="0"/>
              </w:rPr>
              <w:t xml:space="preserve">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-9.37 (110)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 (17)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Rate in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at which refractory cells become target cells again (𝜌)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5.24 (28)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 (86)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Infected cell clearance rate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m:oMath>
              <m:r>
                <m:t>δ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 (7)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Virus production rate 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Copies/ mL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4"/>
                <w:szCs w:val="24"/>
                <w:rtl w:val="0"/>
              </w:rPr>
              <w:t xml:space="preserve">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68.58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 (26)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before="12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Maximum antiviral efficacy (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  <m:t xml:space="preserve">ϵ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  <m:t xml:space="preserve">max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0.91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 (43)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00" w:line="240" w:lineRule="auto"/>
        <w:ind w:right="720"/>
        <w:rPr>
          <w:rFonts w:ascii="Times New Roman" w:cs="Times New Roman" w:eastAsia="Times New Roman" w:hAnsi="Times New Roman"/>
          <w:b w:val="1"/>
          <w:color w:val="2021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The estimation model is of the form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Y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(t)=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log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10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V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(t,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))+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e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(t)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, where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Y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(t)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is the measured viral load of patient </w:t>
      </w:r>
      <m:oMath>
        <m:r>
          <w:rPr>
            <w:rFonts w:ascii="Times New Roman" w:cs="Times New Roman" w:eastAsia="Times New Roman" w:hAnsi="Times New Roman"/>
            <w:color w:val="202122"/>
          </w:rPr>
          <m:t xml:space="preserve">i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at time </w:t>
      </w:r>
      <m:oMath>
        <m:r>
          <w:rPr>
            <w:rFonts w:ascii="Times New Roman" w:cs="Times New Roman" w:eastAsia="Times New Roman" w:hAnsi="Times New Roman"/>
            <w:color w:val="202122"/>
          </w:rPr>
          <m:t xml:space="preserve">t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,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V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(t,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is the actual viral load given viral dynamic parameters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for patient </w:t>
      </w:r>
      <m:oMath>
        <m:r>
          <w:rPr>
            <w:rFonts w:ascii="Times New Roman" w:cs="Times New Roman" w:eastAsia="Times New Roman" w:hAnsi="Times New Roman"/>
            <w:color w:val="202122"/>
          </w:rPr>
          <m:t xml:space="preserve">i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, and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e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(t)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is the residual term. For parameters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following a log-normal distribution or logit-normal distribution,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=</m:t>
        </m:r>
        <m:r>
          <w:rPr>
            <w:rFonts w:ascii="Times New Roman" w:cs="Times New Roman" w:eastAsia="Times New Roman" w:hAnsi="Times New Roman"/>
            <w:color w:val="202122"/>
          </w:rPr>
          <m:t>γ</m:t>
        </m:r>
        <m:r>
          <w:rPr>
            <w:rFonts w:ascii="Times New Roman" w:cs="Times New Roman" w:eastAsia="Times New Roman" w:hAnsi="Times New Roman"/>
            <w:color w:val="202122"/>
          </w:rPr>
          <m:t>×</m:t>
        </m:r>
        <m:sSup>
          <m:sSup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e</m:t>
            </m:r>
          </m:e>
          <m:sup>
            <m:sSub>
              <m:sSubPr>
                <m:ctrlPr>
                  <w:rPr>
                    <w:rFonts w:ascii="Times New Roman" w:cs="Times New Roman" w:eastAsia="Times New Roman" w:hAnsi="Times New Roman"/>
                    <w:color w:val="202122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color w:val="202122"/>
                  </w:rPr>
                  <m:t>η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color w:val="202122"/>
                  </w:rPr>
                  <m:t xml:space="preserve">i</m:t>
                </m:r>
              </m:sub>
            </m:sSub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or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 xml:space="preserve">logit(</m:t>
            </m:r>
            <m:r>
              <w:rPr>
                <w:rFonts w:ascii="Times New Roman" w:cs="Times New Roman" w:eastAsia="Times New Roman" w:hAnsi="Times New Roman"/>
                <w:color w:val="202122"/>
              </w:rPr>
              <m:t>ψ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  <m:r>
          <w:rPr>
            <w:rFonts w:ascii="Times New Roman" w:cs="Times New Roman" w:eastAsia="Times New Roman" w:hAnsi="Times New Roman"/>
            <w:color w:val="202122"/>
          </w:rPr>
          <m:t xml:space="preserve">)=logit(</m:t>
        </m:r>
        <m:r>
          <w:rPr>
            <w:rFonts w:ascii="Times New Roman" w:cs="Times New Roman" w:eastAsia="Times New Roman" w:hAnsi="Times New Roman"/>
            <w:color w:val="202122"/>
          </w:rPr>
          <m:t>γ</m:t>
        </m:r>
        <m:r>
          <w:rPr>
            <w:rFonts w:ascii="Times New Roman" w:cs="Times New Roman" w:eastAsia="Times New Roman" w:hAnsi="Times New Roman"/>
            <w:color w:val="202122"/>
          </w:rPr>
          <m:t xml:space="preserve">)+</m:t>
        </m:r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color w:val="202122"/>
              </w:rPr>
              <m:t>η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, respectively, where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are fixed effects and </w:t>
      </w:r>
      <m:oMath>
        <m:sSub>
          <m:sSubPr>
            <m:ctrlPr>
              <w:rPr>
                <w:rFonts w:ascii="Times New Roman" w:cs="Times New Roman" w:eastAsia="Times New Roman" w:hAnsi="Times New Roman"/>
                <w:color w:val="202122"/>
              </w:rPr>
            </m:ctrlPr>
          </m:sSubPr>
          <m:e>
            <m:r>
              <m:t>η</m:t>
            </m:r>
          </m:e>
          <m:sub>
            <m:r>
              <w:rPr>
                <w:rFonts w:ascii="Times New Roman" w:cs="Times New Roman" w:eastAsia="Times New Roman" w:hAnsi="Times New Roman"/>
                <w:color w:val="202122"/>
              </w:rPr>
              <m:t xml:space="preserve">i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color w:val="202122"/>
          <w:rtl w:val="0"/>
        </w:rPr>
        <w:t xml:space="preserve"> are random effects.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