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1447" w14:textId="03656D51" w:rsidR="002C1BF5" w:rsidRPr="0025740C" w:rsidRDefault="002C1BF5" w:rsidP="00867C68">
      <w:pPr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Y="2667"/>
        <w:tblW w:w="9355" w:type="dxa"/>
        <w:tblLayout w:type="fixed"/>
        <w:tblLook w:val="04A0" w:firstRow="1" w:lastRow="0" w:firstColumn="1" w:lastColumn="0" w:noHBand="0" w:noVBand="1"/>
      </w:tblPr>
      <w:tblGrid>
        <w:gridCol w:w="3145"/>
        <w:gridCol w:w="1035"/>
        <w:gridCol w:w="1035"/>
        <w:gridCol w:w="1035"/>
        <w:gridCol w:w="1035"/>
        <w:gridCol w:w="1035"/>
        <w:gridCol w:w="1035"/>
      </w:tblGrid>
      <w:tr w:rsidR="002C1BF5" w:rsidRPr="0025740C" w14:paraId="626F43BD" w14:textId="77777777" w:rsidTr="00AB2DE4">
        <w:trPr>
          <w:trHeight w:val="32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5E7F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Cluster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19CF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Day 0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F4B7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Day 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D425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Day 10</w:t>
            </w:r>
          </w:p>
        </w:tc>
      </w:tr>
      <w:tr w:rsidR="002C1BF5" w:rsidRPr="0025740C" w14:paraId="01C96225" w14:textId="77777777" w:rsidTr="00AB2DE4">
        <w:trPr>
          <w:trHeight w:val="320"/>
        </w:trPr>
        <w:tc>
          <w:tcPr>
            <w:tcW w:w="314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86A19E" w14:textId="77777777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32330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#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99946B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%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DFBE9C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#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A05CAE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%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1082A4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#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7071C4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%</w:t>
            </w:r>
          </w:p>
        </w:tc>
      </w:tr>
      <w:tr w:rsidR="002C1BF5" w:rsidRPr="0025740C" w14:paraId="39B0F9F7" w14:textId="77777777" w:rsidTr="00AB2DE4">
        <w:trPr>
          <w:trHeight w:val="320"/>
        </w:trPr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E0B6" w14:textId="710F463D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 Macrophage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7398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1490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7805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19.9%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1D94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2382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6E5E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31.6%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B715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536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7D8A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5.2%</w:t>
            </w:r>
          </w:p>
        </w:tc>
      </w:tr>
      <w:tr w:rsidR="002C1BF5" w:rsidRPr="0025740C" w14:paraId="374DF48B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5572429C" w14:textId="7206938F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 Chondrocyte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1B723843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346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7E510CD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4.6%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79C22D42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443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294F444C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5.9%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0FBF33F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3282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CAF9759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31.6%</w:t>
            </w:r>
          </w:p>
        </w:tc>
      </w:tr>
      <w:tr w:rsidR="002C1BF5" w:rsidRPr="0025740C" w14:paraId="721056AB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44AB4FB6" w14:textId="488B4ABA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2 Mesenchymal progenitor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7B1DE370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1886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4AB3639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25.2%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774C1054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1082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C1B6EBC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14.4%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37404D5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1008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14EA0D63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9.7%</w:t>
            </w:r>
          </w:p>
        </w:tc>
      </w:tr>
      <w:tr w:rsidR="002C1BF5" w:rsidRPr="0025740C" w14:paraId="2B9E5D2E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77D9D7CD" w14:textId="0157C978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 Early osteoblast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7B38D312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886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E0666A1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11.8%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69C0986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751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B264E1F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10.0%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578FB914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1785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FBC087C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17.2%</w:t>
            </w:r>
          </w:p>
        </w:tc>
      </w:tr>
      <w:tr w:rsidR="002C1BF5" w:rsidRPr="0025740C" w14:paraId="755C72A0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75698945" w14:textId="22BEA4C7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 Synovial fibroblast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CC41AEB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1435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A499724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19.1%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4381DF7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463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7E2570F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6.1%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7132BB7B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24F4024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0.0%</w:t>
            </w:r>
          </w:p>
        </w:tc>
      </w:tr>
      <w:tr w:rsidR="002C1BF5" w:rsidRPr="0025740C" w14:paraId="000C6A98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76A66440" w14:textId="3EE84E43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5 Granulocyte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860DC77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6F6ACC0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1.2%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204E34B1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522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73483633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6.9%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45442CE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639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1F93B17A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6.1%</w:t>
            </w:r>
          </w:p>
        </w:tc>
      </w:tr>
      <w:tr w:rsidR="002C1BF5" w:rsidRPr="0025740C" w14:paraId="4B459A54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7761F174" w14:textId="31AFC369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6 Osteoclast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378DDBD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EDF60D2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1.9%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A9224DD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789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39D248E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10.5%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E900F23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243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7A18A5B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2.3%</w:t>
            </w:r>
          </w:p>
        </w:tc>
      </w:tr>
      <w:tr w:rsidR="002C1BF5" w:rsidRPr="0025740C" w14:paraId="4CB90168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483E571D" w14:textId="06C42CA8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7 Hypertrophic chondrocyte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1AA0E222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290FE9BA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0.4%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28640F6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537706A4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4.0%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14:paraId="1846A34A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917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8F2FBF6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8.8%</w:t>
            </w:r>
          </w:p>
        </w:tc>
      </w:tr>
      <w:tr w:rsidR="002C1BF5" w:rsidRPr="0025740C" w14:paraId="2FB71C5F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7077C1FA" w14:textId="77777777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8 EC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D5993CC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289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087DC3E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3.9%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718F5E9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39EDF1C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2.9%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0E20B7D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ADF9DD7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6.0%</w:t>
            </w:r>
          </w:p>
        </w:tc>
      </w:tr>
      <w:tr w:rsidR="002C1BF5" w:rsidRPr="0025740C" w14:paraId="7096CC26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1EC82522" w14:textId="2EF1CBA6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9 Mesenchymal progenitor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7F453ACD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1DEDC62F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0.4%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5D8A85B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341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23BF7624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4.5%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323F6B5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423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15BC3701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4.1%</w:t>
            </w:r>
          </w:p>
        </w:tc>
      </w:tr>
      <w:tr w:rsidR="002C1BF5" w:rsidRPr="0025740C" w14:paraId="7D0406A3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6422B3C8" w14:textId="77777777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10 SMC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2257E1BD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366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207BE096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4.9%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B639490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6472963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0.7%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30B82F9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5BAC5349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1.7%</w:t>
            </w:r>
          </w:p>
        </w:tc>
      </w:tr>
      <w:tr w:rsidR="002C1BF5" w:rsidRPr="0025740C" w14:paraId="6B5F9E2C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1E7F835E" w14:textId="716458CE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11 Osteoblast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1CDF7335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3538BB9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0.4%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77241F61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FD4D103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0.9%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26334D5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714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12EEB9EE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6.9%</w:t>
            </w:r>
          </w:p>
        </w:tc>
      </w:tr>
      <w:tr w:rsidR="002C1BF5" w:rsidRPr="0025740C" w14:paraId="04FF530A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4E43FF76" w14:textId="263F9C85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12 Tenocyte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21AC26EA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45D98B3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1.7%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75B805FB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2FCA7129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0.6%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463F8DB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A4E9D90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0.0%</w:t>
            </w:r>
          </w:p>
        </w:tc>
      </w:tr>
      <w:tr w:rsidR="002C1BF5" w:rsidRPr="0025740C" w14:paraId="65E3F18C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5221632D" w14:textId="64A1978B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13 Schwann cell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5E68631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57B705A1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3.0%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235FC6AF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2C55EF35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0.2%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77C6909A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17A667AC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0.3%</w:t>
            </w:r>
          </w:p>
        </w:tc>
      </w:tr>
      <w:tr w:rsidR="002C1BF5" w:rsidRPr="0025740C" w14:paraId="74706413" w14:textId="77777777" w:rsidTr="00AB2DE4">
        <w:trPr>
          <w:trHeight w:val="32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74B66D4F" w14:textId="77777777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14 Muscle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158C6DA8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757868B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1.5%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3D16B66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1411E6EC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0.6%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DD4AE6D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33343209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0.1%</w:t>
            </w:r>
          </w:p>
        </w:tc>
      </w:tr>
      <w:tr w:rsidR="002C1BF5" w:rsidRPr="0025740C" w14:paraId="0ED52E64" w14:textId="77777777" w:rsidTr="00AB2DE4">
        <w:trPr>
          <w:trHeight w:val="320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20D2" w14:textId="0D1E7600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15 Red blood cell</w:t>
            </w:r>
            <w:r w:rsidR="00856219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CBC4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EFE0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0.1%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3DC5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566D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0.2%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85B7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8976" w14:textId="77777777" w:rsidR="002C1BF5" w:rsidRPr="0025740C" w:rsidRDefault="002C1BF5" w:rsidP="00AB2DE4">
            <w:pPr>
              <w:spacing w:line="48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0.0%</w:t>
            </w:r>
          </w:p>
        </w:tc>
      </w:tr>
    </w:tbl>
    <w:p w14:paraId="7069BD74" w14:textId="60560221" w:rsidR="00533485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FC792D" w:rsidRPr="00F8187C">
        <w:rPr>
          <w:b/>
          <w:bCs/>
          <w:color w:val="000000" w:themeColor="text1"/>
          <w:sz w:val="24"/>
          <w:szCs w:val="24"/>
        </w:rPr>
        <w:t>Supplementa</w:t>
      </w:r>
      <w:r w:rsidR="00D86EE0" w:rsidRPr="00F8187C">
        <w:rPr>
          <w:b/>
          <w:bCs/>
          <w:color w:val="000000" w:themeColor="text1"/>
          <w:sz w:val="24"/>
          <w:szCs w:val="24"/>
        </w:rPr>
        <w:t>ry</w:t>
      </w:r>
      <w:r w:rsidR="00FC792D" w:rsidRPr="00F8187C">
        <w:rPr>
          <w:b/>
          <w:bCs/>
          <w:color w:val="000000" w:themeColor="text1"/>
          <w:sz w:val="24"/>
          <w:szCs w:val="24"/>
        </w:rPr>
        <w:t xml:space="preserve"> </w:t>
      </w:r>
      <w:r w:rsidR="00C31D02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File</w:t>
      </w:r>
      <w:r w:rsidRPr="00F8187C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FC792D" w:rsidRPr="00F8187C">
        <w:rPr>
          <w:b/>
          <w:bCs/>
          <w:color w:val="000000" w:themeColor="text1"/>
          <w:sz w:val="24"/>
          <w:szCs w:val="24"/>
        </w:rPr>
        <w:t>1</w:t>
      </w:r>
      <w:r w:rsidR="00C31D02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a</w:t>
      </w:r>
      <w:r w:rsidR="00867C68">
        <w:rPr>
          <w:color w:val="000000" w:themeColor="text1"/>
          <w:sz w:val="24"/>
          <w:szCs w:val="24"/>
        </w:rPr>
        <w:t xml:space="preserve">. </w:t>
      </w:r>
      <w:r w:rsidR="00867C68" w:rsidRPr="0025740C">
        <w:rPr>
          <w:color w:val="000000" w:themeColor="text1"/>
          <w:sz w:val="24"/>
          <w:szCs w:val="24"/>
        </w:rPr>
        <w:t xml:space="preserve">Cell numbers and percentages are listed for cell clusters </w:t>
      </w:r>
      <w:r w:rsidR="000E1584">
        <w:rPr>
          <w:color w:val="000000" w:themeColor="text1"/>
          <w:sz w:val="24"/>
          <w:szCs w:val="24"/>
        </w:rPr>
        <w:t>at day 0 before fracture or day 5 and 10 after fracture</w:t>
      </w:r>
      <w:r w:rsidR="00867C68" w:rsidRPr="0025740C">
        <w:rPr>
          <w:color w:val="000000" w:themeColor="text1"/>
          <w:sz w:val="24"/>
          <w:szCs w:val="24"/>
        </w:rPr>
        <w:t>.</w:t>
      </w:r>
    </w:p>
    <w:p w14:paraId="2361607C" w14:textId="02429FC4" w:rsidR="002C1BF5" w:rsidRPr="0025740C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</w:p>
    <w:p w14:paraId="69BF4AB0" w14:textId="77777777" w:rsidR="002C1BF5" w:rsidRPr="0025740C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  <w:r w:rsidRPr="0025740C">
        <w:rPr>
          <w:color w:val="000000" w:themeColor="text1"/>
          <w:sz w:val="24"/>
          <w:szCs w:val="24"/>
        </w:rPr>
        <w:br w:type="page"/>
      </w:r>
    </w:p>
    <w:p w14:paraId="6AA13360" w14:textId="6240ACCF" w:rsidR="002C1BF5" w:rsidRPr="0025740C" w:rsidRDefault="00FC792D" w:rsidP="002C1BF5">
      <w:pPr>
        <w:spacing w:line="480" w:lineRule="auto"/>
        <w:rPr>
          <w:color w:val="000000" w:themeColor="text1"/>
          <w:sz w:val="24"/>
          <w:szCs w:val="24"/>
        </w:rPr>
      </w:pPr>
      <w:r w:rsidRPr="00F8187C">
        <w:rPr>
          <w:b/>
          <w:bCs/>
          <w:color w:val="000000" w:themeColor="text1"/>
          <w:sz w:val="24"/>
          <w:szCs w:val="24"/>
        </w:rPr>
        <w:lastRenderedPageBreak/>
        <w:t>Supplementa</w:t>
      </w:r>
      <w:r w:rsidR="00D86EE0" w:rsidRPr="00F8187C">
        <w:rPr>
          <w:b/>
          <w:bCs/>
          <w:color w:val="000000" w:themeColor="text1"/>
          <w:sz w:val="24"/>
          <w:szCs w:val="24"/>
        </w:rPr>
        <w:t>ry</w:t>
      </w:r>
      <w:r w:rsidRPr="00F8187C">
        <w:rPr>
          <w:b/>
          <w:bCs/>
          <w:color w:val="000000" w:themeColor="text1"/>
          <w:sz w:val="24"/>
          <w:szCs w:val="24"/>
        </w:rPr>
        <w:t xml:space="preserve"> </w:t>
      </w:r>
      <w:r w:rsidR="00C31D02">
        <w:rPr>
          <w:b/>
          <w:bCs/>
          <w:color w:val="000000" w:themeColor="text1"/>
          <w:sz w:val="24"/>
          <w:szCs w:val="24"/>
          <w:lang w:eastAsia="zh-CN"/>
        </w:rPr>
        <w:t xml:space="preserve">File </w:t>
      </w:r>
      <w:r w:rsidR="00C31D02">
        <w:rPr>
          <w:b/>
          <w:bCs/>
          <w:color w:val="000000" w:themeColor="text1"/>
          <w:sz w:val="24"/>
          <w:szCs w:val="24"/>
        </w:rPr>
        <w:t>1</w:t>
      </w:r>
      <w:r w:rsidR="00C31D02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b</w:t>
      </w:r>
      <w:r w:rsidR="002C1BF5" w:rsidRPr="0025740C">
        <w:rPr>
          <w:color w:val="000000" w:themeColor="text1"/>
          <w:sz w:val="24"/>
          <w:szCs w:val="24"/>
        </w:rPr>
        <w:t>. Cell numbers and percentages are listed for cell clusters of periosteal mesenchymal lineage cells</w:t>
      </w:r>
      <w:r w:rsidR="00B555E2">
        <w:rPr>
          <w:color w:val="000000" w:themeColor="text1"/>
          <w:sz w:val="24"/>
          <w:szCs w:val="24"/>
        </w:rPr>
        <w:t xml:space="preserve"> at day 0 before fracture or day 5 and 10 after fracture</w:t>
      </w:r>
      <w:r w:rsidR="00B555E2" w:rsidRPr="0025740C">
        <w:rPr>
          <w:color w:val="000000" w:themeColor="text1"/>
          <w:sz w:val="24"/>
          <w:szCs w:val="24"/>
        </w:rPr>
        <w:t>.</w:t>
      </w:r>
    </w:p>
    <w:tbl>
      <w:tblPr>
        <w:tblpPr w:leftFromText="180" w:rightFromText="180" w:vertAnchor="page" w:horzAnchor="margin" w:tblpXSpec="center" w:tblpY="2622"/>
        <w:tblW w:w="8815" w:type="dxa"/>
        <w:tblLayout w:type="fixed"/>
        <w:tblLook w:val="04A0" w:firstRow="1" w:lastRow="0" w:firstColumn="1" w:lastColumn="0" w:noHBand="0" w:noVBand="1"/>
      </w:tblPr>
      <w:tblGrid>
        <w:gridCol w:w="985"/>
        <w:gridCol w:w="1305"/>
        <w:gridCol w:w="1305"/>
        <w:gridCol w:w="1305"/>
        <w:gridCol w:w="1305"/>
        <w:gridCol w:w="1305"/>
        <w:gridCol w:w="1305"/>
      </w:tblGrid>
      <w:tr w:rsidR="002C1BF5" w:rsidRPr="0025740C" w14:paraId="62FF23C3" w14:textId="77777777" w:rsidTr="00AB2DE4">
        <w:trPr>
          <w:trHeight w:val="320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EA3A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Cluster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92AE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Day 0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EE5D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Day 5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0E66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Day 10</w:t>
            </w:r>
          </w:p>
        </w:tc>
      </w:tr>
      <w:tr w:rsidR="002C1BF5" w:rsidRPr="0025740C" w14:paraId="03E09B9B" w14:textId="77777777" w:rsidTr="00AB2DE4">
        <w:trPr>
          <w:trHeight w:val="320"/>
        </w:trPr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0BDF55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83A481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#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AE6F8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%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B868B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#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B56327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%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9B526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#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972E86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Cell %</w:t>
            </w:r>
          </w:p>
        </w:tc>
      </w:tr>
      <w:tr w:rsidR="002C1BF5" w:rsidRPr="0025740C" w14:paraId="6330A220" w14:textId="77777777" w:rsidTr="00AB2DE4">
        <w:trPr>
          <w:trHeight w:val="320"/>
        </w:trPr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4360" w14:textId="77777777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MPC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B14F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1775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1212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56.5%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055E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650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D644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25.8%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D6DA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260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5578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3.5%</w:t>
            </w:r>
          </w:p>
        </w:tc>
      </w:tr>
      <w:tr w:rsidR="002C1BF5" w:rsidRPr="0025740C" w14:paraId="7CDAF07B" w14:textId="77777777" w:rsidTr="00AB2DE4">
        <w:trPr>
          <w:trHeight w:val="320"/>
        </w:trPr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BC8950B" w14:textId="77777777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PPC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90AA4A8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575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85B9CD1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18.3%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1D9BEB53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1235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19F8A20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48.9%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0829F3A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1478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E23575B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20.0%</w:t>
            </w:r>
          </w:p>
        </w:tc>
      </w:tr>
      <w:tr w:rsidR="002C1BF5" w:rsidRPr="0025740C" w14:paraId="327AF553" w14:textId="77777777" w:rsidTr="00AB2DE4">
        <w:trPr>
          <w:trHeight w:val="320"/>
        </w:trPr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648A840" w14:textId="77777777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EOB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C6B8BF8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618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4E59884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19.7%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1718B741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320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A3AEE0A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12.7%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1CABCAB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473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9B4A717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6.4%</w:t>
            </w:r>
          </w:p>
        </w:tc>
      </w:tr>
      <w:tr w:rsidR="002C1BF5" w:rsidRPr="0025740C" w14:paraId="0B41F9ED" w14:textId="77777777" w:rsidTr="00AB2DE4">
        <w:trPr>
          <w:trHeight w:val="320"/>
        </w:trPr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32222E12" w14:textId="77777777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OB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44E35DD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7754A82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2.8%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9B8344B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116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ABAFDA3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4.6%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2A10844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1225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6C6FF6E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16.6%</w:t>
            </w:r>
          </w:p>
        </w:tc>
      </w:tr>
      <w:tr w:rsidR="002C1BF5" w:rsidRPr="0025740C" w14:paraId="645F3DC7" w14:textId="77777777" w:rsidTr="00AB2DE4">
        <w:trPr>
          <w:trHeight w:val="320"/>
        </w:trPr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D1DC034" w14:textId="77777777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CH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9637330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746F2A4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2.2%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7D787AB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179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27CA256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7.1%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26C706C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2421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5219509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32.8%</w:t>
            </w:r>
          </w:p>
        </w:tc>
      </w:tr>
      <w:tr w:rsidR="002C1BF5" w:rsidRPr="0025740C" w14:paraId="4FD07905" w14:textId="77777777" w:rsidTr="00AB2DE4">
        <w:trPr>
          <w:trHeight w:val="320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EE62" w14:textId="77777777" w:rsidR="002C1BF5" w:rsidRPr="0025740C" w:rsidRDefault="002C1BF5" w:rsidP="00AB2DE4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rFonts w:eastAsia="Times New Roman"/>
                <w:color w:val="000000" w:themeColor="text1"/>
                <w:sz w:val="24"/>
                <w:szCs w:val="24"/>
              </w:rPr>
              <w:t>HCH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FF70" w14:textId="77777777" w:rsidR="002C1BF5" w:rsidRPr="0025740C" w:rsidRDefault="002C1BF5" w:rsidP="00AB2DE4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63BA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0.5%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89BF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408C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1.0%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24BD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1516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0D06" w14:textId="77777777" w:rsidR="002C1BF5" w:rsidRPr="0025740C" w:rsidRDefault="002C1BF5" w:rsidP="00AB2DE4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25740C">
              <w:rPr>
                <w:color w:val="000000" w:themeColor="text1"/>
                <w:sz w:val="24"/>
                <w:szCs w:val="24"/>
                <w:lang w:eastAsia="zh-CN"/>
              </w:rPr>
              <w:t>20.6%</w:t>
            </w:r>
          </w:p>
        </w:tc>
      </w:tr>
    </w:tbl>
    <w:p w14:paraId="0BBF867E" w14:textId="77777777" w:rsidR="002C1BF5" w:rsidRPr="0025740C" w:rsidRDefault="002C1BF5" w:rsidP="002C1BF5">
      <w:pPr>
        <w:pStyle w:val="Paragraph"/>
        <w:spacing w:line="480" w:lineRule="auto"/>
        <w:ind w:firstLine="0"/>
        <w:rPr>
          <w:color w:val="000000" w:themeColor="text1"/>
        </w:rPr>
      </w:pPr>
    </w:p>
    <w:p w14:paraId="4D9742CD" w14:textId="77777777" w:rsidR="002C1BF5" w:rsidRPr="0025740C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  <w:r w:rsidRPr="0025740C">
        <w:rPr>
          <w:color w:val="000000" w:themeColor="text1"/>
          <w:sz w:val="24"/>
          <w:szCs w:val="24"/>
        </w:rPr>
        <w:br w:type="page"/>
      </w:r>
    </w:p>
    <w:p w14:paraId="3EEA80B3" w14:textId="62428F01" w:rsidR="002C1BF5" w:rsidRPr="0025740C" w:rsidRDefault="00FC792D" w:rsidP="002C1BF5">
      <w:pPr>
        <w:spacing w:line="480" w:lineRule="auto"/>
        <w:rPr>
          <w:color w:val="000000" w:themeColor="text1"/>
          <w:sz w:val="24"/>
          <w:szCs w:val="24"/>
        </w:rPr>
      </w:pPr>
      <w:r w:rsidRPr="00F8187C">
        <w:rPr>
          <w:b/>
          <w:bCs/>
          <w:color w:val="000000" w:themeColor="text1"/>
          <w:sz w:val="24"/>
          <w:szCs w:val="24"/>
        </w:rPr>
        <w:lastRenderedPageBreak/>
        <w:t>Supplementa</w:t>
      </w:r>
      <w:r w:rsidR="00D86EE0" w:rsidRPr="00F8187C">
        <w:rPr>
          <w:b/>
          <w:bCs/>
          <w:color w:val="000000" w:themeColor="text1"/>
          <w:sz w:val="24"/>
          <w:szCs w:val="24"/>
        </w:rPr>
        <w:t>ry</w:t>
      </w:r>
      <w:r w:rsidRPr="00F8187C">
        <w:rPr>
          <w:b/>
          <w:bCs/>
          <w:color w:val="000000" w:themeColor="text1"/>
          <w:sz w:val="24"/>
          <w:szCs w:val="24"/>
        </w:rPr>
        <w:t xml:space="preserve"> </w:t>
      </w:r>
      <w:r w:rsidR="002B0636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File</w:t>
      </w:r>
      <w:r w:rsidR="002B0636">
        <w:rPr>
          <w:b/>
          <w:bCs/>
          <w:color w:val="000000" w:themeColor="text1"/>
          <w:sz w:val="24"/>
          <w:szCs w:val="24"/>
          <w:lang w:eastAsia="zh-CN"/>
        </w:rPr>
        <w:t xml:space="preserve"> 1</w:t>
      </w:r>
      <w:r w:rsidR="002B0636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c</w:t>
      </w:r>
      <w:r w:rsidR="002C1BF5" w:rsidRPr="0025740C">
        <w:rPr>
          <w:color w:val="000000" w:themeColor="text1"/>
          <w:sz w:val="24"/>
          <w:szCs w:val="24"/>
        </w:rPr>
        <w:t xml:space="preserve">. Mouse real time RT-PCR primer sequences used in this study </w:t>
      </w:r>
    </w:p>
    <w:p w14:paraId="45581EC8" w14:textId="77777777" w:rsidR="002C1BF5" w:rsidRPr="0025740C" w:rsidRDefault="002C1BF5" w:rsidP="002C1BF5">
      <w:pPr>
        <w:widowControl w:val="0"/>
        <w:spacing w:line="480" w:lineRule="auto"/>
        <w:rPr>
          <w:color w:val="000000" w:themeColor="text1"/>
          <w:sz w:val="24"/>
          <w:szCs w:val="24"/>
        </w:rPr>
      </w:pPr>
    </w:p>
    <w:tbl>
      <w:tblPr>
        <w:tblStyle w:val="TableGrid"/>
        <w:tblW w:w="9568" w:type="dxa"/>
        <w:tblInd w:w="-34" w:type="dxa"/>
        <w:tblBorders>
          <w:left w:val="none" w:sz="0" w:space="0" w:color="auto"/>
          <w:right w:val="single" w:sz="4" w:space="0" w:color="FFFFFF" w:themeColor="background1"/>
          <w:insideH w:val="none" w:sz="0" w:space="0" w:color="auto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4127"/>
        <w:gridCol w:w="4323"/>
      </w:tblGrid>
      <w:tr w:rsidR="002C1BF5" w:rsidRPr="0025740C" w14:paraId="34001892" w14:textId="77777777" w:rsidTr="00AB2DE4">
        <w:trPr>
          <w:trHeight w:val="20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A1AAA2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Gene</w:t>
            </w: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1BE9BC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Forward primer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E2A5D2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Reverse primer</w:t>
            </w:r>
          </w:p>
        </w:tc>
      </w:tr>
      <w:tr w:rsidR="002C1BF5" w:rsidRPr="0025740C" w14:paraId="074FA10E" w14:textId="77777777" w:rsidTr="00AB2DE4">
        <w:trPr>
          <w:trHeight w:val="20"/>
        </w:trPr>
        <w:tc>
          <w:tcPr>
            <w:tcW w:w="1118" w:type="dxa"/>
            <w:noWrap/>
          </w:tcPr>
          <w:p w14:paraId="02BB641F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Cd34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CACE3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 CTGGGTAGCTCTCTGCCTGAT</w:t>
            </w:r>
            <w:r w:rsidRPr="0025740C" w:rsidDel="005139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5740C">
              <w:rPr>
                <w:rFonts w:ascii="Times New Roman" w:hAnsi="Times New Roman" w:cs="Times New Roman"/>
                <w:color w:val="000000" w:themeColor="text1"/>
              </w:rPr>
              <w:t>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16014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 TGGTAGGAACTGATGGGGATATT-3’</w:t>
            </w:r>
          </w:p>
        </w:tc>
      </w:tr>
      <w:tr w:rsidR="002C1BF5" w:rsidRPr="0025740C" w14:paraId="15163D4C" w14:textId="77777777" w:rsidTr="00AB2DE4">
        <w:trPr>
          <w:trHeight w:val="20"/>
        </w:trPr>
        <w:tc>
          <w:tcPr>
            <w:tcW w:w="1118" w:type="dxa"/>
            <w:noWrap/>
          </w:tcPr>
          <w:p w14:paraId="14E25BFF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Ly6a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00B2B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5’-GAGTGGGAACTGGTAGTGTTG-3’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96009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5’-CGCACAGAGCGATGAAGGT-3’</w:t>
            </w:r>
          </w:p>
        </w:tc>
      </w:tr>
      <w:tr w:rsidR="002C1BF5" w:rsidRPr="0025740C" w14:paraId="64DC71B5" w14:textId="77777777" w:rsidTr="00AB2DE4">
        <w:trPr>
          <w:trHeight w:val="20"/>
        </w:trPr>
        <w:tc>
          <w:tcPr>
            <w:tcW w:w="1118" w:type="dxa"/>
            <w:noWrap/>
          </w:tcPr>
          <w:p w14:paraId="113A4230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Cd248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9DA0C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5’-CGAGCCTCCTACTTCCAGTG-3’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EB116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5’-GGACAGGTAGCGATCCAGGT-3’</w:t>
            </w:r>
          </w:p>
        </w:tc>
      </w:tr>
      <w:tr w:rsidR="002C1BF5" w:rsidRPr="0025740C" w14:paraId="78BC312D" w14:textId="77777777" w:rsidTr="00AB2DE4">
        <w:trPr>
          <w:trHeight w:val="20"/>
        </w:trPr>
        <w:tc>
          <w:tcPr>
            <w:tcW w:w="1118" w:type="dxa"/>
            <w:noWrap/>
          </w:tcPr>
          <w:p w14:paraId="78031FFE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Clec3b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F3B0D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5’-CTGAACCGCTTTGGCAAGAC-3’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92B3A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5’-GCCCTCTCTTATCGCCAGAT-3’</w:t>
            </w:r>
          </w:p>
        </w:tc>
      </w:tr>
      <w:tr w:rsidR="002C1BF5" w:rsidRPr="0025740C" w14:paraId="61A7499A" w14:textId="77777777" w:rsidTr="00AB2DE4">
        <w:trPr>
          <w:trHeight w:val="20"/>
        </w:trPr>
        <w:tc>
          <w:tcPr>
            <w:tcW w:w="1118" w:type="dxa"/>
            <w:noWrap/>
          </w:tcPr>
          <w:p w14:paraId="66B774C5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Acta2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79949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5’-GTCCCAGACATCAGGGAGTAA-3’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058B0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5’-TCGGATACTTCAGCGTCAGGA-3’</w:t>
            </w:r>
          </w:p>
        </w:tc>
      </w:tr>
      <w:tr w:rsidR="002C1BF5" w:rsidRPr="0025740C" w14:paraId="1F068AA8" w14:textId="77777777" w:rsidTr="00AB2DE4">
        <w:trPr>
          <w:trHeight w:val="20"/>
        </w:trPr>
        <w:tc>
          <w:tcPr>
            <w:tcW w:w="1118" w:type="dxa"/>
            <w:noWrap/>
          </w:tcPr>
          <w:p w14:paraId="69BF87D6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Tagln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B1659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5’-CAACAAGGGTCCATCCTACGG-3’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54CF7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5’-ATCTGGGCGGCCTACATCA-3’</w:t>
            </w:r>
          </w:p>
        </w:tc>
      </w:tr>
      <w:tr w:rsidR="002C1BF5" w:rsidRPr="0025740C" w14:paraId="22071D07" w14:textId="77777777" w:rsidTr="00AB2DE4">
        <w:trPr>
          <w:trHeight w:val="20"/>
        </w:trPr>
        <w:tc>
          <w:tcPr>
            <w:tcW w:w="1118" w:type="dxa"/>
            <w:noWrap/>
          </w:tcPr>
          <w:p w14:paraId="59020A39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Col2a1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F1994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5’-GGGAATGTCCTCTGCGATGAC-3’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519AE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5’-GAAGGGGATCTCGGGGTTG-3’</w:t>
            </w:r>
          </w:p>
        </w:tc>
      </w:tr>
      <w:tr w:rsidR="002C1BF5" w:rsidRPr="0025740C" w14:paraId="0F7B635B" w14:textId="77777777" w:rsidTr="00AB2DE4">
        <w:trPr>
          <w:trHeight w:val="20"/>
        </w:trPr>
        <w:tc>
          <w:tcPr>
            <w:tcW w:w="1118" w:type="dxa"/>
            <w:noWrap/>
          </w:tcPr>
          <w:p w14:paraId="05F14FEA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Acan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38A98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5’-CCTGCTACTTCATCGACCCC-3’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8A0BD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5’-AGATGCTGTTGACTCGAACCT-3’</w:t>
            </w:r>
          </w:p>
        </w:tc>
      </w:tr>
      <w:tr w:rsidR="002C1BF5" w:rsidRPr="0025740C" w14:paraId="1565DAD2" w14:textId="77777777" w:rsidTr="00AB2DE4">
        <w:trPr>
          <w:trHeight w:val="20"/>
        </w:trPr>
        <w:tc>
          <w:tcPr>
            <w:tcW w:w="1118" w:type="dxa"/>
            <w:noWrap/>
          </w:tcPr>
          <w:p w14:paraId="0B9F54BB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Sox9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24606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5’-GAGCCGGATCTGAAGAGGGA-3’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547F1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5’-GCTTGACGTGTGGCTTGTTC-3’</w:t>
            </w:r>
          </w:p>
        </w:tc>
      </w:tr>
      <w:tr w:rsidR="002C1BF5" w:rsidRPr="0025740C" w14:paraId="5C3CD0D5" w14:textId="77777777" w:rsidTr="00AB2DE4">
        <w:trPr>
          <w:trHeight w:val="20"/>
        </w:trPr>
        <w:tc>
          <w:tcPr>
            <w:tcW w:w="1118" w:type="dxa"/>
            <w:noWrap/>
          </w:tcPr>
          <w:p w14:paraId="7F885DE9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Bglap2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7B99E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5’-CTCTGTCTCTCTGACCTCAC-3’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8B38C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5’-AGTCCTCTTAATCCTCGTGGG-3’</w:t>
            </w:r>
          </w:p>
        </w:tc>
      </w:tr>
      <w:tr w:rsidR="002C1BF5" w:rsidRPr="0025740C" w14:paraId="412EB455" w14:textId="77777777" w:rsidTr="00AB2DE4">
        <w:trPr>
          <w:trHeight w:val="20"/>
        </w:trPr>
        <w:tc>
          <w:tcPr>
            <w:tcW w:w="1118" w:type="dxa"/>
            <w:noWrap/>
          </w:tcPr>
          <w:p w14:paraId="24246674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Sp7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B3946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5’-AGAGGTTCACTCGCTCTGACGA-3’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0F0B2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5’-TTGCTCAAGTGGTCGCTTCTG-3’</w:t>
            </w:r>
          </w:p>
        </w:tc>
      </w:tr>
      <w:tr w:rsidR="002C1BF5" w:rsidRPr="0025740C" w14:paraId="0B4CCF51" w14:textId="77777777" w:rsidTr="00AB2DE4">
        <w:trPr>
          <w:trHeight w:val="20"/>
        </w:trPr>
        <w:tc>
          <w:tcPr>
            <w:tcW w:w="1118" w:type="dxa"/>
            <w:noWrap/>
          </w:tcPr>
          <w:p w14:paraId="37C8E849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Runx2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41655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5’-TAAAGTGACGGACGGTCCC-3’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7E3E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5’-TGCGCCCTAAATCACTGAGG-3’</w:t>
            </w:r>
          </w:p>
        </w:tc>
      </w:tr>
      <w:tr w:rsidR="002C1BF5" w:rsidRPr="0025740C" w14:paraId="25BB5B6B" w14:textId="77777777" w:rsidTr="00AB2DE4">
        <w:trPr>
          <w:trHeight w:val="20"/>
        </w:trPr>
        <w:tc>
          <w:tcPr>
            <w:tcW w:w="1118" w:type="dxa"/>
            <w:noWrap/>
          </w:tcPr>
          <w:p w14:paraId="1CBA1225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i/>
                <w:color w:val="000000" w:themeColor="text1"/>
              </w:rPr>
              <w:t>Inhba</w:t>
            </w:r>
          </w:p>
        </w:tc>
        <w:tc>
          <w:tcPr>
            <w:tcW w:w="4127" w:type="dxa"/>
            <w:noWrap/>
          </w:tcPr>
          <w:p w14:paraId="2956E65E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5’-TGAGAGGATTTCTGTTGGCAAG-3’</w:t>
            </w:r>
          </w:p>
        </w:tc>
        <w:tc>
          <w:tcPr>
            <w:tcW w:w="4323" w:type="dxa"/>
            <w:noWrap/>
          </w:tcPr>
          <w:p w14:paraId="05D05E39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5’-TGACATCGGGTCTCTTCTTCA-3’</w:t>
            </w:r>
          </w:p>
        </w:tc>
      </w:tr>
      <w:tr w:rsidR="002C1BF5" w:rsidRPr="0025740C" w14:paraId="517D93E5" w14:textId="77777777" w:rsidTr="00AB2DE4">
        <w:trPr>
          <w:trHeight w:val="105"/>
        </w:trPr>
        <w:tc>
          <w:tcPr>
            <w:tcW w:w="1118" w:type="dxa"/>
            <w:noWrap/>
          </w:tcPr>
          <w:p w14:paraId="1FAEDFE1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25740C">
              <w:rPr>
                <w:rFonts w:ascii="Times New Roman" w:hAnsi="Times New Roman" w:cs="Times New Roman"/>
                <w:i/>
                <w:color w:val="000000" w:themeColor="text1"/>
              </w:rPr>
              <w:t>Actb</w:t>
            </w:r>
            <w:proofErr w:type="spellEnd"/>
          </w:p>
        </w:tc>
        <w:tc>
          <w:tcPr>
            <w:tcW w:w="4127" w:type="dxa"/>
            <w:noWrap/>
          </w:tcPr>
          <w:p w14:paraId="12CF8392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5’-GGCTGTATTCCCCTCCATCG-3’</w:t>
            </w:r>
          </w:p>
        </w:tc>
        <w:tc>
          <w:tcPr>
            <w:tcW w:w="4323" w:type="dxa"/>
            <w:noWrap/>
          </w:tcPr>
          <w:p w14:paraId="3DF740CB" w14:textId="77777777" w:rsidR="002C1BF5" w:rsidRPr="0025740C" w:rsidRDefault="002C1BF5" w:rsidP="00AB2DE4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740C">
              <w:rPr>
                <w:rFonts w:ascii="Times New Roman" w:hAnsi="Times New Roman" w:cs="Times New Roman"/>
                <w:color w:val="000000" w:themeColor="text1"/>
              </w:rPr>
              <w:t>5’-CCAGTTGGTAACAATGCCATGT-3’</w:t>
            </w:r>
          </w:p>
        </w:tc>
      </w:tr>
    </w:tbl>
    <w:p w14:paraId="599FA476" w14:textId="77777777" w:rsidR="002C1BF5" w:rsidRPr="0025740C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</w:p>
    <w:p w14:paraId="5C752EC3" w14:textId="77777777" w:rsidR="002C1BF5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</w:p>
    <w:p w14:paraId="168FDE43" w14:textId="77777777" w:rsidR="002C1BF5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</w:p>
    <w:p w14:paraId="284E67A4" w14:textId="77777777" w:rsidR="002C1BF5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</w:p>
    <w:p w14:paraId="62EAB400" w14:textId="77777777" w:rsidR="002C1BF5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</w:p>
    <w:p w14:paraId="61085165" w14:textId="77777777" w:rsidR="002C1BF5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</w:p>
    <w:p w14:paraId="17277107" w14:textId="77777777" w:rsidR="002C1BF5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</w:p>
    <w:p w14:paraId="5F27CB25" w14:textId="77777777" w:rsidR="002C1BF5" w:rsidRDefault="002C1BF5" w:rsidP="002C1BF5">
      <w:pPr>
        <w:spacing w:line="480" w:lineRule="auto"/>
        <w:rPr>
          <w:color w:val="000000" w:themeColor="text1"/>
          <w:sz w:val="24"/>
          <w:szCs w:val="24"/>
        </w:rPr>
      </w:pPr>
    </w:p>
    <w:p w14:paraId="394BDF89" w14:textId="77777777" w:rsidR="00F112B6" w:rsidRDefault="00F112B6"/>
    <w:sectPr w:rsidR="00F112B6" w:rsidSect="004A10B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5B1E" w14:textId="77777777" w:rsidR="003C68F2" w:rsidRDefault="003C68F2">
      <w:r>
        <w:separator/>
      </w:r>
    </w:p>
  </w:endnote>
  <w:endnote w:type="continuationSeparator" w:id="0">
    <w:p w14:paraId="2F63798D" w14:textId="77777777" w:rsidR="003C68F2" w:rsidRDefault="003C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5049982"/>
      <w:docPartObj>
        <w:docPartGallery w:val="Page Numbers (Bottom of Page)"/>
        <w:docPartUnique/>
      </w:docPartObj>
    </w:sdtPr>
    <w:sdtContent>
      <w:p w14:paraId="0E062714" w14:textId="77777777" w:rsidR="00F112B6" w:rsidRDefault="002C1BF5" w:rsidP="009D1FE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15CFE2" w14:textId="77777777" w:rsidR="00F112B6" w:rsidRDefault="00F11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21669645"/>
      <w:docPartObj>
        <w:docPartGallery w:val="Page Numbers (Bottom of Page)"/>
        <w:docPartUnique/>
      </w:docPartObj>
    </w:sdtPr>
    <w:sdtContent>
      <w:p w14:paraId="46946748" w14:textId="77777777" w:rsidR="00F112B6" w:rsidRDefault="002C1BF5" w:rsidP="009D1FE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464B0ACD" w14:textId="77777777" w:rsidR="00F112B6" w:rsidRDefault="00F112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380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F6C35" w14:textId="77777777" w:rsidR="00F112B6" w:rsidRDefault="002C1B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D73339" w14:textId="77777777" w:rsidR="00F112B6" w:rsidRDefault="00F11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EB49" w14:textId="77777777" w:rsidR="003C68F2" w:rsidRDefault="003C68F2">
      <w:r>
        <w:separator/>
      </w:r>
    </w:p>
  </w:footnote>
  <w:footnote w:type="continuationSeparator" w:id="0">
    <w:p w14:paraId="6ED9A267" w14:textId="77777777" w:rsidR="003C68F2" w:rsidRDefault="003C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D1CFC"/>
    <w:multiLevelType w:val="hybridMultilevel"/>
    <w:tmpl w:val="6A8A9CD6"/>
    <w:lvl w:ilvl="0" w:tplc="1DFA803E">
      <w:start w:val="1"/>
      <w:numFmt w:val="upperLetter"/>
      <w:lvlText w:val="(%1)"/>
      <w:lvlJc w:val="left"/>
      <w:pPr>
        <w:ind w:left="7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26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F5"/>
    <w:rsid w:val="000975CF"/>
    <w:rsid w:val="000C030E"/>
    <w:rsid w:val="000C298A"/>
    <w:rsid w:val="000C6F3C"/>
    <w:rsid w:val="000E1584"/>
    <w:rsid w:val="00144E66"/>
    <w:rsid w:val="001A05A5"/>
    <w:rsid w:val="001E557D"/>
    <w:rsid w:val="00202237"/>
    <w:rsid w:val="00220168"/>
    <w:rsid w:val="00230E5A"/>
    <w:rsid w:val="00250A96"/>
    <w:rsid w:val="00253CB5"/>
    <w:rsid w:val="002A43BC"/>
    <w:rsid w:val="002A7D81"/>
    <w:rsid w:val="002B0636"/>
    <w:rsid w:val="002B70F8"/>
    <w:rsid w:val="002C1BF5"/>
    <w:rsid w:val="00374E4B"/>
    <w:rsid w:val="003C68F2"/>
    <w:rsid w:val="0044398D"/>
    <w:rsid w:val="00456151"/>
    <w:rsid w:val="00471E75"/>
    <w:rsid w:val="004751DE"/>
    <w:rsid w:val="00501D1C"/>
    <w:rsid w:val="00533485"/>
    <w:rsid w:val="00554E9E"/>
    <w:rsid w:val="0057512C"/>
    <w:rsid w:val="005C5A4D"/>
    <w:rsid w:val="005D7D8B"/>
    <w:rsid w:val="0065026C"/>
    <w:rsid w:val="006824E2"/>
    <w:rsid w:val="006A297B"/>
    <w:rsid w:val="006B73D9"/>
    <w:rsid w:val="007319ED"/>
    <w:rsid w:val="007320D1"/>
    <w:rsid w:val="007832E8"/>
    <w:rsid w:val="007950E7"/>
    <w:rsid w:val="007B648D"/>
    <w:rsid w:val="007F0E3B"/>
    <w:rsid w:val="008341F2"/>
    <w:rsid w:val="00854F81"/>
    <w:rsid w:val="00856219"/>
    <w:rsid w:val="00867C68"/>
    <w:rsid w:val="008A1E59"/>
    <w:rsid w:val="009340EE"/>
    <w:rsid w:val="00935E2A"/>
    <w:rsid w:val="009848AF"/>
    <w:rsid w:val="009F60A3"/>
    <w:rsid w:val="00A81F01"/>
    <w:rsid w:val="00AB116B"/>
    <w:rsid w:val="00AD44C9"/>
    <w:rsid w:val="00AD5E27"/>
    <w:rsid w:val="00AE1578"/>
    <w:rsid w:val="00B22ED1"/>
    <w:rsid w:val="00B555E2"/>
    <w:rsid w:val="00B64FEE"/>
    <w:rsid w:val="00B83C9D"/>
    <w:rsid w:val="00BA0737"/>
    <w:rsid w:val="00BF2D79"/>
    <w:rsid w:val="00C05006"/>
    <w:rsid w:val="00C31D02"/>
    <w:rsid w:val="00C447E0"/>
    <w:rsid w:val="00C712F8"/>
    <w:rsid w:val="00C81A5E"/>
    <w:rsid w:val="00C902EA"/>
    <w:rsid w:val="00C954A7"/>
    <w:rsid w:val="00CA7A7A"/>
    <w:rsid w:val="00D038EC"/>
    <w:rsid w:val="00D21644"/>
    <w:rsid w:val="00D52C5E"/>
    <w:rsid w:val="00D86EE0"/>
    <w:rsid w:val="00D958CA"/>
    <w:rsid w:val="00E06ADC"/>
    <w:rsid w:val="00EA25B8"/>
    <w:rsid w:val="00F112B6"/>
    <w:rsid w:val="00F24633"/>
    <w:rsid w:val="00F26681"/>
    <w:rsid w:val="00F63993"/>
    <w:rsid w:val="00F8187C"/>
    <w:rsid w:val="00FC3E74"/>
    <w:rsid w:val="00FC792D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11AF86"/>
  <w14:defaultImageDpi w14:val="300"/>
  <w15:docId w15:val="{6FA4536F-190F-FE4F-A172-77B010DD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E66"/>
    <w:rPr>
      <w:rFonts w:eastAsia="SimSu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1BF5"/>
    <w:pPr>
      <w:spacing w:before="120"/>
      <w:ind w:firstLine="720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1BF5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1BF5"/>
    <w:rPr>
      <w:rFonts w:eastAsia="Times New Roman"/>
      <w:sz w:val="20"/>
      <w:szCs w:val="20"/>
      <w:lang w:eastAsia="en-US"/>
    </w:rPr>
  </w:style>
  <w:style w:type="character" w:styleId="PageNumber">
    <w:name w:val="page number"/>
    <w:basedOn w:val="DefaultParagraphFont"/>
    <w:rsid w:val="002C1BF5"/>
  </w:style>
  <w:style w:type="table" w:styleId="TableGrid">
    <w:name w:val="Table Grid"/>
    <w:basedOn w:val="TableNormal"/>
    <w:uiPriority w:val="59"/>
    <w:rsid w:val="002C1BF5"/>
    <w:rPr>
      <w:rFonts w:asciiTheme="minorHAnsi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993"/>
    <w:pPr>
      <w:ind w:left="720"/>
      <w:contextualSpacing/>
    </w:pPr>
  </w:style>
  <w:style w:type="paragraph" w:styleId="Revision">
    <w:name w:val="Revision"/>
    <w:hidden/>
    <w:uiPriority w:val="99"/>
    <w:semiHidden/>
    <w:rsid w:val="00250A96"/>
    <w:rPr>
      <w:rFonts w:eastAsia="SimSu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CHOP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Pacifici</dc:creator>
  <cp:keywords/>
  <dc:description/>
  <cp:lastModifiedBy>lutian yao</cp:lastModifiedBy>
  <cp:revision>5</cp:revision>
  <dcterms:created xsi:type="dcterms:W3CDTF">2023-11-15T03:05:00Z</dcterms:created>
  <dcterms:modified xsi:type="dcterms:W3CDTF">2023-11-16T14:30:00Z</dcterms:modified>
</cp:coreProperties>
</file>